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September 30, 2014</w:t>
      </w:r>
    </w:p>
    <w:p>
      <w:pPr>
        <w:spacing w:after="0" w:line="1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34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60"/>
          </w:cols>
          <w:pgMar w:left="240" w:top="233" w:right="399" w:bottom="1440" w:gutter="0" w:footer="0" w:header="0"/>
        </w:sectPr>
      </w:pPr>
    </w:p>
    <w:p>
      <w:pPr>
        <w:spacing w:after="0" w:line="234"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90" w:lineRule="exact"/>
        <w:rPr>
          <w:sz w:val="24"/>
          <w:szCs w:val="24"/>
          <w:color w:val="auto"/>
        </w:rPr>
      </w:pPr>
    </w:p>
    <w:p>
      <w:pPr>
        <w:sectPr>
          <w:pgSz w:w="11900" w:h="16838" w:orient="portrait"/>
          <w:cols w:equalWidth="0" w:num="2">
            <w:col w:w="6400" w:space="720"/>
            <w:col w:w="4140"/>
          </w:cols>
          <w:pgMar w:left="240" w:top="233" w:right="399" w:bottom="1440" w:gutter="0" w:footer="0" w:header="0"/>
          <w:type w:val="continuous"/>
        </w:sectPr>
      </w:pPr>
    </w:p>
    <w:p>
      <w:pPr>
        <w:ind w:left="4520"/>
        <w:spacing w:after="0"/>
        <w:rPr>
          <w:sz w:val="20"/>
          <w:szCs w:val="20"/>
          <w:color w:val="auto"/>
        </w:rPr>
      </w:pPr>
      <w:r>
        <w:rPr>
          <w:rFonts w:ascii="Arial" w:cs="Arial" w:eastAsia="Arial" w:hAnsi="Arial"/>
          <w:sz w:val="14"/>
          <w:szCs w:val="14"/>
          <w:b w:val="1"/>
          <w:bCs w:val="1"/>
          <w:color w:val="auto"/>
        </w:rPr>
        <w:t>Commission file number: 0-32259</w:t>
      </w:r>
    </w:p>
    <w:p>
      <w:pPr>
        <w:spacing w:after="0" w:line="46"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14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94-3267295</w:t>
      </w:r>
    </w:p>
    <w:p>
      <w:pPr>
        <w:spacing w:after="0" w:line="95" w:lineRule="exact"/>
        <w:rPr>
          <w:sz w:val="24"/>
          <w:szCs w:val="24"/>
          <w:color w:val="auto"/>
        </w:rPr>
      </w:pPr>
    </w:p>
    <w:p>
      <w:pPr>
        <w:sectPr>
          <w:pgSz w:w="11900" w:h="16838" w:orient="portrait"/>
          <w:cols w:equalWidth="0" w:num="2">
            <w:col w:w="7460" w:space="720"/>
            <w:col w:w="3080"/>
          </w:cols>
          <w:pgMar w:left="240" w:top="233" w:right="399" w:bottom="1440" w:gutter="0" w:footer="0" w:header="0"/>
          <w:type w:val="continuous"/>
        </w:sectPr>
      </w:pPr>
    </w:p>
    <w:p>
      <w:pPr>
        <w:ind w:left="1860"/>
        <w:spacing w:after="0"/>
        <w:rPr>
          <w:sz w:val="20"/>
          <w:szCs w:val="20"/>
          <w:color w:val="auto"/>
        </w:rPr>
      </w:pPr>
      <w:r>
        <w:rPr>
          <w:rFonts w:ascii="Arial" w:cs="Arial" w:eastAsia="Arial" w:hAnsi="Arial"/>
          <w:sz w:val="15"/>
          <w:szCs w:val="15"/>
          <w:b w:val="1"/>
          <w:bCs w:val="1"/>
          <w:color w:val="auto"/>
        </w:rPr>
        <w:t>(State or other jurisdiction of</w:t>
      </w:r>
    </w:p>
    <w:p>
      <w:pPr>
        <w:spacing w:after="0" w:line="38"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6"/>
          <w:szCs w:val="16"/>
          <w:b w:val="1"/>
          <w:bCs w:val="1"/>
          <w:color w:val="auto"/>
        </w:rPr>
        <w:t>(I.R.S. Employer</w:t>
      </w:r>
    </w:p>
    <w:p>
      <w:pPr>
        <w:spacing w:after="0" w:line="26"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Identification Number)</w:t>
      </w:r>
    </w:p>
    <w:p>
      <w:pPr>
        <w:spacing w:after="0" w:line="130" w:lineRule="exact"/>
        <w:rPr>
          <w:sz w:val="24"/>
          <w:szCs w:val="24"/>
          <w:color w:val="auto"/>
        </w:rPr>
      </w:pPr>
    </w:p>
    <w:p>
      <w:pPr>
        <w:sectPr>
          <w:pgSz w:w="11900" w:h="16838" w:orient="portrait"/>
          <w:cols w:equalWidth="0" w:num="2">
            <w:col w:w="7040" w:space="720"/>
            <w:col w:w="3500"/>
          </w:cols>
          <w:pgMar w:left="240" w:top="233" w:right="39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2560 Orchard Parkway</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San Jose, California 95131</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14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(408) 470-1000</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2" w:lineRule="exact"/>
        <w:rPr>
          <w:sz w:val="24"/>
          <w:szCs w:val="24"/>
          <w:color w:val="auto"/>
        </w:rPr>
      </w:pPr>
    </w:p>
    <w:p>
      <w:pPr>
        <w:ind w:left="460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86" w:lineRule="exact"/>
        <w:rPr>
          <w:sz w:val="24"/>
          <w:szCs w:val="24"/>
          <w:color w:val="auto"/>
        </w:rPr>
      </w:pPr>
    </w:p>
    <w:p>
      <w:pPr>
        <w:ind w:right="26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24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firstLine="43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60"/>
          </w:cols>
          <w:pgMar w:left="240" w:top="233" w:right="399" w:bottom="1440" w:gutter="0" w:footer="0" w:header="0"/>
          <w:type w:val="continuous"/>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480" w:space="50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4">
            <w:col w:w="1400" w:space="58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167" w:lineRule="exact"/>
        <w:rPr>
          <w:sz w:val="24"/>
          <w:szCs w:val="24"/>
          <w:color w:val="auto"/>
        </w:rPr>
      </w:pPr>
    </w:p>
    <w:p>
      <w:pPr>
        <w:sectPr>
          <w:pgSz w:w="11900" w:h="16838" w:orient="portrait"/>
          <w:cols w:equalWidth="0" w:num="4">
            <w:col w:w="7800" w:space="160"/>
            <w:col w:w="240" w:space="80"/>
            <w:col w:w="140" w:space="160"/>
            <w:col w:w="2680"/>
          </w:cols>
          <w:pgMar w:left="240" w:top="233" w:right="39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The number of shares outstanding of the registrant’s Common Stock, $0.0001 par value, as of October 24, 2014 was 80,289,814.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80" w:type="dxa"/>
            <w:vAlign w:val="bottom"/>
            <w:tcBorders>
              <w:bottom w:val="single" w:sz="8" w:color="0000FF"/>
            </w:tcBorders>
            <w:gridSpan w:val="17"/>
          </w:tcPr>
          <w:p>
            <w:pPr>
              <w:spacing w:after="0"/>
              <w:rPr>
                <w:rFonts w:ascii="Arial" w:cs="Arial" w:eastAsia="Arial" w:hAnsi="Arial"/>
                <w:sz w:val="18"/>
                <w:szCs w:val="18"/>
                <w:color w:val="0000FF"/>
                <w:w w:val="94"/>
              </w:rPr>
            </w:pPr>
            <w:hyperlink w:anchor="page3">
              <w:r>
                <w:rPr>
                  <w:rFonts w:ascii="Arial" w:cs="Arial" w:eastAsia="Arial" w:hAnsi="Arial"/>
                  <w:sz w:val="18"/>
                  <w:szCs w:val="18"/>
                  <w:color w:val="0000FF"/>
                  <w:w w:val="94"/>
                </w:rPr>
                <w:t>CONDENSED CONSOLIDATED STATEMENTS OF COMPREHENSIVE INCOME (LOSS)</w:t>
              </w:r>
            </w:hyperlink>
          </w:p>
        </w:tc>
        <w:tc>
          <w:tcPr>
            <w:tcW w:w="27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1">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21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4">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35">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5">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51">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51">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1">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52</w:t>
              </w:r>
            </w:hyperlink>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Invisalign, Align, the Invisalign logo, ClinCheck, Invisalign Assist, Invisalign Teen, Vivera, SmartForce, SmartTrack, Power Ridge, iTero,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189,876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563,053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481,914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44,822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39,416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135,272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120,284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145,054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427,781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361,630</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52,368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161,642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135,352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28,285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27,487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84,533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84,862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12,854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39,523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33,113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40,693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26,320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93,507</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83,626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285,698</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320,340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51,547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142,083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41,290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income (expenses),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49,548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140,592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40,416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11,301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34,301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38,247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106,291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21,874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income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80,629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80,924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80,592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82,014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81,848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82,443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82,549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03"/>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r>
      <w:tr>
        <w:trPr>
          <w:trHeight w:val="80"/>
        </w:trPr>
        <w:tc>
          <w:tcPr>
            <w:tcW w:w="5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58"/>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2013</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38,247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106,291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21,874</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Net change in cumulative translation adjustment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unrealized gains (losses) on available-for-sale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net of tax</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37,799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106,055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22,003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76"/>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180,676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242,953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244,820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127,040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Accounts receivable, net of allowances for doubtful accounts and returns of $1,813 and $1,733,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113,250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15,983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13,968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47,465</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615,672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544,676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86,447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75,743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19,714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15,766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8,622</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948,289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832,147</w:t>
            </w:r>
          </w:p>
        </w:tc>
      </w:tr>
      <w:tr>
        <w:trPr>
          <w:trHeight w:val="67"/>
        </w:trPr>
        <w:tc>
          <w:tcPr>
            <w:tcW w:w="83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64"/>
        </w:trPr>
        <w:tc>
          <w:tcPr>
            <w:tcW w:w="8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24,517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17,718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80,345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87,443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77,275</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22,839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225,833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198,177</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8)</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$0.0001 par value (200,000 shares authorized; 80,516 and 80,583 issued and outstanding,</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775,523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729,578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(95,910)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722,456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633,970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948,289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832,147</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3"/>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2013</w:t>
            </w: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106,291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21,874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13,469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12,647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29,348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21,265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(18,887)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(21,849)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goodwill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40,693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26,320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9,957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8,415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155,294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118,864</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(15,172)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(350,611)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(213,990)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124,101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32,229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(171,373)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(199,989)</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28,291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Common stock repurchases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(77,417)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(95,105)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(46,918)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(48,902)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(62,277)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(130,547)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242,953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306,386</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Cash and cash equivalents, end of the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180,676</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175,839</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present fairly our results of operations for the three and nine months ended September 30, 2014 and 2013, our comprehensive income for the three and nine months ended September 30, 2014 and 2013, our financial position as of September 30, 2014 and our cash flows for the nine months ended September 30, 2014 and 2013. The Condensed Consolidated Balance Sheet as of December 31, 2013 was derived from the December 31, 2013 audited financial statements. Net revenues by geographic area for prior period amounts in Note 13 have been reclassified to conform with the current period presentation. These reclassifications had no impact on our financial position for the three or nine months ended September 30, 2014 and 2013.</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results of operations for the three months ended September 30, 2014 are not necessarily indicative of the results that may be expected for the year ending December 31, 2014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2013.</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useful lives of intangible assets and property and equipment, stock-based compensation,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52525"/>
        </w:rPr>
        <w:t>In May 2014, the Financial Accounting Standards Board ("FASB") issued Accounting Standards Update ("ASU") 2014-09, “Revenue from Contracts with Customers,”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the retrospective or cumulative effect transition method. Early adoption is not permitted. The updated standard becomes effective for us in the first quarter of fiscal 2017. We have not yet selected a transition method and we are currently evaluating the effect that the updated standard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September 30, 2014 and December 31, 2013, the estimated fair value of our short-term and long-term marketable securities, classified as available for sale, are as follows (in thousands):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September 30, 2014</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080" w:type="dxa"/>
            <w:vAlign w:val="bottom"/>
          </w:tcPr>
          <w:p>
            <w:pPr>
              <w:jc w:val="center"/>
              <w:ind w:left="321"/>
              <w:spacing w:after="0" w:line="158" w:lineRule="exact"/>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44,840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44,840</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117,981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117,976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47,560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47,589</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13,567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13,585</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18,496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18,520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244,752</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244,820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400"/>
              <w:spacing w:after="0"/>
              <w:rPr>
                <w:sz w:val="20"/>
                <w:szCs w:val="20"/>
                <w:color w:val="auto"/>
              </w:rPr>
            </w:pPr>
            <w:r>
              <w:rPr>
                <w:rFonts w:ascii="Arial" w:cs="Arial" w:eastAsia="Arial" w:hAnsi="Arial"/>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September 30, 2014</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080" w:type="dxa"/>
            <w:vAlign w:val="bottom"/>
          </w:tcPr>
          <w:p>
            <w:pPr>
              <w:jc w:val="center"/>
              <w:ind w:left="321"/>
              <w:spacing w:after="0" w:line="158" w:lineRule="exact"/>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28,887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28,888</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73,494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73,403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11,298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11,295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12,439</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12,426</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136,125</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136,017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400"/>
              <w:spacing w:after="0"/>
              <w:rPr>
                <w:sz w:val="20"/>
                <w:szCs w:val="20"/>
                <w:color w:val="auto"/>
              </w:rPr>
            </w:pPr>
            <w:r>
              <w:rPr>
                <w:rFonts w:ascii="Arial" w:cs="Arial" w:eastAsia="Arial" w:hAnsi="Arial"/>
                <w:sz w:val="18"/>
                <w:szCs w:val="18"/>
                <w:b w:val="1"/>
                <w:bCs w:val="1"/>
                <w:i w:val="1"/>
                <w:iCs w:val="1"/>
                <w:color w:val="auto"/>
              </w:rPr>
              <w:t>Short-term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 2013</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080" w:type="dxa"/>
            <w:vAlign w:val="bottom"/>
          </w:tcPr>
          <w:p>
            <w:pPr>
              <w:jc w:val="center"/>
              <w:ind w:left="321"/>
              <w:spacing w:after="0" w:line="158" w:lineRule="exact"/>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54,318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54,328</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29,079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16,693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13,959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7,006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126,992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127,040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400"/>
              <w:spacing w:after="0"/>
              <w:rPr>
                <w:sz w:val="20"/>
                <w:szCs w:val="20"/>
                <w:color w:val="auto"/>
              </w:rPr>
            </w:pPr>
            <w:r>
              <w:rPr>
                <w:rFonts w:ascii="Arial" w:cs="Arial" w:eastAsia="Arial" w:hAnsi="Arial"/>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 2013</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080" w:type="dxa"/>
            <w:vAlign w:val="bottom"/>
          </w:tcPr>
          <w:p>
            <w:pPr>
              <w:jc w:val="center"/>
              <w:ind w:left="321"/>
              <w:spacing w:after="0" w:line="158" w:lineRule="exact"/>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38,138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38,118</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23,308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23,313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19,485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19,495</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8,326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6,916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5,800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101,973</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101,978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59"/>
        <w:spacing w:after="0" w:line="297" w:lineRule="auto"/>
        <w:rPr>
          <w:sz w:val="20"/>
          <w:szCs w:val="20"/>
          <w:color w:val="auto"/>
        </w:rPr>
      </w:pPr>
      <w:r>
        <w:rPr>
          <w:rFonts w:ascii="Arial" w:cs="Arial" w:eastAsia="Arial" w:hAnsi="Arial"/>
          <w:sz w:val="16"/>
          <w:szCs w:val="16"/>
          <w:color w:val="auto"/>
        </w:rPr>
        <w:t>For the three and nine months ended September 30, 2014 and 2013, realized gains were immaterial. Unrealized gains and losses for our available for sale securities as of September 30, 2014 and December 31, 2013 were also immaterial. Cash and cash equivalents are not included in the table above as the gross unrealized gains and losses are not material. We have no material short-term or long-term investments that have been in a continuous unrealized loss position for greater than twelve months as of September 30, 2014 and December 31, 2013. Amounts reclassified to earnings from accumulated other comprehensive income related to unrealized gain or losses were immaterial for the three and nine months ended September 30, 2014 and 2013.</w:t>
      </w:r>
    </w:p>
    <w:p>
      <w:pPr>
        <w:spacing w:after="0" w:line="1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fixed-income securities investment portfolio consists of corporate bonds, U.S. dollar dominated foreign corporate bonds, commercial paper, municipal securities, U.S. government agency bonds, U.S. government treasury bonds, certificates of deposit and asset-backed securities that have a maximum maturity of 27 months.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11 months as of September 30, 2014 and December 31, 2013, respectively.</w:t>
      </w:r>
    </w:p>
    <w:p>
      <w:pPr>
        <w:spacing w:after="0" w:line="17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September 30, 2014 and December 31, 2013 (in thousands):</w:t>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3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244,820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127,040</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Due in greater than one year</w:t>
            </w:r>
          </w:p>
        </w:tc>
        <w:tc>
          <w:tcPr>
            <w:tcW w:w="16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136,017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101,978</w:t>
            </w:r>
          </w:p>
        </w:tc>
      </w:tr>
      <w:tr>
        <w:trPr>
          <w:trHeight w:val="27"/>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 for sale short-term and long-term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380,837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229,018</w:t>
            </w:r>
          </w:p>
        </w:tc>
      </w:tr>
      <w:tr>
        <w:trPr>
          <w:trHeight w:val="20"/>
        </w:trPr>
        <w:tc>
          <w:tcPr>
            <w:tcW w:w="8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measure the fair value of our cash equivalents and marketable securities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(unadjusted) prices in active markets for identical assets or liabilities.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Level 1 assets consist of money market funds and U.S. government treasury bonds. We did not hold any Level 1 liabilities as of September 30, 2014 or December 31, 2013.</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Level 2 assets consist of commercial paper, corporate bonds, U.S. government agency bonds, asset-backed securities, municipal securities, U.S. dollar dominated foreign corporate bonds, certificates of deposit and our Israeli funds that are mainly invested in insurance policies. We obtain fair values for Level 2 investments from our asset manager for each of our portfolios.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2 liabilities as of September 30, 2014 or December 31, 2013.</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to the valuation methodology that are supported by little or no market activity and that are significant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3 assets or liabilities as of September 30, 2014 or December 31, 2013.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nine months ended September 30, 2013, we recorded an impairment charge to our long-lived assets and goodwill of $26.3 million and $40.7 million, respectively, related to our Scanner and Services ("Scanner") reporting unit, formerly referred to as Scanner and CAD/CAM Services ("SCCS"), as an event occurred and circumstances changed that led us to perform an impairment analysis prior to our annual test which required us to determine the fair value of the Scanner reporting unit (Refer to Note 5). These fair value measurements were calculated using unobservable inputs, using the income approach which is classified as Level 3 within the fair value hierarchy. Inputs for the income approach includes the amount and timing of future cash flows based on our most recent operational budgets, strategic plans, terminal growth rates assumptions and other estimates.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our financial assets measured at fair value on a recurring basis as of September 30, 2014 and December 31, 2013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58"/>
        </w:trPr>
        <w:tc>
          <w:tcPr>
            <w:tcW w:w="468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September 30, 2014</w:t>
            </w:r>
          </w:p>
        </w:tc>
        <w:tc>
          <w:tcPr>
            <w:tcW w:w="200" w:type="dxa"/>
            <w:vAlign w:val="bottom"/>
          </w:tcPr>
          <w:p>
            <w:pPr>
              <w:spacing w:after="0"/>
              <w:rPr>
                <w:sz w:val="13"/>
                <w:szCs w:val="13"/>
                <w:color w:val="auto"/>
              </w:rPr>
            </w:pPr>
          </w:p>
        </w:tc>
        <w:tc>
          <w:tcPr>
            <w:tcW w:w="16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3"/>
                <w:szCs w:val="13"/>
                <w:color w:val="auto"/>
              </w:rPr>
            </w:pPr>
          </w:p>
        </w:tc>
        <w:tc>
          <w:tcPr>
            <w:tcW w:w="1520" w:type="dxa"/>
            <w:vAlign w:val="bottom"/>
          </w:tcPr>
          <w:p>
            <w:pPr>
              <w:jc w:val="center"/>
              <w:ind w:right="93"/>
              <w:spacing w:after="0" w:line="158" w:lineRule="exact"/>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74,985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74,985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27,493</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44,840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117,976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117,976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13,585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13,585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dollar dominated foreign corporate bonds</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U.S. government treasury bonds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18,520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18,520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U.S. government agency bonds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28,888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28,888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10,005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treasury bonds</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assets: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funds</w:t>
            </w:r>
          </w:p>
        </w:tc>
        <w:tc>
          <w:tcPr>
            <w:tcW w:w="13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485,686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104,800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380,886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right"/>
              <w:ind w:right="232"/>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158"/>
        </w:trPr>
        <w:tc>
          <w:tcPr>
            <w:tcW w:w="60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December 31, 2013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tcPr>
          <w:p>
            <w:pPr>
              <w:jc w:val="center"/>
              <w:ind w:right="720"/>
              <w:spacing w:after="0" w:line="158" w:lineRule="exact"/>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492"/>
              <w:spacing w:after="0" w:line="158" w:lineRule="exact"/>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143,540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143,540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15,398</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29,085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16,703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2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38,118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38,118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2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19,495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19,495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20"/>
              <w:spacing w:after="0"/>
              <w:rPr>
                <w:sz w:val="20"/>
                <w:szCs w:val="20"/>
                <w:color w:val="auto"/>
              </w:rPr>
            </w:pPr>
            <w:r>
              <w:rPr>
                <w:rFonts w:ascii="Arial" w:cs="Arial" w:eastAsia="Arial" w:hAnsi="Arial"/>
                <w:sz w:val="18"/>
                <w:szCs w:val="18"/>
                <w:color w:val="auto"/>
              </w:rPr>
              <w:t>U.S. government treasury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funds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390,149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150,459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239,690</w:t>
            </w:r>
          </w:p>
        </w:tc>
        <w:tc>
          <w:tcPr>
            <w:tcW w:w="0" w:type="dxa"/>
            <w:vAlign w:val="bottom"/>
          </w:tcPr>
          <w:p>
            <w:pPr>
              <w:spacing w:after="0"/>
              <w:rPr>
                <w:sz w:val="1"/>
                <w:szCs w:val="1"/>
                <w:color w:val="auto"/>
              </w:rPr>
            </w:pPr>
          </w:p>
        </w:tc>
      </w:tr>
      <w:tr>
        <w:trPr>
          <w:trHeight w:val="27"/>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6020" w:type="dxa"/>
            <w:vAlign w:val="bottom"/>
            <w:gridSpan w:val="2"/>
          </w:tcPr>
          <w:p>
            <w:pPr>
              <w:ind w:left="400"/>
              <w:spacing w:after="0"/>
              <w:rPr>
                <w:sz w:val="20"/>
                <w:szCs w:val="20"/>
                <w:color w:val="auto"/>
              </w:rPr>
            </w:pPr>
            <w:r>
              <w:rPr>
                <w:rFonts w:ascii="Arial" w:cs="Arial" w:eastAsia="Arial" w:hAnsi="Arial"/>
                <w:sz w:val="18"/>
                <w:szCs w:val="18"/>
                <w:b w:val="1"/>
                <w:bCs w:val="1"/>
                <w:i w:val="1"/>
                <w:iCs w:val="1"/>
                <w:color w:val="auto"/>
              </w:rPr>
              <w:t>Inventories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6020" w:type="dxa"/>
            <w:vAlign w:val="bottom"/>
            <w:gridSpan w:val="2"/>
          </w:tcPr>
          <w:p>
            <w:pPr>
              <w:ind w:left="400"/>
              <w:spacing w:after="0"/>
              <w:rPr>
                <w:sz w:val="20"/>
                <w:szCs w:val="20"/>
                <w:color w:val="auto"/>
              </w:rPr>
            </w:pPr>
            <w:r>
              <w:rPr>
                <w:rFonts w:ascii="Arial" w:cs="Arial" w:eastAsia="Arial" w:hAnsi="Arial"/>
                <w:sz w:val="18"/>
                <w:szCs w:val="18"/>
                <w:color w:val="auto"/>
              </w:rPr>
              <w:t>Inventories consist of the following (in thousands):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15,983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Work in process includes costs to produce our clear aligner and intra-oral products. Finished goods primarily represent our intra-oral scanners and ancillary products that support our clear aligner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rebates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10,256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10,100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tax and value added tax</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and marketing expenses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3,893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3,104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1,205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86,600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80,345</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regularly review the accrued warranty balances and update these balances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warrant our scanners for a period of one year from the date of training and installation. We accrue for these warranty costs which includes materials and labor based on estimated historical repair costs. Extended service packages may be purchased for additional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Warranty accrual as of September 30, 2014 and 2013 consists of the following activity (in thousands):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Charged to cost of net revenues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2,813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warranty expenditures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3,806</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April 30, 2013, we completed the acquisition of ICA Holdings Pty Limited ("ICA") upon the expiration of the distribution agreement between certain subsidiaries of ICA and Align Technology B.V., for a total cash consideration of approximately $8.6 million, of which $7.4 million was attributed to assets acquired, $2.4 million in liabilities assumed and $3.6 million to goodwill. Goodwill as a result of this acquisition represents the excess of the purchase price over the fair value of the underlying net assets acquired and represents the knowledge and experience of the workforce in place. None of this goodwill will be deductible for tax purposes. Under the applicable accounting guidance, goodwill will not be amortized but will be tested for impairment on an annual basis or more frequently if certain indicators are present.</w:t>
      </w:r>
    </w:p>
    <w:p>
      <w:pPr>
        <w:spacing w:after="0" w:line="1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 forma results of operations for this acquisition have not been presented as it is not material to our results of operations, either individually or in aggregate, for the three or nine months ended September 30, 2013.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Long-lived Assets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change in the carrying value of goodwill for the nine months ended September 30, 2014 by our reportable segments, which are also our reporting units,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Clear Aligner</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61,623</w:t>
            </w:r>
          </w:p>
        </w:tc>
      </w:tr>
      <w:tr>
        <w:trPr>
          <w:trHeight w:val="270"/>
        </w:trPr>
        <w:tc>
          <w:tcPr>
            <w:tcW w:w="9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69"/>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61,589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0" w:hanging="72"/>
        <w:spacing w:after="0"/>
        <w:tabs>
          <w:tab w:leader="none" w:pos="80"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The adjustments to goodwill during the nine months ended September 30, 2014 were due to foreign currency translation.</w:t>
      </w:r>
    </w:p>
    <w:p>
      <w:pPr>
        <w:spacing w:after="0" w:line="1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goodwill balance is entirely attributable to our Clear Aligner reporting unit. During the fourth quarter of fiscal 2013, we performed the annual goodwill impairment testing and found no impairment events as the fair value of our Clear Aligner reporting unit was significantly in excess of the carrying value.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Goodwill in 2013</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evaluate our goodwill for impairment at least annually on November 30th or more frequently if indicators are present, an event occurs or circumstances change that suggest an impairment may exist and that it would more likely than not reduce the fair value of the reporting unit below its carrying amount. During March 2013, changes in the competitive environment for intra-oral scanners, including announcements from our competitors of new low-priced scanners targeted at orthodontists and general practitioner dentists in North America, that caused us to lower our expectations for growth and profitability for our Scanner reporting unit. As a result, we determined that goodwill related only to our Scanner reporting unit should be tested for impairment as of March 2013 due to these facts and circumstances which would more likely than not reduce the fair value of our Scanner reporting unit below its carrying amount. There was no triggering event related to our Clear Aligner goodwill.</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performed a step one analysis for our Scanner reporting unit which consists of a comparison of the fair value of the Scanner reporting unit against its carrying amount, including the goodwill allocated to it. In deriving the fair value of the Scanner reporting unit, we utilized the income approach which is classified as Level 3 within the fair value hierarchy. This approach provides an estimated fair value based on discounted expected future cash flows, which are based on management's estimates of revenue growth rates and operating margins, taking into consideration industry and market conditions. The discount rate used is based on a weighted average cost of capital adjusted for the relevant risk associated with the characteristics of the business and the projected cash flows.</w:t>
      </w:r>
    </w:p>
    <w:p>
      <w:pPr>
        <w:spacing w:after="0" w:line="13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As a result of our step one analysis, we concluded that the fair value of the Scanner reporting unit was less than its carrying value; therefore, we proceeded to step two of the goodwill impairment analysis. Step two of the goodwill impairment analysis measures the impairment charge by allocating the reporting unit's fair value to all of the assets and liabilities of the reporting unit in a hypothetical analysis that calculates the implied fair value of goodwill in the same manner as if the reporting unit was being acquired in a business combination. This allocation process was performed only for the purposes of measuring the goodwill impairment and not to adjust the carrying values of the recognized tangible assets and liabilities. Any excess of the carrying value of the reporting unit's goodwill over the implied fair value of the reporting unit's goodwill is recorded as an impairment loss. We use a discounted cash flow ("DCF") approach, utilizing the harvest model, to estimate the fair value of a reporting unit which we believe is the most reliable indicator of fair value of this business, and is most consistent with the approach a market place participant would use. Based on our analysis, there was no implied goodwill for the Scanner reporting unit; therefore, we recorded a goodwill impairment charge of $40.7 million in the three months ended March 31, 2013, which represents the remaining goodwill balance in the Scanner reporting unit. None of the goodwill impairment charge was deductible for tax purposes.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Long-lived Assets in 2013</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amortize our intangible assets over their estimated useful lives. We evaluate long-lived assets, which includes property, plant and equipment and intangible assets, for impairment whenever events or changes in circumstances indicate the carrying value of an asset may not be recoverable. The carrying value is not recoverable if it exceeds the undiscounted cash flows resulting from the use of the asset and its eventual disposition.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of our intra-oral scanning business.</w:t>
      </w:r>
    </w:p>
    <w:p>
      <w:pPr>
        <w:spacing w:after="0" w:line="178"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During March 2013, changes in the competitive environment for intra-oral scanners, including announcements from our competitors of new low-priced scanners targeted at orthodontists and general practitioner dentists in North America, that caused us to lower our expectations for growth and profitability for our Scanner reporting unit. As a result, we determined that the carrying value of the Scanner long-lived assets was not recoverable as compared to the value of the undiscounted cash flows of our revised projections for the asset group. In order to determine the impairment amount of our long-lived assets, we fair valued each key component of our long-lived assets within the asset group, which involved the use of significant estimates and assumptions including replacement costs, revenue growth rates, operating margins, and plant and equipment cost trends. We use a DCF approach, utilizing the harvest model, to estimate the fair value of a reporting unit which we believe is the most reliable indicator of fair value of this business, and is most consistent with the approach a market place participant would use. The estimation of fair value utilizing a DCF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Key assumptions used in measuring the fair values of the Scanner reporting unit included the discount rate (based on the weighted-average cost of capital) and revenue growth. The fair value of Scanner’s trademark was determined using a risk-adjusted DCF approach under the relief-from-royalty method. The royalty rate used was based on a consideration of market rates. The fair value of Scanner’s finite-lived customer relationships was determined using a DCF approach under the multi-period excess earnings method. We determined our long-lived asset group within the Scanner reporting unit to be primarily finite-lived intangible assets, plant and equipment. Upon completion of this analysis, we recorded a total impairment charge of $26.3 million in the three months ended March 31, 2013, of which $19.3 million represented the impairment related to our Scanner intangible assets and $7.0 million related to plant and equipment. There was no triggering event related to the Clear Aligner asset group.</w:t>
      </w:r>
    </w:p>
    <w:p>
      <w:pPr>
        <w:spacing w:after="0" w:line="1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Intangible assets arising either as a direct result from the Cadent Holdings, Inc. acquisition ("Cadent") or individually acquired are being amortized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September 30, 2014</w:t>
            </w:r>
          </w:p>
        </w:tc>
        <w:tc>
          <w:tcPr>
            <w:tcW w:w="10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Impairment Loss</w:t>
            </w:r>
          </w:p>
        </w:tc>
        <w:tc>
          <w:tcPr>
            <w:tcW w:w="160" w:type="dxa"/>
            <w:vAlign w:val="bottom"/>
          </w:tcPr>
          <w:p>
            <w:pPr>
              <w:spacing w:after="0"/>
              <w:rPr>
                <w:sz w:val="16"/>
                <w:szCs w:val="16"/>
                <w:color w:val="auto"/>
              </w:rPr>
            </w:pPr>
          </w:p>
        </w:tc>
        <w:tc>
          <w:tcPr>
            <w:tcW w:w="144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September 30, 2014</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14,119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21,337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0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144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Impairment Loss</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7,100</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ind w:left="18"/>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15,637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ind w:left="18"/>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53,485</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23,739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111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total estimated annual future amortization expense for these acquired intangible assets as of September 30, 2014 is as follows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Remainder of 2014</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2015</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2016</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2017</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2018</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40" w:type="dxa"/>
            <w:vAlign w:val="bottom"/>
          </w:tcPr>
          <w:p>
            <w:pPr>
              <w:spacing w:after="0"/>
              <w:rPr>
                <w:sz w:val="21"/>
                <w:szCs w:val="21"/>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10,288</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Facilities</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 bears interest, at our option, at a fluctuating rate per annum equal to the daily one-month adjusted LIBOR rate plus a spread of 1.75% or an adjusted LIBOR rate (based on one, three, six or twelve-month interest periods) plus a spread of 1.75%. As of September 30, 2014, we had no outstanding borrowings under this credit facility and were in compliance with the conditions and performance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Legal Proceedings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2014, minimum future lease payments for non-cancelable operating leases are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260" w:type="dxa"/>
            <w:vAlign w:val="bottom"/>
          </w:tcPr>
          <w:p>
            <w:pPr>
              <w:spacing w:after="0"/>
              <w:rPr>
                <w:sz w:val="14"/>
                <w:szCs w:val="14"/>
                <w:color w:val="auto"/>
              </w:rPr>
            </w:pPr>
          </w:p>
        </w:tc>
        <w:tc>
          <w:tcPr>
            <w:tcW w:w="1560" w:type="dxa"/>
            <w:vAlign w:val="bottom"/>
          </w:tcPr>
          <w:p>
            <w:pPr>
              <w:jc w:val="right"/>
              <w:ind w:right="312"/>
              <w:spacing w:after="0"/>
              <w:rPr>
                <w:sz w:val="20"/>
                <w:szCs w:val="20"/>
                <w:color w:val="auto"/>
              </w:rPr>
            </w:pPr>
            <w:r>
              <w:rPr>
                <w:rFonts w:ascii="Arial" w:cs="Arial" w:eastAsia="Arial" w:hAnsi="Arial"/>
                <w:sz w:val="14"/>
                <w:szCs w:val="14"/>
                <w:b w:val="1"/>
                <w:bCs w:val="1"/>
                <w:color w:val="auto"/>
              </w:rPr>
              <w:t>Operating leases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40" w:type="dxa"/>
            <w:vAlign w:val="bottom"/>
            <w:tcBorders>
              <w:top w:val="single" w:sz="8" w:color="auto"/>
              <w:bottom w:val="single" w:sz="8" w:color="CCEEFF"/>
            </w:tcBorders>
          </w:tcPr>
          <w:p>
            <w:pPr>
              <w:spacing w:after="0" w:line="20" w:lineRule="exact"/>
              <w:rPr>
                <w:sz w:val="1"/>
                <w:szCs w:val="1"/>
                <w:color w:val="auto"/>
              </w:rPr>
            </w:pPr>
          </w:p>
        </w:tc>
        <w:tc>
          <w:tcPr>
            <w:tcW w:w="7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Remainder of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2,282</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2015</w:t>
            </w:r>
          </w:p>
        </w:tc>
        <w:tc>
          <w:tcPr>
            <w:tcW w:w="7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8,480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7,690</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2017</w:t>
            </w:r>
          </w:p>
        </w:tc>
        <w:tc>
          <w:tcPr>
            <w:tcW w:w="7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4,346</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2018</w:t>
            </w:r>
          </w:p>
        </w:tc>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1,490</w:t>
            </w:r>
          </w:p>
        </w:tc>
      </w:tr>
      <w:tr>
        <w:trPr>
          <w:trHeight w:val="243"/>
        </w:trPr>
        <w:tc>
          <w:tcPr>
            <w:tcW w:w="40" w:type="dxa"/>
            <w:vAlign w:val="bottom"/>
          </w:tcPr>
          <w:p>
            <w:pPr>
              <w:spacing w:after="0"/>
              <w:rPr>
                <w:sz w:val="21"/>
                <w:szCs w:val="21"/>
                <w:color w:val="auto"/>
              </w:rPr>
            </w:pPr>
          </w:p>
        </w:tc>
        <w:tc>
          <w:tcPr>
            <w:tcW w:w="956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437</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minimum future lease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24,725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As of September 30, 2014, we had no off-balance sheet arrangements that have, or are reasonably likely to have, a current or future material effect on our consolidated financial condition, results of operations, liquidity, capital expenditures or capital resources.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September 30, 2014,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September 30, 2014, we had a total reserve of 23,283,379 shares for issuance, plus up to an aggregate of 5,000,000 shares that would have been returned to our 2001 Stock Incentive Plan as a result of termination of options on or after March 28, 2005.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three and nine months ended September 30, 2014 and 2013 is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1,881</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2,837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8,615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5,238</w:t>
            </w: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4,544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13,133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11,170</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1,662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4,952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2,976</w:t>
            </w:r>
          </w:p>
        </w:tc>
      </w:tr>
      <w:tr>
        <w:trPr>
          <w:trHeight w:val="27"/>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9"/>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9,910</w:t>
            </w:r>
          </w:p>
        </w:tc>
        <w:tc>
          <w:tcPr>
            <w:tcW w:w="2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29,348</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21,265</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Options</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Activity for the nine months ended September 30, 2014 under the stock option plans is set forth below (in thousands, except years and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 Average</w:t>
            </w:r>
          </w:p>
        </w:tc>
        <w:tc>
          <w:tcPr>
            <w:tcW w:w="280" w:type="dxa"/>
            <w:vAlign w:val="bottom"/>
          </w:tcPr>
          <w:p>
            <w:pPr>
              <w:spacing w:after="0"/>
              <w:rPr>
                <w:sz w:val="14"/>
                <w:szCs w:val="14"/>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Price per 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Contractual Term</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 )</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2013</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Cancelled or expired</w:t>
            </w: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30, 2014</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26,098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at September 30, 2014</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26,085</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September 30, 2014</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25,294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stock options granted during the three and nine months ended September 30, 2014 and 2013.</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2014, the total unamortized compensation cost related to stock options, net of estimated forfeitures, is $0.3 million, which we expect to recognize over a weighted average period of 0.5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RSU activity for the nine months ended September 30, 2014 is as follows (in thousands, except years):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28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2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7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Underlying RSU</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2013</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53.71</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September 30, 2014</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114,662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September 30, 2014, the total unamortized compensation cost related to RSU, net of estimated forfeitures, was $68.4 million, which we expect to recognize over a weighted average period of 2.5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granted market-performance based restricted stock units (“MSU”) to our executive officers. Each MSU represents the right to one share of Align’s common stock and will be issued through our amended 2005 Incentive Plan. The actual number of MSU which will be eligible to vest will be based on the performance of Align’s stock price relative to the performance of the NASDAQ Composite Index over the vesting period, generally two to three years, up to 150% of the MSU initially granted.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MSU activity for the nine months ended September 30, 2014 (in thousands, except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280" w:type="dxa"/>
            <w:vAlign w:val="bottom"/>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Underlying MSU</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Period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 )</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2013</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September 30, 2014</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25,711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2014, the total unamortized compensation costs related to the MSU, net of estimated forfeitures, was $11.1 million, which we expect to recognize over a weighted average period of 1.6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May 2010, our stockholders approved the 2010 Employee Stock Purchase Plan ("2010 Purchase Plan") which will continue until terminated by either the Board of Directors or its administrator. The maximum number of shares available for purchase under the 2010 Purchase Plan is 2,400,000 shares. As of September 30, 2014, there remains 1,363,827 shares available for purchase under the 2010 Purchase Plan.</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 of the option component of the 2010 Purchase Plan shares was estimated at the grant date using the Black-Scholes option pricing model with the following weighted average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262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340" w:type="dxa"/>
            <w:vAlign w:val="bottom"/>
          </w:tcPr>
          <w:p>
            <w:pPr>
              <w:spacing w:after="0"/>
              <w:rPr>
                <w:sz w:val="21"/>
                <w:szCs w:val="21"/>
                <w:color w:val="auto"/>
              </w:rPr>
            </w:pP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7"/>
        </w:trPr>
        <w:tc>
          <w:tcPr>
            <w:tcW w:w="5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7"/>
        </w:trPr>
        <w:tc>
          <w:tcPr>
            <w:tcW w:w="5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11.70</w:t>
            </w: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2014, the total unamortized compensation cost related to employee purchases was $1.3 million, which we expect to recognize over a weighted average period of 0.6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Common Stock Repurchase</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April 23, 2014, we announced that our Board of Directors had authorized a stock repurchase program pursuant to which we may purchase up to $300.0 million of our common stock over the next three years, with $100.0 million of that amount authorized to be purchased over the first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52525"/>
        </w:rPr>
        <w:t xml:space="preserve">As part of our $300.0 million stock repurchase program, we </w:t>
      </w:r>
      <w:r>
        <w:rPr>
          <w:rFonts w:ascii="Arial" w:cs="Arial" w:eastAsia="Arial" w:hAnsi="Arial"/>
          <w:sz w:val="18"/>
          <w:szCs w:val="18"/>
          <w:color w:val="000000"/>
        </w:rPr>
        <w:t>entered into an accelerated share repurchase agreement ("ASR") with Goldman, Sachs &amp;</w:t>
      </w:r>
      <w:r>
        <w:rPr>
          <w:rFonts w:ascii="Arial" w:cs="Arial" w:eastAsia="Arial" w:hAnsi="Arial"/>
          <w:sz w:val="18"/>
          <w:szCs w:val="18"/>
          <w:color w:val="252525"/>
        </w:rPr>
        <w:t xml:space="preserve"> </w:t>
      </w:r>
      <w:r>
        <w:rPr>
          <w:rFonts w:ascii="Arial" w:cs="Arial" w:eastAsia="Arial" w:hAnsi="Arial"/>
          <w:sz w:val="18"/>
          <w:szCs w:val="18"/>
          <w:color w:val="000000"/>
        </w:rPr>
        <w:t>Co. on April 28, 2014 to repurchase $70.0 million of our common stock. We paid $70.0 million on April 29, 2014 and received an initial delivery of approximately 1.0 million shares. The ASR was completed on July 29, 2014 with a final delivery of approximately 0.4 million shares. We received a total of approximately 1.4 million shares under the ASR for an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purchase price per share of $51.46, which all shares were retired. The final number of shares repurchased was based on our volume-weighted average stock price during the term of the transaction, less an agreed upon discount.</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September 30, 2014, we repurchased on the open market approximately 0.1 million shares of our common stock at an average price of $54.22 per share, including commissions, for an aggregate purchase price of approximately $7.4 million. All repurchased shares were retired. As of September 30, 2014, we have $222.6 million remaining under the April 2014 stock repurchase program, $22.6 million of which we expect to purchase over the next six months.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Accounting for Income Taxes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provision for income taxes was $11.3 million and $7.4 million for the three months ended September 30, 2014 and 2013, respectively. This represents effective tax rates of 22.8% and 17.6%, respectively. The increase in our provision for income taxes was primarily due to higher pre-tax income, which was partially offset by a jurisdictional shift in forecasted earnings from the U.S. to lower-tax non-U.S. jurisdictions.</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provision for income taxes was $34.3 million and $18.5 million for the nine months ended September 30, 2014 and 2013, respectively. This represents effective tax rates of 24.4% and 45.9%, respectively. Our provision for income taxes reflects a negative impact from a $1.8 million adjustment related to prior years, offset by a jurisdictional shift in forecasted earnings from the U.S. to lower-tax non-U.S. jurisdictions. The effective tax rate for the nine months ended September 30, 2013 reflects a non-deductible goodwill impairment charge of $40.7 million recorded during the three months ended March 31, 2013.</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September 30, 2014, we maintained a valuation allowance of $35.4 million against deferred tax assets primarily related to foreign net operating loss carryforwards and capital loss carryforwards. These net operating and capital loss carryforwards would result in an income tax benefit if we were to conclude it is more likely than not that the related deferred tax assets will be realized.</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three months ended September 30, 2014, the change in our gross unrecognized tax benefits was not material. The total amount of gross unrecognized tax benefits was $31.1 million as of September 30, 2014, all of which would impact our effective tax rate if recognized. We have elected to recognize interest and penalties related to unrecognized tax benefits as a component of income taxes. The change in accrued interest and penalties during the three months ended September 30, 2014 was not material. We do not expect any significant changes to the amount of unrecognized tax benefit within the next twelve months.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first quarter of 2014, we adopted ASU 2013-11, "Presentation of an Unrecognized Tax Benefit when a Net Operating Loss Carryforward, a Similar Tax Loss, or a Tax Credit Carryforward Exists (a consensus of the FASB Emerging Issues Task Force)." The adoption of this standard had the effect of reducing our accruals for uncertain tax positions by $8.4 million, with an offsetting reduction in our long term deferred tax assets, but had no effect on net income.</w:t>
      </w:r>
    </w:p>
    <w:p>
      <w:pPr>
        <w:spacing w:after="0" w:line="1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subject to taxation in the U.S. and various states and foreign jurisdictions. All of our tax years will be open to examination by the U.S. federal and most state tax authorities due to our net operating loss and overall credit carryforward position. With few exceptions, we are no longer subject to examination by foreign tax authorities for years before 2006.</w:t>
      </w:r>
    </w:p>
    <w:p>
      <w:pPr>
        <w:spacing w:after="0" w:line="18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Under these incentives, all of the income in Costa Rica during these twelve year incentive periods is subject to reduced rate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2014. As a result of these incentives, our income taxes were reduced by $22.8 million and $18.0 million for the nine months ended September 30, 2014 and 2013, respectively, representing a benefit to diluted net income per share of $0.28 and $0.22 in 2014 and 2013, respectively. For the three months ended September 30, 2014 and 2013, income taxes were reduced by $7.7 million and $6.1 million, respectively, representing a benefit to diluted net income per share of $0.09 and $0.08, respectively.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Income Per Share</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stock options, RSU, MSU and ESPP.</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3"/>
              </w:rPr>
              <w:t>2013</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38,247</w:t>
            </w:r>
          </w:p>
        </w:tc>
        <w:tc>
          <w:tcPr>
            <w:tcW w:w="24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34,537</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106,291</w:t>
            </w:r>
          </w:p>
        </w:tc>
        <w:tc>
          <w:tcPr>
            <w:tcW w:w="2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21,874</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80,629</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79,967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80,924</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80,592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1,385</w:t>
            </w:r>
          </w:p>
        </w:tc>
        <w:tc>
          <w:tcPr>
            <w:tcW w:w="2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1,519</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Total shares, diluted</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82,014</w:t>
            </w:r>
          </w:p>
        </w:tc>
        <w:tc>
          <w:tcPr>
            <w:tcW w:w="2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81,848</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82,443</w:t>
            </w:r>
          </w:p>
        </w:tc>
        <w:tc>
          <w:tcPr>
            <w:tcW w:w="2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82,549</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Net income per share,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0.47</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per share,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and nine months ended September 30, 2014 and September 30, 2013, the anti-dilutive effect from stock options, RSU, MSU and ESPP was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grouped our operations into two reportable segments which are also our reporting units: Clear Aligner segment and Scanner segment.</w:t>
      </w:r>
    </w:p>
    <w:p>
      <w:pPr>
        <w:spacing w:after="0" w:line="237" w:lineRule="exact"/>
        <w:rPr>
          <w:sz w:val="20"/>
          <w:szCs w:val="20"/>
          <w:color w:val="auto"/>
        </w:rPr>
      </w:pPr>
    </w:p>
    <w:p>
      <w:pPr>
        <w:ind w:left="980" w:right="2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16"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180" w:type="dxa"/>
            <w:vAlign w:val="bottom"/>
          </w:tcPr>
          <w:p>
            <w:pPr>
              <w:spacing w:after="0"/>
              <w:rPr>
                <w:sz w:val="16"/>
                <w:szCs w:val="16"/>
                <w:color w:val="auto"/>
              </w:rPr>
            </w:pPr>
          </w:p>
        </w:tc>
        <w:tc>
          <w:tcPr>
            <w:tcW w:w="288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4"/>
              </w:rPr>
              <w:t>For the Nine Months Ended September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Clear Aligner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00"/>
              <w:spacing w:after="0"/>
              <w:rPr>
                <w:sz w:val="20"/>
                <w:szCs w:val="20"/>
                <w:color w:val="auto"/>
              </w:rPr>
            </w:pPr>
            <w:r>
              <w:rPr>
                <w:rFonts w:ascii="Arial" w:cs="Arial" w:eastAsia="Arial" w:hAnsi="Arial"/>
                <w:sz w:val="18"/>
                <w:szCs w:val="18"/>
                <w:color w:val="auto"/>
              </w:rPr>
              <w:t>Invisalign Full 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147,583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125,169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432,874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361,328</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Invisalign Express/Lite Products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52,943</w:t>
            </w:r>
          </w:p>
        </w:tc>
      </w:tr>
      <w:tr>
        <w:trPr>
          <w:trHeight w:val="243"/>
        </w:trPr>
        <w:tc>
          <w:tcPr>
            <w:tcW w:w="5160" w:type="dxa"/>
            <w:vAlign w:val="bottom"/>
          </w:tcPr>
          <w:p>
            <w:pPr>
              <w:ind w:left="300"/>
              <w:spacing w:after="0"/>
              <w:rPr>
                <w:sz w:val="20"/>
                <w:szCs w:val="20"/>
                <w:color w:val="auto"/>
              </w:rPr>
            </w:pPr>
            <w:r>
              <w:rPr>
                <w:rFonts w:ascii="Arial" w:cs="Arial" w:eastAsia="Arial" w:hAnsi="Arial"/>
                <w:sz w:val="18"/>
                <w:szCs w:val="18"/>
                <w:color w:val="auto"/>
              </w:rPr>
              <w:t>Invisalign non-case revenues</w:t>
            </w:r>
          </w:p>
        </w:tc>
        <w:tc>
          <w:tcPr>
            <w:tcW w:w="1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11,350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33,930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34,154</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Scanner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00"/>
              <w:spacing w:after="0"/>
              <w:rPr>
                <w:sz w:val="20"/>
                <w:szCs w:val="20"/>
                <w:color w:val="auto"/>
              </w:rPr>
            </w:pPr>
            <w:r>
              <w:rPr>
                <w:rFonts w:ascii="Arial" w:cs="Arial" w:eastAsia="Arial" w:hAnsi="Arial"/>
                <w:sz w:val="18"/>
                <w:szCs w:val="18"/>
                <w:color w:val="auto"/>
              </w:rPr>
              <w:t>Scanners and Services</w:t>
            </w:r>
          </w:p>
        </w:tc>
        <w:tc>
          <w:tcPr>
            <w:tcW w:w="1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11,738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10,956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36,941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33,489</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189,876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164,506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563,053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481,914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Clear Aligner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141,117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122,663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415,903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352,114</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Scanners and Services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9,516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145,054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125,090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427,781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361,630</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are presented below by geographic area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180" w:type="dxa"/>
            <w:vAlign w:val="bottom"/>
          </w:tcPr>
          <w:p>
            <w:pPr>
              <w:spacing w:after="0"/>
              <w:rPr>
                <w:sz w:val="16"/>
                <w:szCs w:val="16"/>
                <w:color w:val="auto"/>
              </w:rPr>
            </w:pPr>
          </w:p>
        </w:tc>
        <w:tc>
          <w:tcPr>
            <w:tcW w:w="288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4"/>
              </w:rPr>
              <w:t>For the 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b w:val="1"/>
                <w:bCs w:val="1"/>
                <w:color w:val="auto"/>
                <w:vertAlign w:val="superscript"/>
              </w:rPr>
              <w:t>(1)</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134,244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123,904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396,837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365,596</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Netherlands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35,878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86,049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16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19,754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47,815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30,269</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189,876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563,053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481,914</w:t>
            </w:r>
          </w:p>
        </w:tc>
      </w:tr>
      <w:tr>
        <w:trPr>
          <w:trHeight w:val="20"/>
        </w:trPr>
        <w:tc>
          <w:tcPr>
            <w:tcW w:w="5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ind w:left="520" w:hanging="188"/>
        <w:spacing w:after="0" w:line="197" w:lineRule="auto"/>
        <w:tabs>
          <w:tab w:leader="none" w:pos="520" w:val="left"/>
        </w:tabs>
        <w:numPr>
          <w:ilvl w:val="0"/>
          <w:numId w:val="5"/>
        </w:numPr>
        <w:rPr>
          <w:rFonts w:ascii="Arial" w:cs="Arial" w:eastAsia="Arial" w:hAnsi="Arial"/>
          <w:sz w:val="23"/>
          <w:szCs w:val="23"/>
          <w:b w:val="1"/>
          <w:bCs w:val="1"/>
          <w:color w:val="auto"/>
          <w:vertAlign w:val="superscript"/>
        </w:rPr>
      </w:pPr>
      <w:r>
        <w:rPr>
          <w:rFonts w:ascii="Arial" w:cs="Arial" w:eastAsia="Arial" w:hAnsi="Arial"/>
          <w:sz w:val="13"/>
          <w:szCs w:val="13"/>
          <w:color w:val="auto"/>
        </w:rPr>
        <w:t>Net revenues are attributed to countries based on location of where revenue is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-128905</wp:posOffset>
            </wp:positionV>
            <wp:extent cx="3978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Tangible long-lived assets are presented below by geographic area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1420" w:type="dxa"/>
            <w:vAlign w:val="bottom"/>
          </w:tcPr>
          <w:p>
            <w:pPr>
              <w:jc w:val="right"/>
              <w:ind w:right="355"/>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7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2013</w:t>
            </w: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b w:val="1"/>
                <w:bCs w:val="1"/>
                <w:color w:val="auto"/>
                <w:vertAlign w:val="superscript"/>
              </w:rPr>
              <w:t>(2)</w:t>
            </w: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72,616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61,439</w:t>
            </w: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6,291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3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1,630</w:t>
            </w: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6,383</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86,447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75,743</w:t>
            </w:r>
          </w:p>
        </w:tc>
      </w:tr>
      <w:tr>
        <w:trPr>
          <w:trHeight w:val="27"/>
        </w:trPr>
        <w:tc>
          <w:tcPr>
            <w:tcW w:w="7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520" w:hanging="188"/>
        <w:spacing w:after="0"/>
        <w:tabs>
          <w:tab w:leader="none" w:pos="520" w:val="left"/>
        </w:tabs>
        <w:numPr>
          <w:ilvl w:val="0"/>
          <w:numId w:val="6"/>
        </w:numPr>
        <w:rPr>
          <w:rFonts w:ascii="Arial" w:cs="Arial" w:eastAsia="Arial" w:hAnsi="Arial"/>
          <w:sz w:val="23"/>
          <w:szCs w:val="23"/>
          <w:b w:val="1"/>
          <w:bCs w:val="1"/>
          <w:color w:val="auto"/>
          <w:vertAlign w:val="superscript"/>
        </w:rPr>
      </w:pPr>
      <w:r>
        <w:rPr>
          <w:rFonts w:ascii="Arial" w:cs="Arial" w:eastAsia="Arial" w:hAnsi="Arial"/>
          <w:sz w:val="13"/>
          <w:szCs w:val="13"/>
          <w:color w:val="auto"/>
        </w:rPr>
        <w:t>Long-lived assets are attributed to countries based on entity that owns the asset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tabs>
          <w:tab w:leader="none" w:pos="1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that our new products and product enhancements will have on doctor utilization and our market share, our expectations regarding product mix and product adoption, our expectations regarding the existence and impact of seasonality, our expectations regarding the financial and strategic benefits of the scanner and services business, our expectations to increase our investment in manufacturing capacity, our expectations regarding the continued expansion of our international markets, the anticipated number of new doctors trained, the effectiveness of our new training course and its impact on volumes, our expectations regarding our stock repurchase program,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8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Condensed Consolidated Financial Statements and related notes included elsewhere in this Quarterly Report on Form 10-Q.</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Align Technology, Inc. is a global medical device company that advanced the invisible orthodontics market with the introduction of the Invisalign System in 1999. Today, we are focused on designing, manufacturing and marketing innovative technology-rich products to help dental professionals achieve the clinical results they expect and deliver effective, convenient cutting-edge dental treatment options to their patients. Align Technology was founded in March 1997 and is headquartered in San Jose, California with offices worldwide. Our international headquarters are located in Amsterdam, the Netherlands. We have two operating segments: (1) Clear Aligner, known as the Invisalign System; and (2) Scanner and Services ("Scanner"), known as the iTero intra-oral scanners and OrthoCAD services (which we previously referred to as Scanner and CAD/CAM Services ("SCCS")).</w:t>
      </w:r>
    </w:p>
    <w:p>
      <w:pPr>
        <w:spacing w:after="0" w:line="20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received FDA clearance in 1998 and began our first commercial sales of Invisalign to U.S. orthodontists in 1999 followed by U.S. General Practitioner Dentists ("GPs") in 2002. Over the next decade, we introduced Invisalign to the European market and Japan, added distribution partners in Asia-Pacific, Latin America, and Europe Middle East and Africa ("EMEA"), and introduced a full range of treatment options including Invisalign Express 10, Invisalign Teen, Invisalign Assist, and Vivera Retainers. By 2011, we launched significant new aligner and software features across all Invisalign products that make it easier for doctors to use Invisalign on more complex cases, and introduced Invisalign to the People’s Republic of China. In 2013, we launched SmartTrack, the next generation of Invisalign clear aligner material, which became the new standard aligner material for Invisalign products in North America, Europe and other international markets where we have obtained regulatory approval. Most recently, in February 2014, we launched Invisalign G5 innovations, specifically designed for treatment of deep bite malocclusion as well as ClinCheck Pro, the next generation Invisalign treatment software tool, designed to help Invisalign providers achieve their treatment goals.</w:t>
      </w:r>
    </w:p>
    <w:p>
      <w:pPr>
        <w:spacing w:after="0" w:line="20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also sell iTero intra-oral scanners and provide computer-aided design and computer-aided manufacturing ("CAD/CAM") services. Intra-oral scanners provide a dental “chair-side” platform for accessing valuable digital diagnosis and treatment tools, with potential for enhancing accuracy of records, treatment efficiency, and the overall patient experience. We believe there are numerous benefits for customers and the opportunity to accelerate the adoption of Invisalign through interoperability with our intra-oral scanners. The use of digital technologies such as CAD/CAM for restorative dentistry or in-office restorations has been growing rapidly and intra-oral scanning is a critical part of enabling these new digital technologies and procedures in dental practices. In late 2012, we commercially launched the Invisalign Outcome Simulator, the first Invisalign chair-side application powered by the iTero scanner. The interactive application provides dentists and orthodontists an enhanced platform for patient education and is designed to increase treatment acceptance by helping patients visualize the benefits possible with Invisalign treatment. In January 2014, we announced that the 3M™ True Definition scanner was qualified for use with Invisalign case submissions. This qualification enables Invisalign providers with a True Definition scanner to submit a digital impression in place of a traditional PVS impression as part of the Invisalign case submission process. The 3M True Definition scanner is currently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91" w:right="239" w:bottom="1440" w:gutter="0" w:footer="0" w:header="0"/>
        </w:sectPr>
      </w:pPr>
    </w:p>
    <w:bookmarkStart w:id="22" w:name="page23"/>
    <w:bookmarkEnd w:id="22"/>
    <w:p>
      <w:pPr>
        <w:jc w:val="both"/>
        <w:spacing w:after="0" w:line="342" w:lineRule="auto"/>
        <w:rPr>
          <w:sz w:val="20"/>
          <w:szCs w:val="20"/>
          <w:color w:val="auto"/>
        </w:rPr>
      </w:pPr>
      <w:r>
        <w:rPr>
          <w:rFonts w:ascii="Arial" w:cs="Arial" w:eastAsia="Arial" w:hAnsi="Arial"/>
          <w:sz w:val="16"/>
          <w:szCs w:val="16"/>
          <w:color w:val="auto"/>
        </w:rPr>
        <w:t>only third-party scanner that has been qualified for use with Invisalign treatment. We continue to believe in an open systems approach to digital impressions, and are committed to working with other intra-oral scanning companies interested in developing interoperability for use with Invisalign treatment.</w:t>
      </w:r>
    </w:p>
    <w:p>
      <w:pPr>
        <w:spacing w:after="0" w:line="15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Invisalign System is offered in more than 80 countries and has been used to treat more than 2.8 million patients. Our iTero intra-oral scanner, which is primarily sold in North America, provides dental professionals with an open choice to send digital impressions to any laboratory-based CAD/CAM system or to any of the more than 2,300 dental labs worldwide.</w:t>
      </w:r>
    </w:p>
    <w:p>
      <w:pPr>
        <w:spacing w:after="0" w:line="20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successful execution of our business strategy and our results in 2014 and beyond may be affected by a number of other factors, which are updated below:</w:t>
      </w:r>
    </w:p>
    <w:p>
      <w:pPr>
        <w:spacing w:after="0" w:line="197" w:lineRule="exact"/>
        <w:rPr>
          <w:sz w:val="20"/>
          <w:szCs w:val="20"/>
          <w:color w:val="auto"/>
        </w:rPr>
      </w:pPr>
    </w:p>
    <w:p>
      <w:pPr>
        <w:jc w:val="both"/>
        <w:ind w:left="980" w:hanging="486"/>
        <w:spacing w:after="0" w:line="289"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New Products, Feature Enhancements and Technology Innovation</w:t>
      </w:r>
      <w:r>
        <w:rPr>
          <w:rFonts w:ascii="Arial" w:cs="Arial" w:eastAsia="Arial" w:hAnsi="Arial"/>
          <w:sz w:val="16"/>
          <w:szCs w:val="16"/>
          <w:color w:val="auto"/>
        </w:rPr>
        <w:t>. Product innovation drives greater treatment predictability and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applicability, and ease of use for our customers, which supports adoption of Invisalign in their practices. Increasing applicability and treating more complex cases requires that we move away from individual features to more comprehensive solutions so that Invisalign providers can more predictably treat the whole case, such as with Invisalign G5 for deep bite treatment. Launched in February 2014, Invisalign G5 was engineered to help doctors achieve even better clinical outcomes when treating patients with deep bites - a prevalent orthodontic problem. In North America, in February 2014, we also launched ClinCheck Pro, the next generation Invisalign treatment software tool, designed to provide more precise control over final tooth position and to help Invisalign providers achieve their treatment goals. We intend to launch ClinCheck Pro in our other country markets in the first quarter of 2015. We believe that over the long-term, clinical solutions and treatment tools will increase adoption of Invisalign; however, it is difficult to predict the rate of adoption which may vary by region and channel.</w:t>
      </w:r>
    </w:p>
    <w:p>
      <w:pPr>
        <w:spacing w:after="0" w:line="112" w:lineRule="exact"/>
        <w:rPr>
          <w:rFonts w:ascii="Arial" w:cs="Arial" w:eastAsia="Arial" w:hAnsi="Arial"/>
          <w:sz w:val="16"/>
          <w:szCs w:val="16"/>
          <w:color w:val="auto"/>
        </w:rPr>
      </w:pPr>
    </w:p>
    <w:p>
      <w:pPr>
        <w:jc w:val="both"/>
        <w:ind w:left="980" w:hanging="486"/>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Invisalign Utilization rates. </w:t>
      </w:r>
      <w:r>
        <w:rPr>
          <w:rFonts w:ascii="Arial" w:cs="Arial" w:eastAsia="Arial" w:hAnsi="Arial"/>
          <w:sz w:val="18"/>
          <w:szCs w:val="18"/>
          <w:color w:val="auto"/>
        </w:rPr>
        <w:t>Our goal is to establish Invisalign as the treatment of choice for treating malocclusion ultimately driving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adoption and frequency of use by dental professionals, also known as "utilization rates". Our quarterly utilization rates for the previous 9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90170</wp:posOffset>
            </wp:positionV>
            <wp:extent cx="5196840" cy="3302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9684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0" w:hanging="133"/>
        <w:spacing w:after="0"/>
        <w:tabs>
          <w:tab w:leader="none" w:pos="1600" w:val="left"/>
        </w:tabs>
        <w:numPr>
          <w:ilvl w:val="0"/>
          <w:numId w:val="8"/>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11" w:right="239" w:bottom="1440" w:gutter="0" w:footer="0" w:header="0"/>
        </w:sectPr>
      </w:pPr>
    </w:p>
    <w:bookmarkStart w:id="23" w:name="page24"/>
    <w:bookmarkEnd w:id="23"/>
    <w:p>
      <w:pPr>
        <w:jc w:val="both"/>
        <w:ind w:left="486"/>
        <w:spacing w:after="0" w:line="269" w:lineRule="auto"/>
        <w:rPr>
          <w:sz w:val="20"/>
          <w:szCs w:val="20"/>
          <w:color w:val="auto"/>
        </w:rPr>
      </w:pPr>
      <w:r>
        <w:rPr>
          <w:rFonts w:ascii="Arial" w:cs="Arial" w:eastAsia="Arial" w:hAnsi="Arial"/>
          <w:sz w:val="17"/>
          <w:szCs w:val="17"/>
          <w:color w:val="auto"/>
        </w:rPr>
        <w:t>Total utilization in the third quarter of 2014 was 4.4 cases per doctor, up slightly from 4.3 cases in the third quarter of 2013 driven primarily by North America orthodontist and International customers. Utilization among our North American orthodontist customers increased to 8.8 cases per doctor in the third quarter of 2014 from 8.4 cases in the third quarter of 2013, while our International doctor utilization increased to 4.3 cases in the third quarter of 2014 from 4.1 cases in the third quarter of 2013. This increase in North America orthodontist utilization reflects improvements in product and technology, which continues to strengthen our doctors’ clinical confidence in the use of Invisalign such that they now utilize Invisalign more often and on more complex cases, including their teenage patients. Increased International utilization reflects growth in both the EMEA and Asia Pacific regions driven by go-to-market and sales coverage investments, improving clinical education and support as well as ongoing technology innovation. Year over year utilization for our North American GP customers decreased to 2.8 cases per doctor in the third quarter of 2014 from 2.9 cases in the third quarter of 2013. Although we expect that over the long-term our utilization rates will gradually improve, we expect that period over period comparisons of our utilization rates will fluctuate due to a variety of factors, including as a result of seasonal trends in our business.</w:t>
      </w:r>
    </w:p>
    <w:p>
      <w:pPr>
        <w:spacing w:after="0" w:line="183" w:lineRule="exact"/>
        <w:rPr>
          <w:sz w:val="20"/>
          <w:szCs w:val="20"/>
          <w:color w:val="auto"/>
        </w:rPr>
      </w:pPr>
    </w:p>
    <w:p>
      <w:pPr>
        <w:jc w:val="both"/>
        <w:ind w:left="486" w:hanging="486"/>
        <w:spacing w:after="0" w:line="270" w:lineRule="auto"/>
        <w:tabs>
          <w:tab w:leader="none" w:pos="48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Seasonal Trends. </w:t>
      </w:r>
      <w:r>
        <w:rPr>
          <w:rFonts w:ascii="Arial" w:cs="Arial" w:eastAsia="Arial" w:hAnsi="Arial"/>
          <w:sz w:val="17"/>
          <w:szCs w:val="17"/>
          <w:color w:val="auto"/>
        </w:rPr>
        <w:t>In North America, summer is typically the busiest season for orthodontists with practices that have a high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adolescent and teenage patients as many parents want to get their teenagers started in treatment before the start of the school year; however, many GPs are on vacation during this time and, therefore, tend to start fewer cases. Internationally, sales of Invisalign treatment are often weaker in the summer months due to our customers and their patients being on holiday. The fourth quarter is often a slower period for North American Orthodontists as fewer teenagers start orthodontic treatment once the school year has started. As such, we expect North American Orthodontists to be down sequentially in the fourth quarter. Offsetting this trend, our fourth quarter has historically been a stronger quarter for our international doctors and North American GPs as they rebound from a seasonally slower summer quarter. We expect volume for both international and North American GPs to be up sequentially in the fourth quarter. Consequently, we expect that our Invisalign volume in the fourth quarter of 2014 will be up slightly compared to the third quarter.</w:t>
      </w:r>
    </w:p>
    <w:p>
      <w:pPr>
        <w:spacing w:after="0" w:line="181" w:lineRule="exact"/>
        <w:rPr>
          <w:rFonts w:ascii="Arial" w:cs="Arial" w:eastAsia="Arial" w:hAnsi="Arial"/>
          <w:sz w:val="17"/>
          <w:szCs w:val="17"/>
          <w:color w:val="auto"/>
        </w:rPr>
      </w:pPr>
    </w:p>
    <w:p>
      <w:pPr>
        <w:jc w:val="both"/>
        <w:ind w:left="486" w:hanging="486"/>
        <w:spacing w:after="0" w:line="271" w:lineRule="auto"/>
        <w:tabs>
          <w:tab w:leader="none" w:pos="48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Number of new Invisalign doctors trained. </w:t>
      </w:r>
      <w:r>
        <w:rPr>
          <w:rFonts w:ascii="Arial" w:cs="Arial" w:eastAsia="Arial" w:hAnsi="Arial"/>
          <w:sz w:val="17"/>
          <w:szCs w:val="17"/>
          <w:color w:val="auto"/>
        </w:rPr>
        <w:t>We continue to expand our Invisalign customer base through the training of new doctors. In 2013,</w:t>
      </w:r>
      <w:r>
        <w:rPr>
          <w:rFonts w:ascii="Arial" w:cs="Arial" w:eastAsia="Arial" w:hAnsi="Arial"/>
          <w:sz w:val="17"/>
          <w:szCs w:val="17"/>
          <w:i w:val="1"/>
          <w:iCs w:val="1"/>
          <w:color w:val="auto"/>
        </w:rPr>
        <w:t xml:space="preserve"> </w:t>
      </w:r>
      <w:r>
        <w:rPr>
          <w:rFonts w:ascii="Arial" w:cs="Arial" w:eastAsia="Arial" w:hAnsi="Arial"/>
          <w:sz w:val="17"/>
          <w:szCs w:val="17"/>
          <w:color w:val="auto"/>
        </w:rPr>
        <w:t>Invisalign growth was driven primarily by increased utilization by our orthodontist customers as well as by the continued expansion of our customer base as we trained a total of 8,065 new Invisalign doctors. GPs are one of the keys to driving growth in the adult segment, and, in 2014, we launched a new CE I training course, now called Invisalign Fundamentals, designed to improve practice integration and increase utilization for newly trained doctors. We have implemented this new Invisalign Fundamentals program across North America and will look for opportunities to adjust our international training programs as we work to help our GP practices worldwide more successfully adopt Invisalign into their practices. We believe that this new training approach will increase the number of doctors submitting cases 90-days post-training, as well as the number of cases submitted per doctor.</w:t>
      </w:r>
    </w:p>
    <w:p>
      <w:pPr>
        <w:spacing w:after="0" w:line="178" w:lineRule="exact"/>
        <w:rPr>
          <w:rFonts w:ascii="Arial" w:cs="Arial" w:eastAsia="Arial" w:hAnsi="Arial"/>
          <w:sz w:val="17"/>
          <w:szCs w:val="17"/>
          <w:i w:val="1"/>
          <w:iCs w:val="1"/>
          <w:color w:val="auto"/>
        </w:rPr>
      </w:pPr>
    </w:p>
    <w:p>
      <w:pPr>
        <w:jc w:val="both"/>
        <w:ind w:left="486" w:hanging="486"/>
        <w:spacing w:after="0" w:line="270" w:lineRule="auto"/>
        <w:tabs>
          <w:tab w:leader="none" w:pos="48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Clear Aligner. </w:t>
      </w:r>
      <w:r>
        <w:rPr>
          <w:rFonts w:ascii="Arial" w:cs="Arial" w:eastAsia="Arial" w:hAnsi="Arial"/>
          <w:sz w:val="17"/>
          <w:szCs w:val="17"/>
          <w:color w:val="auto"/>
        </w:rPr>
        <w:t>We will continue to focus our efforts towards increasing adoption of our products by dental professionals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 international markets. On a year over year basis, international volume increased 27.8%, driven primarily by growth in Europe as well as by strong performance in the Asia Pacific region. In 2014, we are continuing to expand in our existing markets through targeted investments in sales coverage and professional marketing and education programs, along with consumer marketing in selected country markets. In addition, given the significant long term potential this extensive geography represents and the support we can now provide by utilizing our direct coverage model in Europe, beginning in February 2014, we began the transition of a small number of countries into direct sales regions. We continued the transition of additional smaller countries during the current quarter which will continue through February 2015. We expect to leverage our existing infrastructure and resources to bring sales coverage and customer support to these countries, most of which are adjacent to our directly covered European countries. Due to the small volume of business from our EMEA distributor, we do not anticipate that this transition will have a material effect on our financial results in the next several years.</w:t>
      </w:r>
    </w:p>
    <w:p>
      <w:pPr>
        <w:spacing w:after="0" w:line="123" w:lineRule="exact"/>
        <w:rPr>
          <w:rFonts w:ascii="Arial" w:cs="Arial" w:eastAsia="Arial" w:hAnsi="Arial"/>
          <w:sz w:val="17"/>
          <w:szCs w:val="17"/>
          <w:color w:val="auto"/>
        </w:rPr>
      </w:pPr>
    </w:p>
    <w:p>
      <w:pPr>
        <w:jc w:val="both"/>
        <w:ind w:left="486" w:hanging="486"/>
        <w:spacing w:after="0" w:line="254" w:lineRule="auto"/>
        <w:tabs>
          <w:tab w:leader="none" w:pos="486"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rates. </w:t>
      </w:r>
      <w:r>
        <w:rPr>
          <w:rFonts w:ascii="Arial" w:cs="Arial" w:eastAsia="Arial" w:hAnsi="Arial"/>
          <w:sz w:val="18"/>
          <w:szCs w:val="18"/>
          <w:color w:val="auto"/>
        </w:rPr>
        <w:t>Although the U.S. dollar is our reporting currency, a portion of our net revenues and income are generated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Net revenues and income generated by subsidiaries operating outside of the U.S. are translated into U.S. dollars using exchange rates effective during the respective period and as a result are affected by changes in exchange rates. We have generally accepted the exposure to exchange rate movements without using derivative financial instruments to manage this risk; therefore, both positive and negative movements in currency exchange rates against the U.S. dollar will continue to affect the reported amount of net revenues and income in our consolidated financial statements. In the third quarter of 2014, our net revenues were negatively impacted by $0.8 million and we incurred other foreign currency translation net losses of $2.1 million in Interest and Other Income (Expense) net, due to current fluctuations of the Euro to the U.S. Dollar.</w:t>
      </w:r>
    </w:p>
    <w:p>
      <w:pPr>
        <w:spacing w:after="0" w:line="381"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6"/>
          </w:cols>
          <w:pgMar w:left="734" w:top="584" w:right="239" w:bottom="1440" w:gutter="0" w:footer="0" w:header="0"/>
        </w:sectPr>
      </w:pPr>
    </w:p>
    <w:bookmarkStart w:id="24" w:name="page25"/>
    <w:bookmarkEnd w:id="24"/>
    <w:p>
      <w:pPr>
        <w:jc w:val="both"/>
        <w:ind w:left="980" w:hanging="486"/>
        <w:spacing w:after="0" w:line="269" w:lineRule="auto"/>
        <w:tabs>
          <w:tab w:leader="none" w:pos="98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Medical Device Excise Tax</w:t>
      </w:r>
      <w:r>
        <w:rPr>
          <w:rFonts w:ascii="Arial" w:cs="Arial" w:eastAsia="Arial" w:hAnsi="Arial"/>
          <w:sz w:val="17"/>
          <w:szCs w:val="17"/>
          <w:color w:val="auto"/>
        </w:rPr>
        <w:t>. During March 2014, Align had extensive discussions with the IRS and they informed us that our aligners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medical device excise tax ("MDET") which we had been paying and expensing in general and administrative expenses in the consolidated statements of operations since January 1, 2013; however, our scanners are still subject to the MDET. As a result of these discussions, beginning in March 2014, we ceased expensing and paying the MDET for aligners, which reduced our first quarter general and administrative expense by approximately $0.5 million. In June 2014, we received a $1.2 million refund for MDET paid in 2014 related to our aligners which reduced general and administrative expenses for the three months ended June 30, 2014. In the current quarter, MDET expense was lower by approximately $1.6 million compared to the same quarter in the prior year. Additionally, we are in process of claiming a $6.8 million refund of MDET paid in 2013 related to our aligners; however, because this claim is subject to review and approval by the IRS, we have not recorded a receivable as the outcome of the audit is uncertain. Any future changes in the applicability of the MDET as it applies to us or refunds of amounts previously paid will be recorded as an additional expense or a credit to the consolidated statement of operations in the period in which it becomes probable and reasonably estimable.</w:t>
      </w:r>
    </w:p>
    <w:p>
      <w:pPr>
        <w:spacing w:after="0" w:line="128" w:lineRule="exact"/>
        <w:rPr>
          <w:rFonts w:ascii="Arial" w:cs="Arial" w:eastAsia="Arial" w:hAnsi="Arial"/>
          <w:sz w:val="17"/>
          <w:szCs w:val="17"/>
          <w:i w:val="1"/>
          <w:iCs w:val="1"/>
          <w:color w:val="auto"/>
        </w:rPr>
      </w:pPr>
    </w:p>
    <w:p>
      <w:pPr>
        <w:jc w:val="both"/>
        <w:ind w:left="980" w:hanging="486"/>
        <w:spacing w:after="0" w:line="269" w:lineRule="auto"/>
        <w:tabs>
          <w:tab w:leader="none" w:pos="980" w:val="left"/>
        </w:tabs>
        <w:numPr>
          <w:ilvl w:val="0"/>
          <w:numId w:val="10"/>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Stock Repurchase Authorization. </w:t>
      </w:r>
      <w:r>
        <w:rPr>
          <w:rFonts w:ascii="Arial" w:cs="Arial" w:eastAsia="Arial" w:hAnsi="Arial"/>
          <w:sz w:val="17"/>
          <w:szCs w:val="17"/>
          <w:color w:val="auto"/>
        </w:rPr>
        <w:t>On April 23, 2014, we announced that our Board of Directors had authorized a stock repurchase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pursuant to which we may purchase up to $300.0 million of our common stock over the next three years, with $100.0 million of that amount authorized to be purchased over the first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The program does not obligate Align to acquire any particular amount of common stock and depending on market conditions or other factors these purchases may be commenced or suspended at any time, or from time-to-time without prior notice. The </w:t>
      </w:r>
      <w:r>
        <w:rPr>
          <w:rFonts w:ascii="Arial" w:cs="Arial" w:eastAsia="Arial" w:hAnsi="Arial"/>
          <w:sz w:val="17"/>
          <w:szCs w:val="17"/>
          <w:color w:val="252525"/>
        </w:rPr>
        <w:t xml:space="preserve">authorization or continuance of any repurchases under stock repurchase programs is contingent on a variety of factors, including our financial condition, results of operations, business requirements, and our Board of Directors' continuing determination that such stock repurchases are in the best interests of our stockholders and in compliance with all laws and applicable agreements. Additionally, there can be no assurance that our stock repurchase program will have a beneficial impact on our stock price. </w:t>
      </w:r>
      <w:r>
        <w:rPr>
          <w:rFonts w:ascii="Arial" w:cs="Arial" w:eastAsia="Arial" w:hAnsi="Arial"/>
          <w:sz w:val="17"/>
          <w:szCs w:val="17"/>
          <w:color w:val="000000"/>
        </w:rPr>
        <w:t>As of September 30, 2014, there is approximately $222.6 million</w:t>
      </w:r>
      <w:r>
        <w:rPr>
          <w:rFonts w:ascii="Arial" w:cs="Arial" w:eastAsia="Arial" w:hAnsi="Arial"/>
          <w:sz w:val="17"/>
          <w:szCs w:val="17"/>
          <w:color w:val="252525"/>
        </w:rPr>
        <w:t xml:space="preserve"> </w:t>
      </w:r>
      <w:r>
        <w:rPr>
          <w:rFonts w:ascii="Arial" w:cs="Arial" w:eastAsia="Arial" w:hAnsi="Arial"/>
          <w:sz w:val="17"/>
          <w:szCs w:val="17"/>
          <w:color w:val="000000"/>
        </w:rPr>
        <w:t>remaining under the April 2014 stock repurchase program.</w:t>
      </w:r>
    </w:p>
    <w:p>
      <w:pPr>
        <w:spacing w:after="0" w:line="125" w:lineRule="exact"/>
        <w:rPr>
          <w:rFonts w:ascii="Arial" w:cs="Arial" w:eastAsia="Arial" w:hAnsi="Arial"/>
          <w:sz w:val="17"/>
          <w:szCs w:val="17"/>
          <w:b w:val="1"/>
          <w:bCs w:val="1"/>
          <w:color w:val="auto"/>
        </w:rPr>
      </w:pPr>
    </w:p>
    <w:p>
      <w:pPr>
        <w:jc w:val="both"/>
        <w:ind w:left="980" w:hanging="486"/>
        <w:spacing w:after="0" w:line="293" w:lineRule="auto"/>
        <w:tabs>
          <w:tab w:leader="none" w:pos="980" w:val="left"/>
        </w:tabs>
        <w:numPr>
          <w:ilvl w:val="0"/>
          <w:numId w:val="10"/>
        </w:numPr>
        <w:rPr>
          <w:rFonts w:ascii="Arial" w:cs="Arial" w:eastAsia="Arial" w:hAnsi="Arial"/>
          <w:sz w:val="16"/>
          <w:szCs w:val="16"/>
          <w:color w:val="252525"/>
        </w:rPr>
      </w:pPr>
      <w:r>
        <w:rPr>
          <w:rFonts w:ascii="Arial" w:cs="Arial" w:eastAsia="Arial" w:hAnsi="Arial"/>
          <w:sz w:val="16"/>
          <w:szCs w:val="16"/>
          <w:i w:val="1"/>
          <w:iCs w:val="1"/>
          <w:color w:val="252525"/>
        </w:rPr>
        <w:t xml:space="preserve">Accelerated Stock Repurchase Agreement. </w:t>
      </w:r>
      <w:r>
        <w:rPr>
          <w:rFonts w:ascii="Arial" w:cs="Arial" w:eastAsia="Arial" w:hAnsi="Arial"/>
          <w:sz w:val="16"/>
          <w:szCs w:val="16"/>
          <w:color w:val="252525"/>
        </w:rPr>
        <w:t>As part of our $300.0 million stock repurchase program,</w:t>
      </w:r>
      <w:r>
        <w:rPr>
          <w:rFonts w:ascii="Arial" w:cs="Arial" w:eastAsia="Arial" w:hAnsi="Arial"/>
          <w:sz w:val="16"/>
          <w:szCs w:val="16"/>
          <w:i w:val="1"/>
          <w:iCs w:val="1"/>
          <w:color w:val="252525"/>
        </w:rPr>
        <w:t xml:space="preserve"> </w:t>
      </w:r>
      <w:r>
        <w:rPr>
          <w:rFonts w:ascii="Arial" w:cs="Arial" w:eastAsia="Arial" w:hAnsi="Arial"/>
          <w:sz w:val="16"/>
          <w:szCs w:val="16"/>
          <w:color w:val="000000"/>
        </w:rPr>
        <w:t>we entered into an accelerated share</w:t>
      </w:r>
      <w:r>
        <w:rPr>
          <w:rFonts w:ascii="Arial" w:cs="Arial" w:eastAsia="Arial" w:hAnsi="Arial"/>
          <w:sz w:val="16"/>
          <w:szCs w:val="16"/>
          <w:i w:val="1"/>
          <w:iCs w:val="1"/>
          <w:color w:val="252525"/>
        </w:rPr>
        <w:t xml:space="preserve"> </w:t>
      </w:r>
      <w:r>
        <w:rPr>
          <w:rFonts w:ascii="Arial" w:cs="Arial" w:eastAsia="Arial" w:hAnsi="Arial"/>
          <w:sz w:val="16"/>
          <w:szCs w:val="16"/>
          <w:color w:val="000000"/>
        </w:rPr>
        <w:t>repurchase agreement ("ASR") with Goldman, Sachs &amp; Co. on April 28, 2014 to repurchase $70.0 million of our common stock. We paid $70.0 million on April 29, 2014 and received an initial delivery of approximately 1.0 million shares based on the then current market price, which were retired. The ASR was completed on July 29, 2014 with a final delivery of approximately 0.4 million shares. Under the ASR, we received a total of approximately 1.4 million shares of our common stock for an average purchase price per share of $51.46. The final number of shares repurchased was based on our volume-weighted average stock price during the term of the transaction, less an agreed upon discount.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ind w:left="9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Teen and Assist ("Full Products"), Express/Lite ("Express Products"),Vivera retainers, along with our training and ancillary products for treating malocclusion.</w:t>
      </w:r>
    </w:p>
    <w:p>
      <w:pPr>
        <w:spacing w:after="0" w:line="17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Net revenues for our Clear Aligner segment by region and product and our Scanner segment by region for the three and nine months ended September 30, 2014 and 2013 is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4"/>
              </w:rPr>
              <w:t>For the 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Nine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Clear Aligner:</w:t>
            </w:r>
          </w:p>
        </w:tc>
        <w:tc>
          <w:tcPr>
            <w:tcW w:w="200" w:type="dxa"/>
            <w:vAlign w:val="bottom"/>
          </w:tcPr>
          <w:p>
            <w:pPr>
              <w:spacing w:after="0"/>
              <w:rPr>
                <w:sz w:val="13"/>
                <w:szCs w:val="13"/>
                <w:color w:val="auto"/>
              </w:rPr>
            </w:pPr>
          </w:p>
        </w:tc>
        <w:tc>
          <w:tcPr>
            <w:tcW w:w="6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Net</w:t>
            </w:r>
          </w:p>
        </w:tc>
        <w:tc>
          <w:tcPr>
            <w:tcW w:w="84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Net</w:t>
            </w:r>
          </w:p>
        </w:tc>
        <w:tc>
          <w:tcPr>
            <w:tcW w:w="104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104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Region</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332.9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43.5 %</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Invisalign non-case net revenues</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Clear Aligner 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Product</w:t>
            </w: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Full Products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Invisalign Express Products</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non-case net revenues</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Clear Aligner net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178.1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526.1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Scanner:</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Region</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Scanner 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5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Total 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2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Region and Product</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Case volume data which represents Invisalign case shipments by region and product, for the three and nine months ended September 30, 2014 and 2013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center"/>
              <w:ind w:left="36"/>
              <w:spacing w:after="0"/>
              <w:rPr>
                <w:sz w:val="20"/>
                <w:szCs w:val="20"/>
                <w:color w:val="auto"/>
              </w:rPr>
            </w:pPr>
            <w:r>
              <w:rPr>
                <w:rFonts w:ascii="Arial" w:cs="Arial" w:eastAsia="Arial" w:hAnsi="Arial"/>
                <w:sz w:val="14"/>
                <w:szCs w:val="14"/>
                <w:b w:val="1"/>
                <w:bCs w:val="1"/>
                <w:color w:val="auto"/>
                <w:w w:val="94"/>
              </w:rPr>
              <w:t>For the Nine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left="36"/>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Region</w:t>
            </w:r>
          </w:p>
        </w:tc>
        <w:tc>
          <w:tcPr>
            <w:tcW w:w="9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7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0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Net</w:t>
            </w:r>
          </w:p>
        </w:tc>
        <w:tc>
          <w:tcPr>
            <w:tcW w:w="98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7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9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Net</w:t>
            </w:r>
          </w:p>
        </w:tc>
        <w:tc>
          <w:tcPr>
            <w:tcW w:w="98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5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tcPr>
          <w:p>
            <w:pPr>
              <w:jc w:val="right"/>
              <w:ind w:right="1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North American Invisalign</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International Invisalign</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Invisalign case volume</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351.1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Product</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Invisalign Full Product Group</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Invisalign Express Product Group</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Invisalign case volume</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351.1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Total net revenues increased by $25.4 million and $81.2 million for the three and nine months ended September 30, 2014, respectively, as compared to the same period in 2013 primarily as a result of Invisalign case volume growth across all regions and most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the three months ended September 30, 2014, Clear Aligner North America net revenues increased by $9.4 million or 9.0% compared to the same period in 2013 primarily due to Invisalign case volume growth of approximately $6.8 million across all channels and most products and, to a lesser extent, higher average selling prices ("ASP") which contributed approximately $2.6 million to the increase in net revenues. The increase in ASP was primarily a result of increased mid-course correction revenue in the current period compared to the same period in the prior year.</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nine months ended September 30, 2014, Clear Aligner North America net revenues increased by $29.7 million or 9.8% compared to the same period in 2013 mainly due to Invisalign case volume growth of $23.3 million and, to a lesser extent, higher ASP which contributed approximately $6.4 million to the increase in net revenues. The increase in ASP was a result of a product mix shift towards higher priced Invisalign full products as well as increased mid-course correction revenue in the current period compared to the same period in the prior year.</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the three months ended September 30, 2014, Clear Aligner international net revenues increased by $14.5 million or 37.3% compared to the same period in 2013 primarily driven by Invisalign case volume growth of $10.8 million across all products and higher ASP which contributed approximately $3.6 million to the increase in net revenues. The increase in ASP was a result of a product mix shift towards higher priced Invisalign full products in the current period compared to the same period in the prior year as well as a favorable impact from foreign exchange rates.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the nine months ended September 30, 2014, Clear Aligner international net revenues increased by $48.3 million or 43.5% compared to the same period in 2013 mainly due to Invisalign case volume growth of $31.5 million and, to a lesser extent, higher ASP which contributed approximately $16.7 million to increase in net revenues. The increase in ASP was primarily due to the impact from acquiring our distributor in the Asia Pacific region on April 30, 2013 as we now recognize direct sales of Invisalign products sold in that region at our full ASP rather than the discounted ASP under the distributor agreement, as well as favorable impact from foreign exchange rates.</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Invisalign non-case net revenues, consisting of training fees and ancillary product revenues, increased by $0.7 million or 6.5% for the three months ended September 30, 2014 compared to the same period in 2013 primarily due to increased Vivera volume both in North America and international.</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Invisalign non-case net revenue decreased by $0.3 million or 0.9% for the nine months ended September 30, 2014 compared to the same period in 2013 primarily due to the consolidation of our Vivera product shipments in North America from four shipments per year to one shipment in 2013, offset in part by increased Vivera volume both in North America and International for the nine months ended September 30, 2014.</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Scanner and Services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Scanner and Services net revenues increased $0.7 million or 6.4% for the three months ended September 30, 2014 compared to the same period in 2013. The increase was primarily due to an increase in the volume of services resulting from a larger installed base of scanners. This increase was offset in part by a decrease in scanner revenue which was primarily due to a decrease in the number of scanners recognized.</w:t>
      </w:r>
    </w:p>
    <w:p>
      <w:pPr>
        <w:spacing w:after="0" w:line="16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Scanner and Services net revenues increased $3.4 million or 10.1% for the nine months ended September 30, 2014 compared to the same period in 2013. The increase was primarily due to an increase in both scanner revenue as well as service revenue. The increase in scanner revenue was primarily due to an increase in the number of scanners recognized offset in part by lower scanner ASP as a result of promotional discounts as well as permanent price reductions. Additionally, scanner revenues for the nine months ended September 30, 2013 included a release of $1.4 million of revenue previously reserved for the iTero upgrade program which was completed in the first quarter of 2013. The increase in services revenue was primarily due to an increase in the volume of services resulting from a larger installed base of scanners.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ind w:right="333"/>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22"/>
                <w:szCs w:val="22"/>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189"/>
        </w:trPr>
        <w:tc>
          <w:tcPr>
            <w:tcW w:w="4920" w:type="dxa"/>
            <w:vAlign w:val="bottom"/>
            <w:tcBorders>
              <w:top w:val="single" w:sz="8" w:color="CCEEFF"/>
            </w:tcBorders>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Clear Aligner</w:t>
            </w: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492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13.9</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415.9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63.8</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03"/>
        </w:trPr>
        <w:tc>
          <w:tcPr>
            <w:tcW w:w="49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49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492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66.5%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67.8%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r>
      <w:tr>
        <w:trPr>
          <w:trHeight w:val="243"/>
        </w:trPr>
        <w:tc>
          <w:tcPr>
            <w:tcW w:w="492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33.5%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3"/>
        </w:trPr>
        <w:tc>
          <w:tcPr>
            <w:tcW w:w="49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135.3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15.0</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29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43"/>
        </w:trPr>
        <w:tc>
          <w:tcPr>
            <w:tcW w:w="492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w:t>
            </w:r>
          </w:p>
        </w:tc>
      </w:tr>
      <w:tr>
        <w:trPr>
          <w:trHeight w:val="243"/>
        </w:trPr>
        <w:tc>
          <w:tcPr>
            <w:tcW w:w="492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4"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salaries for staff involved in the production process, the cost of materials, packaging, shipping costs, depreciation on capital equipment used in the production process, amortization of acquired intangible assets from Cadent, training costs and stock-based compensation.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Gross margin decreased for the three months ended September 30, 2014 compared to the same period in 2013 as we experienced lower warranty costs in the prior year period corresponding with the change in our mid-course correction policy in June 2013. These were partially offset by a higher ASP.</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Gross margin increased for the nine months ended September 30, 2014 compared to the same period in 2013 due to higher ASP. This was partially offset by increased costs from higher volumes from mid-course corrections.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Scanner</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Gross margin increased for the three months ended September 30, 2014 compared to the same period in 2013 due to a product mix shift to lower cost products along with lower inventory reserves.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Gross margin increased for the nine months ended September 30, 2014 compared to the same period in 2013 due to increased absorption of manufacturing spend from higher production volumes and lower costs related to the discontinuation of OrthoCAD iQ services. This was partially offset by a lower ASP from price reductions.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Sales and marketing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26.2</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840" w:type="dxa"/>
            <w:vAlign w:val="bottom"/>
          </w:tcPr>
          <w:p>
            <w:pPr>
              <w:ind w:left="320"/>
              <w:spacing w:after="0"/>
              <w:rPr>
                <w:sz w:val="20"/>
                <w:szCs w:val="20"/>
                <w:color w:val="auto"/>
              </w:rPr>
            </w:pPr>
            <w:r>
              <w:rPr>
                <w:rFonts w:ascii="Arial" w:cs="Arial" w:eastAsia="Arial" w:hAnsi="Arial"/>
                <w:sz w:val="18"/>
                <w:szCs w:val="18"/>
                <w:i w:val="1"/>
                <w:iCs w:val="1"/>
                <w:color w:val="auto"/>
                <w:w w:val="97"/>
              </w:rPr>
              <w:t>27.6%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i w:val="1"/>
                <w:iCs w:val="1"/>
                <w:color w:val="auto"/>
                <w:w w:val="93"/>
              </w:rPr>
              <w:t>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Sales and marketing expense includes sales force and marketing compensation (including travel-related costs), media and advertising, clinical education, trade shows and industry events, product marketing, stock-based compensation and allocations of corporate overhead expenses including facilities and IT.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Sales and marketing expense for the three months ended September 30, 2014 increased compared to the same period in 2013 primarily due to higher compensation related costs of $2.3 million due to increased headcount as well as higher salaries and higher stock-based compensation. In addition, advertising, public relations and training costs increased due to increased advertising production, social media campaigns and increased customer training and study clubs.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Sales and marketing expense for the nine months ended September 30, 2014 increased compared to the same period in 2013 primarily due to higher compensation costs of $14.4 million due to increased headcount, including additional employees as a result of the acquisition of our APAC distributor on April 30, 2013, as well as higher salaries and higher stock-based compensation. In addition, we incurred higher advertising, trade show, public relations, and marketing expenses primarily due to increased advertising production and marketing campaigns, travel, trade shows, and events costs including our Europe and APAC Summit events and higher social media campaigns.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8"/>
                <w:szCs w:val="18"/>
                <w:i w:val="1"/>
                <w:iCs w:val="1"/>
                <w:color w:val="auto"/>
                <w:w w:val="93"/>
              </w:rPr>
              <w:t>14.9%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8"/>
                <w:szCs w:val="18"/>
                <w:i w:val="1"/>
                <w:iCs w:val="1"/>
                <w:color w:val="auto"/>
                <w:w w:val="93"/>
              </w:rPr>
              <w:t>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i w:val="1"/>
                <w:iCs w:val="1"/>
                <w:color w:val="auto"/>
                <w:w w:val="93"/>
              </w:rPr>
              <w:t>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i w:val="1"/>
                <w:iCs w:val="1"/>
                <w:color w:val="auto"/>
                <w:w w:val="93"/>
              </w:rPr>
              <w:t>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General and administrative expense primarily includes administrative personnel compensation costs including stock-based compensation, outside consulting services, legal expenses, depreciation and amortization expense, the medical device excise tax ("MDET") and allocations of corporate overhead expenses including facilities and IT.</w:t>
      </w:r>
    </w:p>
    <w:p>
      <w:pPr>
        <w:spacing w:after="0" w:line="18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General and administrative expense was relatively consistent for the three months ended September 30, 2014 compared to the same period in 2013. Compensation related expenses increased due to higher stock-based compensation as well as increases in credit card processing fees and consulting expenses; however, these increases were offset in part by a decrease in MDET expense of $1.6 million. As previously noted, in March 2014, the IRS informed us that our aligners are not subject to the MDET, which we had been paying and expensing in general and administrative expenses in the consolidated statements of operations since January 1, 2013; however, our scanners are still subject to the MDET. There is no expense in the current year period for MDET related to our aligners. Additionally, we are in process of claiming a $6.8 million refund of MDET paid in 2013 related to our aligners; however, because this claim is subject to review and approval by the IRS, we have not recorded a receivable as the outcome of the audit is uncertain. Any future changes in the applicability of the MDET as it applies to us or refunds of amounts previously paid will be recorded as an additional expense or a credit to the consolidated statement of operations in the period in which is becomes probable and reasonably estimable.</w:t>
      </w:r>
    </w:p>
    <w:p>
      <w:pPr>
        <w:spacing w:after="0" w:line="18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General and administrative expense for the nine months ended September 30, 2014 decreased slightly compared to the same period in 2013 primarily related to lower MDET of $5.0 million as our aligners are no longer subject to the tax in 2014 in relation to our aligners as well as lower outside litigation costs. These decreases were partially offset by higher compensation related expenses due to higher stock-based compensation and higher salaries along with higher credit card processing fees.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319"/>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ind w:right="35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50"/>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170"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16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Research and development expense includes the personnel-related costs and outside consulting expenses associated with the research and development of new products and enhancements to existing products, corporate allocations, facility and facility related costs and stock-based compensation expense.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Research and development expense for the three and nine months ended September 30, 2014 increased compared to the same periods in 2013 almost entirely due to higher compensation costs as a result of higher bonuses and stock-based compensation as well as additional headcount and increased salaries.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20" w:type="dxa"/>
            <w:vAlign w:val="bottom"/>
            <w:tcBorders>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80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 of net revenues</w:t>
            </w:r>
          </w:p>
        </w:tc>
        <w:tc>
          <w:tcPr>
            <w:tcW w:w="800" w:type="dxa"/>
            <w:vAlign w:val="bottom"/>
          </w:tcPr>
          <w:p>
            <w:pPr>
              <w:spacing w:after="0"/>
              <w:rPr>
                <w:sz w:val="21"/>
                <w:szCs w:val="21"/>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spacing w:after="0"/>
              <w:rPr>
                <w:sz w:val="21"/>
                <w:szCs w:val="21"/>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i w:val="1"/>
                <w:iCs w:val="1"/>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170"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impairment of goodwill charge recorded in the three or nine months ended September 30, 2014.</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the first quarter of 2013, we determined that the goodwill for our Scanner reporting unit should be tested for impairment between annual tests since an event occurred or circumstances changed that would more likely than not reduce the fair value of our Scanner reporting unit below its carrying amount. As a result of our analysis, we recorded a goodwill impairment charge of $40.7 million in the first quarter of 2013, none of which was deductible for tax purposes. Refer to Note 5 for details of the impairment analysis.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318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21"/>
                <w:szCs w:val="21"/>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4"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impairment of long-lived assets charge recorded in the three or nine months ended September 30, 2014.</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recorded $26.3 million related to the impairment of long-lived assets during the first quarter of 2013 as a result of changes in the competitive environment of our intra-oral scanners, which included announcements of new low-priced scanners targeted at orthodontists and general practitioner dentists in North America, which caused us to lower our expectations for growth and profitability for our Scanner reporting unit. Therefore, we determined that the carrying value of the long-lived assets was not recoverable and recorded an impairment charge of $26.3 million. Refer to Note 5 for details of the impairment analysis.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(expense), net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center"/>
              <w:ind w:right="139"/>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6"/>
                <w:szCs w:val="16"/>
                <w:color w:val="auto"/>
              </w:rPr>
            </w:pPr>
          </w:p>
        </w:tc>
        <w:tc>
          <w:tcPr>
            <w:tcW w:w="282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22"/>
                <w:szCs w:val="22"/>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660" w:type="dxa"/>
            <w:vAlign w:val="bottom"/>
          </w:tcPr>
          <w:p>
            <w:pPr>
              <w:jc w:val="right"/>
              <w:ind w:right="9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43"/>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0.5</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and other income (expense), net, includes foreign currency translation gains and losses, interest income earned on cash, cash equivalents and investment balances and other miscellaneous charges.</w:t>
      </w:r>
    </w:p>
    <w:p>
      <w:pPr>
        <w:spacing w:after="0" w:line="1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Interest and other income (expense), net for the three and nine months ended September 30, 2014 decreased compared to the same periods in 2013 due to higher foreign exchange losses in the current year periods primarily as a result of the strengthening of the U.S. dollar to the Euro.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Effective tax rates</w:t>
            </w:r>
          </w:p>
        </w:tc>
        <w:tc>
          <w:tcPr>
            <w:tcW w:w="240" w:type="dxa"/>
            <w:vAlign w:val="bottom"/>
          </w:tcPr>
          <w:p>
            <w:pPr>
              <w:spacing w:after="0"/>
              <w:rPr>
                <w:sz w:val="21"/>
                <w:szCs w:val="21"/>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w w:val="97"/>
              </w:rPr>
              <w:t>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w w:val="93"/>
              </w:rPr>
              <w:t>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w w:val="93"/>
              </w:rPr>
              <w:t>45.9%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provision for income taxes was $11.3 million and $7.4 million for the three months ended September 30, 2014 and 2013, respectively. This represents effective tax rates of 22.8% and 17.6%, respectively. The increase in our provision for income taxes was primarily due to higher pre-tax income, which was partially offset by a jurisdictional shift in forecasted earnings from the U.S. to lower-tax non-U.S. jurisdictions.</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provision for income taxes was $34.3 million and $18.5 million for the nine months ended September 30, 2014 and 2013, respectively. This represents effective tax rates of 24.4% and 45.9%, respectively. Our provision for income taxes reflects a negative impact from a $1.8 million adjustment related to prior years, offset by a jurisdictional shift in forecasted earnings from the U.S. to lower-tax non-U.S. jurisdictions. The effective tax rate for the nine months ended September 30, 2013 reflects a non-deductible goodwill impairment charge of $40.7 million recorded during the three months ended March 31, 2013.</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September 30, 2014, we maintained a valuation allowance of $35.4 million against deferred tax assets primarily related to foreign net operating loss carryforwards and capital loss carryforwards. These net operating and capital loss carryforwards would result in an income tax benefit if we were to conclude it is more likely than not that the related deferred tax assets will be realized.</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three months ended September 30, 2014, the change in our gross unrecognized tax benefits was not material. The total amount of gross unrecognized tax benefits was $31.1 million as of September 30, 2014, all of which would impact our effective tax rate if recognized. We have elected to recognize interest and penalties related to unrecognized tax benefits as a component of income taxes. The change in accrued interest and penalties during the three months ended September 30, 2014 was not material. We do not expect any significant changes to the amount of unrecognized tax benefit within the next twelve months.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first quarter of 2014, we adopted ASU 2013-11, "Presentation of an Unrecognized Tax Benefit when a Net Operating Loss Carryforward, a Similar Tax Loss, or a Tax Credit Carryforward Exists (a consensus of the FASB Emerging Issues Task Force)." The adoption of this standard had the effect of reducing our accruals for uncertain tax positions by $8.4 million, with an offsetting reduction in our long term deferred tax assets, but had no effect on net income.</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subject to taxation in the U.S. and various states and foreign jurisdictions. All of our tax years will be open to examination by the U.S. federal and most state tax authorities due to our net operating loss and overall credit carryforward position. With few exceptions, we are no longer subject to examination by foreign tax authorities for years before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fund our operations from product sales and the proceeds from the sale of our common stock. As of September 30, 2014 and December 31, 2013, we had the following cash, cash equivalents, and short-term and long-term marketable securities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180,676</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242,953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Marketable securities, short-term</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244,820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127,040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136,017</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101,978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cash, cash equivalents and short-term and long-term marketable securities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561,513</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471,971</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5620"/>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155,294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118,864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(199,989)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(48,902)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(62,277)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(130,547)</w:t>
            </w:r>
          </w:p>
        </w:tc>
      </w:tr>
      <w:tr>
        <w:trPr>
          <w:trHeight w:val="27"/>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September 30, 2014, we had $561.5 million of cash, cash equivalents and short-term and long-term marketable securities. Cash equivalents and marketable securities are comprised of money market funds and debt instruments which include commercial paper, corporate bonds, U.S. government agency bonds, U.S. dollar dominated foreign corporate bonds, U.S. government treasury bonds, municipal securities and asset-backed securities.</w:t>
      </w:r>
    </w:p>
    <w:p>
      <w:pPr>
        <w:spacing w:after="0" w:line="14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September 30, 2014, approximately $298.6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w:t>
      </w:r>
    </w:p>
    <w:p>
      <w:pPr>
        <w:spacing w:after="0" w:line="18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 xml:space="preserve">On April 23, 2014, we announced that our Board of Directors had authorized a stock repurchase program pursuant to which we may purchase up to $300.0 million of our common stock over the next three years, with $100.0 million of that amount authorized to be purchased over the next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As part of this repurchase program, </w:t>
      </w:r>
      <w:r>
        <w:rPr>
          <w:rFonts w:ascii="Arial" w:cs="Arial" w:eastAsia="Arial" w:hAnsi="Arial"/>
          <w:sz w:val="17"/>
          <w:szCs w:val="17"/>
          <w:color w:val="252525"/>
        </w:rPr>
        <w:t>on April 28, 2014, we</w:t>
      </w:r>
      <w:r>
        <w:rPr>
          <w:rFonts w:ascii="Arial" w:cs="Arial" w:eastAsia="Arial" w:hAnsi="Arial"/>
          <w:sz w:val="17"/>
          <w:szCs w:val="17"/>
          <w:color w:val="auto"/>
        </w:rPr>
        <w:t xml:space="preserve"> entered into an accelerated share repurchase agreement ("ASR") with Goldman, Sachs &amp; Co. to repurchase $70.0 million of our common stock. Under the terms of the ASR, we agreed to repurchase in total $70.0 million of our common stock and received an initial delivery of approximately 1.0 million shares based on the then current market price, which were retired. The ASR was completed on July 29, 2014 with a final delivery of approximately 0.4 million shares. We received a total of 1.4 million shares under the ASR for an average purchase price per share of $51.46. The final number of shares repurchased was based on our volume-weighted average stock price during the term of the transaction, less an agreed upon discount. In addition, during the three months ended September 30, 2014, we repurchased on the open market approximately 0.1 million shares of our common stock at an average price of $54.22 per share, including commissions, for an aggregate purchase price of approximately $7.4 million. All repurchased shares were retired. We have $222.6 million remaining under the April 2014 stock repurchase program, $22.6 million of which we expect to purchase over the next six months. We expect to finance future stock repurchases with current cash on hand.</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 bears interest, at our option, at a fluctuating rate per annum equal to the daily one-month adjusted LIBOR rate plus a spread of 1.75% or an adjusted LIBOR rate (based on one, three, six or twelve-month interest periods) plus a spread of 1.75%. As of September 30, 2014, we had no outstanding borrowings under this credit facility and were in compliance with the conditions and performance requirements.</w:t>
      </w:r>
    </w:p>
    <w:p>
      <w:pPr>
        <w:spacing w:after="0" w:line="19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believe that our current cash and cash equivalents and marketable securities combined with our positive cash flows from operations will be sufficient to fund our operations and stock repurchases for at least the next 12 months. If we are unable to generate adequate operating cash flows,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the nine months ended September 30, 2014, cash flows from operations of $155.3 million resulted primarily from our net income of approximately $106.3 million as well as the following: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Significant non-cash activities:</w:t>
      </w:r>
    </w:p>
    <w:p>
      <w:pPr>
        <w:spacing w:after="0" w:line="225" w:lineRule="exact"/>
        <w:rPr>
          <w:sz w:val="20"/>
          <w:szCs w:val="20"/>
          <w:color w:val="auto"/>
        </w:rPr>
      </w:pPr>
    </w:p>
    <w:p>
      <w:pPr>
        <w:ind w:left="980" w:hanging="40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of $29.3 million related to equity incentive compensation awards granted to our employees,</w:t>
      </w:r>
    </w:p>
    <w:p>
      <w:pPr>
        <w:spacing w:after="0" w:line="23" w:lineRule="exact"/>
        <w:rPr>
          <w:rFonts w:ascii="Arial" w:cs="Arial" w:eastAsia="Arial" w:hAnsi="Arial"/>
          <w:sz w:val="18"/>
          <w:szCs w:val="18"/>
          <w:color w:val="auto"/>
        </w:rPr>
      </w:pPr>
    </w:p>
    <w:p>
      <w:pPr>
        <w:ind w:left="980" w:hanging="40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deferred taxes of $20.9 million, and</w:t>
      </w:r>
    </w:p>
    <w:p>
      <w:pPr>
        <w:spacing w:after="0" w:line="9" w:lineRule="exact"/>
        <w:rPr>
          <w:rFonts w:ascii="Arial" w:cs="Arial" w:eastAsia="Arial" w:hAnsi="Arial"/>
          <w:sz w:val="18"/>
          <w:szCs w:val="18"/>
          <w:color w:val="auto"/>
        </w:rPr>
      </w:pPr>
    </w:p>
    <w:p>
      <w:pPr>
        <w:ind w:left="980" w:hanging="40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and amortization of property, plant and equipment and intangibles of $13.5 million, offset in part by</w:t>
      </w:r>
    </w:p>
    <w:p>
      <w:pPr>
        <w:spacing w:after="0" w:line="9" w:lineRule="exact"/>
        <w:rPr>
          <w:rFonts w:ascii="Arial" w:cs="Arial" w:eastAsia="Arial" w:hAnsi="Arial"/>
          <w:sz w:val="18"/>
          <w:szCs w:val="18"/>
          <w:color w:val="auto"/>
        </w:rPr>
      </w:pPr>
    </w:p>
    <w:p>
      <w:pPr>
        <w:ind w:left="980" w:hanging="40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excess tax benefits from our share-based compensation arrangements of $18.9 million.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25" w:lineRule="exact"/>
        <w:rPr>
          <w:sz w:val="20"/>
          <w:szCs w:val="20"/>
          <w:color w:val="auto"/>
        </w:rPr>
      </w:pPr>
    </w:p>
    <w:p>
      <w:pPr>
        <w:ind w:left="980" w:hanging="40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$24.9 million in accounts receivable which is a result of the increase in net revenues,</w:t>
      </w:r>
    </w:p>
    <w:p>
      <w:pPr>
        <w:spacing w:after="0" w:line="23" w:lineRule="exact"/>
        <w:rPr>
          <w:rFonts w:ascii="Arial" w:cs="Arial" w:eastAsia="Arial" w:hAnsi="Arial"/>
          <w:sz w:val="18"/>
          <w:szCs w:val="18"/>
          <w:color w:val="auto"/>
        </w:rPr>
      </w:pPr>
    </w:p>
    <w:p>
      <w:pPr>
        <w:ind w:left="980" w:hanging="40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$12.4 million in accrued and long term liabilities due to timing of payments and activities, and</w:t>
      </w:r>
    </w:p>
    <w:p>
      <w:pPr>
        <w:spacing w:after="0" w:line="9" w:lineRule="exact"/>
        <w:rPr>
          <w:rFonts w:ascii="Arial" w:cs="Arial" w:eastAsia="Arial" w:hAnsi="Arial"/>
          <w:sz w:val="18"/>
          <w:szCs w:val="18"/>
          <w:color w:val="auto"/>
        </w:rPr>
      </w:pPr>
    </w:p>
    <w:p>
      <w:pPr>
        <w:ind w:left="980" w:hanging="40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$10.0 million in deferred revenues corresponding to the increases in revenues.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cash used in investing activities was $171.4 million for the nine months ended September 30, 2014 primarily consisting of purchases of marketable securities of $350.6 million, and property, plant and equipment purchases of $17.0 million. These outflows were partially offset by $196.4 million of maturities and sales of our marketable securities.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remainder of 2014, we expect to spend an additional $20.0 million to $25.0 million on capital expenditures for estimated total capital expenditures of $37.0 million to $42.0 million for 2014 primarily for additional manufacturing capacity and infrastructure. Although we believe our current investment portfolio has little risk of impairment, we cannot predict future market conditions or market liquidity and can provide no assurance that our investment portfolio will remain unimpaired.</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cash used in financing activities was $46.9 million for the nine months ended September 30, 2014 primarily resulting from $77.4 million for the repurchase of our common stock and $5.8 million related to payroll taxes paid for vesting of restricted stock units through share withholdings. These outflows were offset in part by $17.4 million in proceeds from issuance of common stock and $18.9 million from excess tax benefits from our share-based compensation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contractual obligations have not significantly changed since December 31, 2013 as disclosed in our Annual Report on Form 10-K.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those available under our credit facility,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September 30, 2014, we had no off-balance sheet arrangements that have, or are reasonably likely to have, a current or future material effect on our consolidated financial condition, results of operations, liquidity, capital expenditures or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Provisions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September 30, 2014,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our management to make estimates and judgments that affect the reported amounts of assets and liabilities, net revenues and expenses and disclosures at the date of the financial statements. We evaluate our estimates on an on-going basis, including those related to revenue recognition, accounts receivable, intangible assets, legal contingencies, impairment of goodwill and income taxes. We use authoritative pronouncements, historical experience and other assumptions as the basis for making estimates. Actual results could differ from those estimates.</w:t>
      </w:r>
    </w:p>
    <w:p>
      <w:pPr>
        <w:spacing w:after="0" w:line="16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believe the following critical accounting policies reflect our most significant estimates, judgments and assumptions used in the preparation of our consolidated financial statements. These critical accounting policies and related disclosures appear in our Annual Report on Form 10-K for the year ended December 31, 2013:</w:t>
      </w:r>
    </w:p>
    <w:p>
      <w:pPr>
        <w:spacing w:after="0" w:line="114"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Goodwill and finite-lived acquire assets,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goodwill, finite-lived acquire assets and long-lived assets,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us, see Item 7A, “Quantitative and Qualitative Disclosures About Market Risk,” in our Annual Report on Form 10-K for the year ended December 31, 2013, which is incorporated herein by reference. Our exposure to market risk has not changed materially since December 31,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September 30, 2014,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 rules and forms.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a continued weakness in general economic conditions, or a decline in average selling prices would adversely affect net revenues, gross margin and net income.</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105"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Demand for our products may not increase as rapidly as we anticipate due to a variety of factors including a continued weakness in general economic conditions.</w:t>
      </w:r>
    </w:p>
    <w:p>
      <w:pPr>
        <w:spacing w:after="0" w:line="10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Continued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treatment of malocclusion, but a number of dental professionals believe that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response to challenges in our business, including increased competition, we have in the past reduced the list price of our products. We also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our average selling prices would be adversely affected and our net revenues, gross profit, gross margin and net income may be reduced. Furthermore, 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average selling price and consequently the amount of net revenues and net income in our consolidated financial statements.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subject to growth related risks, including capacity constraints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be unable to manage such growth effectively. Any such failure could have a material adverse impact on our business, operations and prospects.</w:t>
      </w:r>
    </w:p>
    <w:p>
      <w:pPr>
        <w:spacing w:after="0" w:line="237" w:lineRule="exact"/>
        <w:rPr>
          <w:sz w:val="20"/>
          <w:szCs w:val="20"/>
          <w:color w:val="auto"/>
        </w:rPr>
      </w:pPr>
    </w:p>
    <w:p>
      <w:pPr>
        <w:jc w:val="both"/>
        <w:ind w:firstLine="488"/>
        <w:spacing w:after="0" w:line="302" w:lineRule="auto"/>
        <w:rPr>
          <w:sz w:val="20"/>
          <w:szCs w:val="20"/>
          <w:color w:val="auto"/>
        </w:rPr>
      </w:pPr>
      <w:r>
        <w:rPr>
          <w:rFonts w:ascii="Arial" w:cs="Arial" w:eastAsia="Arial" w:hAnsi="Arial"/>
          <w:sz w:val="16"/>
          <w:szCs w:val="16"/>
          <w:color w:val="auto"/>
        </w:rPr>
        <w:t>Because we cannot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Any or all of these problems could result in the loss of customers, provide an opportunity for competing products to gain market acceptance and otherwise harm our business and financial results.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never achieve the anticipated benefits from our acquisitions which may have an adverse effect on our business.</w:t>
      </w:r>
    </w:p>
    <w:p>
      <w:pPr>
        <w:spacing w:after="0" w:line="15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acquired Cadent Holdings, Inc. in April 2011 for their people, their technology and their existing revenue streams such as, OrthoCAD iRecord and OrthoCAD iCast in addition to their intra-oral scanning technology. This acquisition is expected to strengthen our ability to drive adoption of Invisalign treatment by integrating more fully with mainstream tools and procedures in doctors’ practices. In addition, we believe that the combination of the two companies will help accelerate the use of intra-oral scanning in the dental industry by leveraging Align’s global sales reach, extensive professional and consumer marketing capabilities and large customer base. We completed the acquisition of our Asia Pacific distributor on April 30, 2013.</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experience difficulties in achieving the anticipated financial or strategic benefits of these acquisitions. Potential risks include:</w:t>
      </w:r>
    </w:p>
    <w:p>
      <w:pPr>
        <w:spacing w:after="0" w:line="225"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adoption or lack of acceptance for intra-oral scanning products in general or our chairside features;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increase utilization by integrating Invisalign treatment more fully with intra-oral scanners;</w:t>
      </w:r>
    </w:p>
    <w:p>
      <w:pPr>
        <w:spacing w:after="0" w:line="171"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integrating the technology, operations, internal accounting controls or work force of the acquired business with our existing business;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 resources and focus from ongoing business matters;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retention of key employees following the acquisition;</w:t>
      </w:r>
    </w:p>
    <w:p>
      <w:pPr>
        <w:spacing w:after="0" w:line="171"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changes in the competitive environment, including recent announcements from competitors of new lower-priced scanners which we expect will lengthen the customer evaluation process and may result in price reductions and/or loss of sales;</w:t>
      </w:r>
    </w:p>
    <w:p>
      <w:pPr>
        <w:spacing w:after="0" w:line="116"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dealing with tax, employment, logistics, and other related issues unique to international operations in Israel and the Asia Pacific region;</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impairment of relationships with employees and customers as a result of the integration;</w:t>
      </w:r>
    </w:p>
    <w:p>
      <w:pPr>
        <w:spacing w:after="0" w:line="171"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possible inconsistencies in standards, controls, procedures and policies among the acquired businesses and Align, which may make it more difficult to implement and harmonize worldwide financial reporting, accounting, billing, information technology and other systems;</w:t>
      </w:r>
    </w:p>
    <w:p>
      <w:pPr>
        <w:spacing w:after="0" w:line="92" w:lineRule="exact"/>
        <w:rPr>
          <w:rFonts w:ascii="Arial" w:cs="Arial" w:eastAsia="Arial" w:hAnsi="Arial"/>
          <w:sz w:val="17"/>
          <w:szCs w:val="17"/>
          <w:color w:val="auto"/>
        </w:rPr>
      </w:pPr>
    </w:p>
    <w:p>
      <w:pPr>
        <w:ind w:left="980" w:right="2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large portion of Cadent’s operations are located in Israel, accordingly, any increase in hostilities in the Middle East involving Israel may cause interruption or suspension of business operations without warning; and</w:t>
      </w:r>
    </w:p>
    <w:p>
      <w:pPr>
        <w:spacing w:after="0" w:line="116"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impact on our results of operations and financial condition from acquisition-related charges, further impairment of goodwill, impairment of intangible assets and/or asset impairment charges.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If we cannot successfully integrate the acquired business with our existing business, our results of operations and financial condition could be adversely affected.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U.S. economy and global economies;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predict from period to period the number of trainers or the availability of doctors required to complete intra-oral scanner installations, which may impact the timing of when revenue is recognized;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participation in our customer rebate program increases our average selling price will be adversely affected;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timing of when revenue is recognized, including as a result of the introduction of new products or promotions or as a result of changes to critical accounting estimates or new accounting pronouncements;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key production steps are performed in operations located outside of the U.S. At our facility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San Jose, California facility, we also carry out research and development at locations in Moscow, Russia. In addition, our customer-care, accounts receivable, credit and collections and customer event registration organizations are located at our facility in San Jose, Costa Rica. We also have operations in Israel where the design and wand assembly and our intra-oral scanner are manufactured. Our reliance on international operations exposes us to risks and uncertainties that may affect our business or results of operation, including:</w:t>
      </w:r>
    </w:p>
    <w:p>
      <w:pPr>
        <w:spacing w:after="0" w:line="192" w:lineRule="exact"/>
        <w:rPr>
          <w:sz w:val="20"/>
          <w:szCs w:val="20"/>
          <w:color w:val="auto"/>
        </w:rPr>
      </w:pPr>
    </w:p>
    <w:p>
      <w:pPr>
        <w:ind w:left="9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difficulties in managing international operations, including any travel restrictions to or from our facilities located in Moscow, Russia and Israel;</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income taxes, and other restrictions and limitations, if we were to decide to repatriate any of our foreign cash balances back to the U.S.;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jc w:val="both"/>
        <w:ind w:left="980" w:hanging="486"/>
        <w:spacing w:after="0" w:line="255"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39"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geopolitical risks around the Ukraine and the possibility of additional sanctions against Russia which continue to bring uncertainty to this region;</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12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As a result of these sales operations, we face a variety of risks, including: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it is our intention to permanently reinvest earnings outside the U.S., restrictions on the transfer of funds held by our foreign subsidiaries, including with respect to restrictions on our ability to repatriate foreign cash to the U.S at favorable tax rates;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of these factors, either individually or in combination, could materially impact our international operations and adversely affect our business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211"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b w:val="1"/>
          <w:bCs w:val="1"/>
          <w:i w:val="1"/>
          <w:i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9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7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Currently, our products compete directly against products manufactured and distributed by various companies, both within and outside the U.S. Many of these manufacturers, including Danaher Corporation, 3M, Sirona Dental Systems, Inc. and Dentsply International, have substantially greater financial resources and manufacturing and marketing experience than we do and may, in the future, attempt to develop an orthodontic system similar to ours or combine technologies that make our product economically unattractive. The expiration of key certain patents commencing in 2017 owned by us may result in additional competition.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(loss) and stock price. We cannot assure you that we will be able to compete successfully against our current or future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competitors or that competitive pressures will not have a material adverse effect on our business, results of operations and financial condition.</w:t>
      </w:r>
    </w:p>
    <w:p>
      <w:pPr>
        <w:spacing w:after="0" w:line="22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70"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the process of implementing a multi-year, company-wide program to transform certain business processes or extend established processes, including the transition to a single enterprise resource planning ("ERP") software system to perform various functions. The implementation of additional functionality to the ERP system entails certain risks, including difficulties with changes in business processes that could disrupt our operations, such as our ability to track orders and timely ship products, manage our supply chain and aggregate financial and operational data. During transitions we must continue to rely on legacy information systems, which may be costly or inefficient, while the implementation of new initiatives may not achieve the anticipated benefits and may divert management's attention from other operational activities, negatively affect employee morale, or have other unintended consequences. Additionally, if we are not able to accurately forecast expenses and capitalized costs related to the project, this may have an adverse impact on our financial condition and operating results.</w:t>
      </w:r>
    </w:p>
    <w:p>
      <w:pPr>
        <w:spacing w:after="0" w:line="169" w:lineRule="exact"/>
        <w:rPr>
          <w:sz w:val="20"/>
          <w:szCs w:val="20"/>
          <w:color w:val="auto"/>
        </w:rPr>
      </w:pPr>
    </w:p>
    <w:p>
      <w:pPr>
        <w:jc w:val="both"/>
        <w:ind w:firstLine="487"/>
        <w:spacing w:after="0" w:line="270" w:lineRule="auto"/>
        <w:rPr>
          <w:sz w:val="20"/>
          <w:szCs w:val="20"/>
          <w:color w:val="auto"/>
        </w:rPr>
      </w:pPr>
      <w:r>
        <w:rPr>
          <w:rFonts w:ascii="Arial" w:cs="Arial" w:eastAsia="Arial" w:hAnsi="Arial"/>
          <w:sz w:val="17"/>
          <w:szCs w:val="17"/>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b w:val="1"/>
          <w:bCs w:val="1"/>
          <w:i w:val="1"/>
          <w:iCs w:val="1"/>
          <w:color w:val="auto"/>
        </w:rPr>
        <w:t>Our success depends in part on competitive position may be harmed. operations and stock price.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spacing w:after="0" w:line="342" w:lineRule="auto"/>
        <w:rPr>
          <w:sz w:val="20"/>
          <w:szCs w:val="20"/>
          <w:color w:val="auto"/>
        </w:rPr>
      </w:pPr>
      <w:r>
        <w:rPr>
          <w:rFonts w:ascii="Arial" w:cs="Arial" w:eastAsia="Arial" w:hAnsi="Arial"/>
          <w:sz w:val="16"/>
          <w:szCs w:val="16"/>
          <w:b w:val="1"/>
          <w:bCs w:val="1"/>
          <w:i w:val="1"/>
          <w:iCs w:val="1"/>
          <w:color w:val="auto"/>
        </w:rPr>
        <w:t>our proprietary technology, and if we are unable to successfully enforce our intellectual property rights, our Litigating claims of this type is costly and could distract our management and cause a decline in our results of</w:t>
      </w:r>
    </w:p>
    <w:p>
      <w:pPr>
        <w:spacing w:after="0" w:line="272" w:lineRule="exact"/>
        <w:rPr>
          <w:sz w:val="20"/>
          <w:szCs w:val="20"/>
          <w:color w:val="auto"/>
        </w:rPr>
      </w:pPr>
    </w:p>
    <w:p>
      <w:pPr>
        <w:sectPr>
          <w:pgSz w:w="11900" w:h="16838" w:orient="portrait"/>
          <w:cols w:equalWidth="0" w:num="2">
            <w:col w:w="2780" w:space="40"/>
            <w:col w:w="8600"/>
          </w:cols>
          <w:pgMar w:left="240" w:top="125" w:right="239" w:bottom="1440" w:gutter="0" w:footer="0" w:header="0"/>
          <w:type w:val="continuous"/>
        </w:sectPr>
      </w:pPr>
    </w:p>
    <w:p>
      <w:pPr>
        <w:jc w:val="both"/>
        <w:ind w:firstLine="432"/>
        <w:spacing w:after="0" w:line="286" w:lineRule="auto"/>
        <w:rPr>
          <w:sz w:val="20"/>
          <w:szCs w:val="20"/>
          <w:color w:val="auto"/>
        </w:rPr>
      </w:pPr>
      <w:r>
        <w:rPr>
          <w:rFonts w:ascii="Arial" w:cs="Arial" w:eastAsia="Arial" w:hAnsi="Arial"/>
          <w:sz w:val="17"/>
          <w:szCs w:val="17"/>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September 30, 2014, we had issued 341 U.S. patents, 132 pending U.S. patent applications, and 251 foreign issued patents, and 130 pending foreign patent applications.</w:t>
      </w:r>
    </w:p>
    <w:p>
      <w:pPr>
        <w:spacing w:after="0" w:line="16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8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to future periods is subject to the risk that our controls may become inadequate because of changes in conditions, and, as a result, the degree of compliance of our internal control over financial reporting with the policies or procedures may deteriorate.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 During 2013 and early 2014, we announced the appointment of four executive officers, including a new Chief Financial Officer. With these new appointments, there is the risk of uncertainty and instability relating to transition the duties and responsibilities to new key executives in an orderly, effective and efficient manner. In addition, our ability to recognize revenue on the direct sales of our intra-oral scanners depends in part upon our ability to schedule and staff trainings. The loss of the services provided by these individuals or our ability to timely hire such personnel in sufficient numbers based on our volume growth, may harm our business. If we are unable to retain our trainers or replace such individuals with persons having equivalent technical expertise and qualifications, or if we are unable to successfully instill such technical expertise in newly hired personnel or accurately predict the number of such personnel needed, our net revenues could be materially harmed.</w:t>
      </w:r>
    </w:p>
    <w:p>
      <w:pPr>
        <w:spacing w:after="0" w:line="148" w:lineRule="exact"/>
        <w:rPr>
          <w:sz w:val="20"/>
          <w:szCs w:val="20"/>
          <w:color w:val="auto"/>
        </w:rPr>
      </w:pPr>
    </w:p>
    <w:p>
      <w:pPr>
        <w:jc w:val="both"/>
        <w:ind w:right="20" w:firstLine="203"/>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82" w:lineRule="exact"/>
        <w:rPr>
          <w:sz w:val="20"/>
          <w:szCs w:val="20"/>
          <w:color w:val="auto"/>
        </w:rPr>
      </w:pPr>
    </w:p>
    <w:p>
      <w:pPr>
        <w:jc w:val="both"/>
        <w:ind w:right="2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rely on a third party manufacturer in Israel to assemble our iTero scanner. As a result, if this third party manufacturer fails to deliver its components or if we lose its services,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primarily rely on our direct sales force to sell our products, and any failure to maintain our direct sales force could harm our business.</w:t>
      </w:r>
    </w:p>
    <w:p>
      <w:pPr>
        <w:spacing w:after="0" w:line="18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ability to sell our products and generate revenues primarily depends upon our direct sales force within our North American and international markets. As of September 30, 2014, our North American sales organization consisted of approximately 280 people. Internationally, we had approximately 160 people engaged in direct sales and sales support as of September 30, 2014.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8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existing relationships with distributors may preclude us from entering into additional future arrangements with other distributors; and</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8"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considered by the European Union. The implementation of the existing U.S. requirements and any additional requirements in Europe could affect the sourcing and availability of metals used in the manufacture of a limited number of parts (if any) contained in our products. For example, the implementation of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passed health care reform legislation that President Obama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 Effective January 1, 2013, as a medical device manufacturer, we were required to pay an excise tax on the price for which we sell our medical devices in the U.S. This Medical Device Excise Tax ("MDET") applies to most medical devices, including our products, which could have a material, negative impact on our results of operations and our cash flows.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During March 2014, Align had extensive discussions with the IRS and they informed us that our aligners are not subject to the MDET; however, our scanners are still subject to the MDET. As a result of these discussions, beginning in March 2014, we ceased expensing and paying the MDET for aligners, which reduced our general and administrative expense for the nine months ended September 30, 2014 by approximately $5.0 million compared to the prior year period. The excise tax expense was $5.3 million for the nine months ended September 30, 2013; however, MDET for the nine months ended September 30, 2014 was reduced to $0.3 million due to the changes noted above. Additionally, we are in process of claiming a $6.8 million refund of MDET paid in 2013 related to our aligners; however, because this claim is subject to review and approval by the IRS, we have not recorded a receivable as the outcome of the audit is undeterminable. Any future changes in the applicability of the MDET as it applies to us or refunds of amounts previously paid will be recorded as an additional expense or a credit to the consolidated statement of operations in the period in which is becomes probable and reasonably estimable. The MDET is included in general and administrative expenses in the consolidated statements of operations.</w:t>
      </w:r>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92"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Outside of North America, we currently sell our products 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7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25" w:lineRule="exact"/>
        <w:rPr>
          <w:sz w:val="20"/>
          <w:szCs w:val="20"/>
          <w:color w:val="auto"/>
        </w:rPr>
      </w:pPr>
    </w:p>
    <w:p>
      <w:pPr>
        <w:jc w:val="both"/>
        <w:ind w:firstLine="216"/>
        <w:spacing w:after="0" w:line="273" w:lineRule="auto"/>
        <w:rPr>
          <w:sz w:val="20"/>
          <w:szCs w:val="20"/>
          <w:color w:val="auto"/>
        </w:rPr>
      </w:pPr>
      <w:r>
        <w:rPr>
          <w:rFonts w:ascii="Arial" w:cs="Arial" w:eastAsia="Arial" w:hAnsi="Arial"/>
          <w:sz w:val="17"/>
          <w:szCs w:val="17"/>
          <w:color w:val="auto"/>
        </w:rPr>
        <w:t>Under Generally Accepted Accounting Principles in the United States (“U.S. GAAP”), we review our goodwill and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187"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leases.</w:t>
      </w:r>
    </w:p>
    <w:p>
      <w:pPr>
        <w:spacing w:after="0" w:line="17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primary objective of most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8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have adopted a shareholders rights’ plan to limit the possibility that we are acquired, which may mean that a transaction that shareholders are in favor of or are benefited by may be prevented.</w:t>
      </w:r>
    </w:p>
    <w:p>
      <w:pPr>
        <w:spacing w:after="0" w:line="10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has designated 200,000 shares as Series A participating preferred stock in connection with our shareholder rights’ plan. The issuance of preferred stock under certain circumstances could have the effect of delaying or preventing an acquisition of Align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 During the first quarter of 2013, we incurred a $40.7 million impairment of goodwill which was not deductible for tax purposes.</w:t>
      </w:r>
    </w:p>
    <w:p>
      <w:pPr>
        <w:spacing w:after="0" w:line="193"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June 2009, the Costa Rica Ministry of Foreign Trade, an agency of the Government of Costa Rica, granted a twelve year extension of various income tax incentives, which were previously granted in 2002. The incentive tax rates will expire in various years beginning in 2017. Under these incentives, all of the income in Costa Rica during these twelve year incentive periods is subject to reduced rates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2014. As a result of these incentives, our income taxes were reduced by $22.8 million and $18.0 million for nine months ended September 30, 2014 and 2013, respectively, representing a benefit to diluted net income per share of $0.28 and $0.22 in 2014 and 2013, respectively. For the three months ended September 30, 2014 and 2013, the income taxes was reduced by $7.7 million and $6.1 million, respectively, representing a benefit to diluted net income per share of $0.09 and $0.08, respectively. Our subsidiary in Israel is under audit by the local tax authorities for calendar years 2006 through 2012.</w:t>
      </w:r>
    </w:p>
    <w:p>
      <w:pPr>
        <w:spacing w:after="0" w:line="19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summary of stock repurchases for the three months ended September 30, 2014:</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4"/>
                <w:szCs w:val="14"/>
                <w:color w:val="auto"/>
              </w:rPr>
            </w:pPr>
          </w:p>
        </w:tc>
        <w:tc>
          <w:tcPr>
            <w:tcW w:w="1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Shares Repurchased as</w:t>
            </w:r>
          </w:p>
        </w:tc>
        <w:tc>
          <w:tcPr>
            <w:tcW w:w="3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40" w:type="dxa"/>
            <w:vAlign w:val="bottom"/>
          </w:tcPr>
          <w:p>
            <w:pPr>
              <w:spacing w:after="0"/>
              <w:rPr>
                <w:sz w:val="12"/>
                <w:szCs w:val="12"/>
                <w:color w:val="auto"/>
              </w:rPr>
            </w:pPr>
          </w:p>
        </w:tc>
        <w:tc>
          <w:tcPr>
            <w:tcW w:w="1820" w:type="dxa"/>
            <w:vAlign w:val="bottom"/>
            <w:gridSpan w:val="2"/>
          </w:tcPr>
          <w:p>
            <w:pPr>
              <w:jc w:val="right"/>
              <w:ind w:right="37"/>
              <w:spacing w:after="0" w:line="149" w:lineRule="exact"/>
              <w:rPr>
                <w:sz w:val="20"/>
                <w:szCs w:val="20"/>
                <w:color w:val="auto"/>
              </w:rPr>
            </w:pPr>
            <w:r>
              <w:rPr>
                <w:rFonts w:ascii="Arial" w:cs="Arial" w:eastAsia="Arial" w:hAnsi="Arial"/>
                <w:sz w:val="14"/>
                <w:szCs w:val="14"/>
                <w:b w:val="1"/>
                <w:bCs w:val="1"/>
                <w:color w:val="auto"/>
                <w:w w:val="97"/>
              </w:rPr>
              <w:t>of Shares that May Yet Be</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Period</w:t>
            </w:r>
          </w:p>
        </w:tc>
        <w:tc>
          <w:tcPr>
            <w:tcW w:w="360" w:type="dxa"/>
            <w:vAlign w:val="bottom"/>
            <w:vMerge w:val="restart"/>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3"/>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62"/>
        </w:trPr>
        <w:tc>
          <w:tcPr>
            <w:tcW w:w="45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Repurchased</w:t>
            </w:r>
          </w:p>
        </w:tc>
        <w:tc>
          <w:tcPr>
            <w:tcW w:w="3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Paid per Share</w:t>
            </w:r>
          </w:p>
        </w:tc>
        <w:tc>
          <w:tcPr>
            <w:tcW w:w="3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 xml:space="preserve">Program </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2014 through July 31, 2014</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363,625</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57.75</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8"/>
                <w:szCs w:val="18"/>
                <w:color w:val="auto"/>
              </w:rPr>
              <w:t>363,625</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230,000,000</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August 1, 2014 through August 31, 2014</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53,400</w:t>
            </w:r>
          </w:p>
        </w:tc>
        <w:tc>
          <w:tcPr>
            <w:tcW w:w="34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54.40</w:t>
            </w:r>
          </w:p>
        </w:tc>
        <w:tc>
          <w:tcPr>
            <w:tcW w:w="340" w:type="dxa"/>
            <w:vAlign w:val="bottom"/>
          </w:tcPr>
          <w:p>
            <w:pPr>
              <w:spacing w:after="0"/>
              <w:rPr>
                <w:sz w:val="21"/>
                <w:szCs w:val="21"/>
                <w:color w:val="auto"/>
              </w:rPr>
            </w:pPr>
          </w:p>
        </w:tc>
        <w:tc>
          <w:tcPr>
            <w:tcW w:w="1480" w:type="dxa"/>
            <w:vAlign w:val="bottom"/>
          </w:tcPr>
          <w:p>
            <w:pPr>
              <w:jc w:val="right"/>
              <w:ind w:right="25"/>
              <w:spacing w:after="0"/>
              <w:rPr>
                <w:sz w:val="20"/>
                <w:szCs w:val="20"/>
                <w:color w:val="auto"/>
              </w:rPr>
            </w:pPr>
            <w:r>
              <w:rPr>
                <w:rFonts w:ascii="Arial" w:cs="Arial" w:eastAsia="Arial" w:hAnsi="Arial"/>
                <w:sz w:val="18"/>
                <w:szCs w:val="18"/>
                <w:color w:val="auto"/>
              </w:rPr>
              <w:t>53,400</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227,094,862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2014 through September 30, 2014</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83,400</w:t>
            </w: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54.10</w:t>
            </w: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83,400</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222,583,243</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32" w:lineRule="auto"/>
        <w:tabs>
          <w:tab w:leader="none" w:pos="393" w:val="left"/>
        </w:tabs>
        <w:numPr>
          <w:ilvl w:val="0"/>
          <w:numId w:val="27"/>
        </w:numPr>
        <w:rPr>
          <w:rFonts w:ascii="Arial" w:cs="Arial" w:eastAsia="Arial" w:hAnsi="Arial"/>
          <w:sz w:val="25"/>
          <w:szCs w:val="25"/>
          <w:b w:val="1"/>
          <w:bCs w:val="1"/>
          <w:color w:val="auto"/>
          <w:vertAlign w:val="superscript"/>
        </w:rPr>
      </w:pPr>
      <w:r>
        <w:rPr>
          <w:rFonts w:ascii="Arial" w:cs="Arial" w:eastAsia="Arial" w:hAnsi="Arial"/>
          <w:sz w:val="18"/>
          <w:szCs w:val="18"/>
          <w:color w:val="auto"/>
        </w:rPr>
        <w:t>On April 23, 2014, we announced that our Board of Directors had authorized a stock repurchase program pursuant to which we may purchase up to $300.0 million of our common stock over the next three years, with $100.0 million of that amount authorized to be purchased over the first twelve months. Any purchases under this stock repurchase program may be made, from time-to-time, pursuant to open market purchases (including pursuant to Rule 10b5-1 plans), privately-negotiated transactions, accelerated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 repurchases, block trades or derivative contracts or otherwise in accordance with applicable federal securities laws, including Rule 10b-18 of the Securities Exchange Act of 1934.</w:t>
      </w:r>
    </w:p>
    <w:p>
      <w:pPr>
        <w:spacing w:after="0" w:line="116" w:lineRule="exact"/>
        <w:rPr>
          <w:sz w:val="20"/>
          <w:szCs w:val="20"/>
          <w:color w:val="auto"/>
        </w:rPr>
      </w:pPr>
    </w:p>
    <w:p>
      <w:pPr>
        <w:jc w:val="both"/>
        <w:ind w:firstLine="8"/>
        <w:spacing w:after="0" w:line="237" w:lineRule="auto"/>
        <w:tabs>
          <w:tab w:leader="none" w:pos="327" w:val="left"/>
        </w:tabs>
        <w:numPr>
          <w:ilvl w:val="0"/>
          <w:numId w:val="28"/>
        </w:numPr>
        <w:rPr>
          <w:rFonts w:ascii="Arial" w:cs="Arial" w:eastAsia="Arial" w:hAnsi="Arial"/>
          <w:sz w:val="25"/>
          <w:szCs w:val="25"/>
          <w:b w:val="1"/>
          <w:bCs w:val="1"/>
          <w:color w:val="auto"/>
          <w:vertAlign w:val="superscript"/>
        </w:rPr>
      </w:pPr>
      <w:r>
        <w:rPr>
          <w:rFonts w:ascii="Arial" w:cs="Arial" w:eastAsia="Arial" w:hAnsi="Arial"/>
          <w:sz w:val="18"/>
          <w:szCs w:val="18"/>
          <w:color w:val="252525"/>
        </w:rPr>
        <w:t xml:space="preserve">As part of our $300.0 million stock repurchase program, we </w:t>
      </w:r>
      <w:r>
        <w:rPr>
          <w:rFonts w:ascii="Arial" w:cs="Arial" w:eastAsia="Arial" w:hAnsi="Arial"/>
          <w:sz w:val="18"/>
          <w:szCs w:val="18"/>
          <w:color w:val="000000"/>
        </w:rPr>
        <w:t>entered into an accelerated share repurchase agreement ("ASR") with Goldman, Sachs &amp; Co.</w:t>
      </w:r>
      <w:r>
        <w:rPr>
          <w:rFonts w:ascii="Arial" w:cs="Arial" w:eastAsia="Arial" w:hAnsi="Arial"/>
          <w:sz w:val="18"/>
          <w:szCs w:val="18"/>
          <w:color w:val="252525"/>
        </w:rPr>
        <w:t xml:space="preserve"> </w:t>
      </w:r>
      <w:r>
        <w:rPr>
          <w:rFonts w:ascii="Arial" w:cs="Arial" w:eastAsia="Arial" w:hAnsi="Arial"/>
          <w:sz w:val="18"/>
          <w:szCs w:val="18"/>
          <w:color w:val="000000"/>
        </w:rPr>
        <w:t>on April 28, 2014 to repurchase $70.0 million of our common stock. Under the terms of the ASR, we agreed to repurchase in total $70.0 million of our common stock, with an initial delivery of approximately 1.0 million shares based on the then current market price. The ASR was completed on July 29, 2014 with a final delivery of approximately 0.4 million shares. We received a total of 1.4 million shares under the ASR for an average purchase price per share of $51.46. The final number of shares repurchased was based on our volume-weighted average stock price during the term of the transaction, less an agreed upon discount.</w:t>
      </w:r>
    </w:p>
    <w:p>
      <w:pPr>
        <w:spacing w:after="0" w:line="39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Filing</w:t>
            </w: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112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420" w:type="dxa"/>
            <w:vAlign w:val="bottom"/>
          </w:tcPr>
          <w:p>
            <w:pPr>
              <w:spacing w:after="0"/>
              <w:rPr>
                <w:sz w:val="21"/>
                <w:szCs w:val="21"/>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5"/>
              </w:rPr>
              <w:t>Fixed Dollar Accelerated Repurchase Transaction Agreement dated April 28,</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2014 between Goldman, Sachs &amp; Co. and registrant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70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80" w:type="dxa"/>
            <w:vAlign w:val="bottom"/>
            <w:gridSpan w:val="3"/>
          </w:tcPr>
          <w:p>
            <w:pPr>
              <w:ind w:left="466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7960" w:type="dxa"/>
            <w:vAlign w:val="bottom"/>
            <w:gridSpan w:val="2"/>
          </w:tcPr>
          <w:p>
            <w:pPr>
              <w:ind w:left="2200"/>
              <w:spacing w:after="0"/>
              <w:rPr>
                <w:sz w:val="20"/>
                <w:szCs w:val="20"/>
                <w:color w:val="auto"/>
              </w:rPr>
            </w:pPr>
            <w:r>
              <w:rPr>
                <w:rFonts w:ascii="Arial" w:cs="Arial" w:eastAsia="Arial" w:hAnsi="Arial"/>
                <w:sz w:val="18"/>
                <w:szCs w:val="18"/>
                <w:color w:val="auto"/>
              </w:rPr>
              <w:t>ALIGN TECHNOLOGY, INC.</w:t>
            </w:r>
          </w:p>
        </w:tc>
      </w:tr>
      <w:tr>
        <w:trPr>
          <w:trHeight w:val="594"/>
        </w:trPr>
        <w:tc>
          <w:tcPr>
            <w:tcW w:w="3420" w:type="dxa"/>
            <w:vAlign w:val="bottom"/>
          </w:tcPr>
          <w:p>
            <w:pPr>
              <w:spacing w:after="0"/>
              <w:rPr>
                <w:sz w:val="20"/>
                <w:szCs w:val="20"/>
                <w:color w:val="auto"/>
              </w:rPr>
            </w:pPr>
            <w:r>
              <w:rPr>
                <w:rFonts w:ascii="Arial" w:cs="Arial" w:eastAsia="Arial" w:hAnsi="Arial"/>
                <w:sz w:val="18"/>
                <w:szCs w:val="18"/>
                <w:color w:val="auto"/>
              </w:rPr>
              <w:t>October 30, 2014</w:t>
            </w:r>
          </w:p>
        </w:tc>
        <w:tc>
          <w:tcPr>
            <w:tcW w:w="2600" w:type="dxa"/>
            <w:vAlign w:val="bottom"/>
          </w:tcPr>
          <w:p>
            <w:pPr>
              <w:ind w:left="2320"/>
              <w:spacing w:after="0"/>
              <w:rPr>
                <w:sz w:val="20"/>
                <w:szCs w:val="20"/>
                <w:color w:val="auto"/>
              </w:rPr>
            </w:pPr>
            <w:r>
              <w:rPr>
                <w:rFonts w:ascii="Arial" w:cs="Arial" w:eastAsia="Arial" w:hAnsi="Arial"/>
                <w:sz w:val="18"/>
                <w:szCs w:val="18"/>
                <w:color w:val="auto"/>
                <w:w w:val="99"/>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THOMAS M. PRESCOTT</w:t>
            </w:r>
          </w:p>
        </w:tc>
      </w:tr>
      <w:tr>
        <w:trPr>
          <w:trHeight w:val="27"/>
        </w:trPr>
        <w:tc>
          <w:tcPr>
            <w:tcW w:w="34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46"/>
        </w:trPr>
        <w:tc>
          <w:tcPr>
            <w:tcW w:w="34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Thomas M. Prescott</w:t>
            </w:r>
          </w:p>
        </w:tc>
      </w:tr>
      <w:tr>
        <w:trPr>
          <w:trHeight w:val="186"/>
        </w:trPr>
        <w:tc>
          <w:tcPr>
            <w:tcW w:w="3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2"/>
              </w:rPr>
              <w:t>President and Chief Executive Officer</w:t>
            </w:r>
          </w:p>
        </w:tc>
      </w:tr>
      <w:tr>
        <w:trPr>
          <w:trHeight w:val="579"/>
        </w:trPr>
        <w:tc>
          <w:tcPr>
            <w:tcW w:w="3420" w:type="dxa"/>
            <w:vAlign w:val="bottom"/>
          </w:tcPr>
          <w:p>
            <w:pPr>
              <w:spacing w:after="0"/>
              <w:rPr>
                <w:sz w:val="24"/>
                <w:szCs w:val="24"/>
                <w:color w:val="auto"/>
              </w:rPr>
            </w:pPr>
          </w:p>
        </w:tc>
        <w:tc>
          <w:tcPr>
            <w:tcW w:w="2600" w:type="dxa"/>
            <w:vAlign w:val="bottom"/>
          </w:tcPr>
          <w:p>
            <w:pPr>
              <w:ind w:left="2320"/>
              <w:spacing w:after="0"/>
              <w:rPr>
                <w:sz w:val="20"/>
                <w:szCs w:val="20"/>
                <w:color w:val="auto"/>
              </w:rPr>
            </w:pPr>
            <w:r>
              <w:rPr>
                <w:rFonts w:ascii="Arial" w:cs="Arial" w:eastAsia="Arial" w:hAnsi="Arial"/>
                <w:sz w:val="18"/>
                <w:szCs w:val="18"/>
                <w:color w:val="auto"/>
                <w:w w:val="99"/>
              </w:rPr>
              <w:t>By:</w:t>
            </w:r>
          </w:p>
        </w:tc>
        <w:tc>
          <w:tcPr>
            <w:tcW w:w="5360" w:type="dxa"/>
            <w:vAlign w:val="bottom"/>
          </w:tcPr>
          <w:p>
            <w:pPr>
              <w:jc w:val="center"/>
              <w:spacing w:after="0"/>
              <w:rPr>
                <w:sz w:val="20"/>
                <w:szCs w:val="20"/>
                <w:color w:val="auto"/>
              </w:rPr>
            </w:pPr>
            <w:r>
              <w:rPr>
                <w:rFonts w:ascii="Arial" w:cs="Arial" w:eastAsia="Arial" w:hAnsi="Arial"/>
                <w:sz w:val="18"/>
                <w:szCs w:val="18"/>
                <w:color w:val="auto"/>
              </w:rPr>
              <w:t>/S/  DAVID L. WHITE</w:t>
            </w:r>
          </w:p>
        </w:tc>
      </w:tr>
      <w:tr>
        <w:trPr>
          <w:trHeight w:val="27"/>
        </w:trPr>
        <w:tc>
          <w:tcPr>
            <w:tcW w:w="34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46"/>
        </w:trPr>
        <w:tc>
          <w:tcPr>
            <w:tcW w:w="34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9"/>
              </w:rPr>
              <w:t>David L. White</w:t>
            </w:r>
          </w:p>
        </w:tc>
      </w:tr>
      <w:tr>
        <w:trPr>
          <w:trHeight w:val="186"/>
        </w:trPr>
        <w:tc>
          <w:tcPr>
            <w:tcW w:w="3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6"/>
              </w:rPr>
              <w:t>Chief Financial Officer</w:t>
            </w:r>
          </w:p>
        </w:tc>
      </w:tr>
      <w:tr>
        <w:trPr>
          <w:trHeight w:val="687"/>
        </w:trPr>
        <w:tc>
          <w:tcPr>
            <w:tcW w:w="3420" w:type="dxa"/>
            <w:vAlign w:val="bottom"/>
          </w:tcPr>
          <w:p>
            <w:pPr>
              <w:spacing w:after="0"/>
              <w:rPr>
                <w:sz w:val="24"/>
                <w:szCs w:val="24"/>
                <w:color w:val="auto"/>
              </w:rPr>
            </w:pPr>
          </w:p>
        </w:tc>
        <w:tc>
          <w:tcPr>
            <w:tcW w:w="2600" w:type="dxa"/>
            <w:vAlign w:val="bottom"/>
          </w:tcPr>
          <w:p>
            <w:pPr>
              <w:jc w:val="right"/>
              <w:ind w:right="170"/>
              <w:spacing w:after="0"/>
              <w:rPr>
                <w:sz w:val="20"/>
                <w:szCs w:val="20"/>
                <w:color w:val="auto"/>
              </w:rPr>
            </w:pPr>
            <w:r>
              <w:rPr>
                <w:rFonts w:ascii="Arial" w:cs="Arial" w:eastAsia="Arial" w:hAnsi="Arial"/>
                <w:sz w:val="18"/>
                <w:szCs w:val="18"/>
                <w:color w:val="auto"/>
              </w:rPr>
              <w:t>52</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Filing</w:t>
            </w: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112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420" w:type="dxa"/>
            <w:vAlign w:val="bottom"/>
          </w:tcPr>
          <w:p>
            <w:pPr>
              <w:spacing w:after="0"/>
              <w:rPr>
                <w:sz w:val="21"/>
                <w:szCs w:val="21"/>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5"/>
              </w:rPr>
              <w:t>Fixed Dollar Accelerated Repurchase Transaction Agreement dated April 28,</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2014 between Goldman, Sachs &amp; Co. and registrant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5" w:right="2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Thomas M. Prescott, certify that:</w:t>
      </w:r>
    </w:p>
    <w:p>
      <w:pPr>
        <w:spacing w:after="0" w:line="38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2014</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Thomas M. Prescott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 White, certify that:</w:t>
      </w:r>
    </w:p>
    <w:p>
      <w:pPr>
        <w:spacing w:after="0" w:line="38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2014</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David L. White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ind w:right="80" w:firstLine="432"/>
        <w:spacing w:after="0" w:line="306" w:lineRule="auto"/>
        <w:rPr>
          <w:sz w:val="20"/>
          <w:szCs w:val="20"/>
          <w:color w:val="auto"/>
        </w:rPr>
      </w:pPr>
      <w:r>
        <w:rPr>
          <w:rFonts w:ascii="Arial" w:cs="Arial" w:eastAsia="Arial" w:hAnsi="Arial"/>
          <w:sz w:val="18"/>
          <w:szCs w:val="18"/>
          <w:color w:val="auto"/>
        </w:rPr>
        <w:t>I, Thomas M. Prescott, certify, pursuant to 18 U.S.C. Section 1350, as adopted pursuant to Section 906 of the Sarbanes-Oxley Act of 2002, that the Quarterly Report of Align Technology, Inc. on Form 10-Q for the quarter ended September 30, 2014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8"/>
              </w:rPr>
              <w:t>/S/  THOMAS M. PRESCOTT</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Thomas M. Prescott</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32"/>
        <w:spacing w:after="0" w:line="306" w:lineRule="auto"/>
        <w:rPr>
          <w:sz w:val="20"/>
          <w:szCs w:val="20"/>
          <w:color w:val="auto"/>
        </w:rPr>
      </w:pPr>
      <w:r>
        <w:rPr>
          <w:rFonts w:ascii="Arial" w:cs="Arial" w:eastAsia="Arial" w:hAnsi="Arial"/>
          <w:sz w:val="18"/>
          <w:szCs w:val="18"/>
          <w:color w:val="auto"/>
        </w:rPr>
        <w:t>I, David L. White, certify, pursuant to 18 U.S.C. Section 1350, as adopted pursuant to Section 906 of the Sarbanes-Oxley Act of 2002, that the Quarterly Report of Align Technology, Inc. on Form 10-Q for the quarter ended September 30, 2014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9"/>
              </w:rPr>
              <w:t>/S/  DAVID L. WHITE</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5"/>
              </w:rPr>
              <w:t>David L. White</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2014</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2"/>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2019-12-06T22:13:34Z</dcterms:created>
  <dcterms:modified xsi:type="dcterms:W3CDTF">2019-12-06T22:13:34Z</dcterms:modified>
</cp:coreProperties>
</file>