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340995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4"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42" w:lineRule="exact"/>
        <w:rPr>
          <w:sz w:val="24"/>
          <w:szCs w:val="24"/>
          <w:color w:val="auto"/>
        </w:rPr>
      </w:pPr>
    </w:p>
    <w:p>
      <w:pPr>
        <w:ind w:left="4560"/>
        <w:spacing w:after="0"/>
        <w:rPr>
          <w:sz w:val="20"/>
          <w:szCs w:val="20"/>
          <w:color w:val="auto"/>
        </w:rPr>
      </w:pPr>
      <w:r>
        <w:rPr>
          <w:rFonts w:ascii="Arial" w:cs="Arial" w:eastAsia="Arial" w:hAnsi="Arial"/>
          <w:sz w:val="16"/>
          <w:szCs w:val="16"/>
          <w:color w:val="auto"/>
        </w:rPr>
        <w:t>____________________________</w:t>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2018</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9"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23" w:lineRule="exact"/>
        <w:rPr>
          <w:sz w:val="24"/>
          <w:szCs w:val="24"/>
          <w:color w:val="auto"/>
        </w:rPr>
      </w:pPr>
    </w:p>
    <w:p>
      <w:pPr>
        <w:ind w:left="4180"/>
        <w:spacing w:after="0"/>
        <w:tabs>
          <w:tab w:leader="none" w:pos="7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6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Commission file number: 0-32259</w:t>
      </w:r>
    </w:p>
    <w:p>
      <w:pPr>
        <w:spacing w:after="0" w:line="23" w:lineRule="exact"/>
        <w:rPr>
          <w:sz w:val="24"/>
          <w:szCs w:val="24"/>
          <w:color w:val="auto"/>
        </w:rPr>
      </w:pPr>
    </w:p>
    <w:p>
      <w:pPr>
        <w:ind w:left="4580"/>
        <w:spacing w:after="0"/>
        <w:rPr>
          <w:sz w:val="20"/>
          <w:szCs w:val="20"/>
          <w:color w:val="auto"/>
        </w:rPr>
      </w:pPr>
      <w:r>
        <w:rPr>
          <w:rFonts w:ascii="Arial" w:cs="Arial" w:eastAsia="Arial" w:hAnsi="Arial"/>
          <w:sz w:val="16"/>
          <w:szCs w:val="16"/>
          <w:color w:val="auto"/>
        </w:rPr>
        <w:t>____________________________</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ALIGN TECHNOLOGY,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5" w:lineRule="exact"/>
        <w:rPr>
          <w:sz w:val="24"/>
          <w:szCs w:val="24"/>
          <w:color w:val="auto"/>
        </w:rPr>
      </w:pPr>
    </w:p>
    <w:tbl>
      <w:tblPr>
        <w:tblLayout w:type="fixed"/>
        <w:tblInd w:w="1800" w:type="dxa"/>
        <w:tblCellMar>
          <w:top w:w="0" w:type="dxa"/>
          <w:left w:w="0" w:type="dxa"/>
          <w:bottom w:w="0" w:type="dxa"/>
          <w:right w:w="0" w:type="dxa"/>
        </w:tblCellMar>
      </w:tblPr>
      <w:tr>
        <w:trPr>
          <w:trHeight w:val="206"/>
        </w:trPr>
        <w:tc>
          <w:tcPr>
            <w:tcW w:w="5840" w:type="dxa"/>
            <w:vAlign w:val="bottom"/>
          </w:tcPr>
          <w:p>
            <w:pPr>
              <w:jc w:val="center"/>
              <w:ind w:left="1859"/>
              <w:spacing w:after="0"/>
              <w:rPr>
                <w:sz w:val="20"/>
                <w:szCs w:val="20"/>
                <w:color w:val="auto"/>
              </w:rPr>
            </w:pPr>
            <w:r>
              <w:rPr>
                <w:rFonts w:ascii="Arial" w:cs="Arial" w:eastAsia="Arial" w:hAnsi="Arial"/>
                <w:sz w:val="16"/>
                <w:szCs w:val="16"/>
                <w:color w:val="auto"/>
                <w:w w:val="90"/>
              </w:rPr>
              <w:t>____________________________</w:t>
            </w:r>
          </w:p>
        </w:tc>
        <w:tc>
          <w:tcPr>
            <w:tcW w:w="1720" w:type="dxa"/>
            <w:vAlign w:val="bottom"/>
          </w:tcPr>
          <w:p>
            <w:pPr>
              <w:spacing w:after="0"/>
              <w:rPr>
                <w:sz w:val="17"/>
                <w:szCs w:val="17"/>
                <w:color w:val="auto"/>
              </w:rPr>
            </w:pPr>
          </w:p>
        </w:tc>
      </w:tr>
      <w:tr>
        <w:trPr>
          <w:trHeight w:val="337"/>
        </w:trPr>
        <w:tc>
          <w:tcPr>
            <w:tcW w:w="5840" w:type="dxa"/>
            <w:vAlign w:val="bottom"/>
          </w:tcPr>
          <w:p>
            <w:pPr>
              <w:jc w:val="center"/>
              <w:ind w:right="3639"/>
              <w:spacing w:after="0"/>
              <w:rPr>
                <w:sz w:val="20"/>
                <w:szCs w:val="20"/>
                <w:color w:val="auto"/>
              </w:rPr>
            </w:pPr>
            <w:r>
              <w:rPr>
                <w:rFonts w:ascii="Arial" w:cs="Arial" w:eastAsia="Arial" w:hAnsi="Arial"/>
                <w:sz w:val="16"/>
                <w:szCs w:val="16"/>
                <w:b w:val="1"/>
                <w:bCs w:val="1"/>
                <w:color w:val="auto"/>
                <w:w w:val="91"/>
              </w:rPr>
              <w:t>Delaware</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94-3267295</w:t>
            </w:r>
          </w:p>
        </w:tc>
      </w:tr>
      <w:tr>
        <w:trPr>
          <w:trHeight w:val="249"/>
        </w:trPr>
        <w:tc>
          <w:tcPr>
            <w:tcW w:w="5840" w:type="dxa"/>
            <w:vAlign w:val="bottom"/>
          </w:tcPr>
          <w:p>
            <w:pPr>
              <w:jc w:val="center"/>
              <w:ind w:right="3639"/>
              <w:spacing w:after="0"/>
              <w:rPr>
                <w:sz w:val="20"/>
                <w:szCs w:val="20"/>
                <w:color w:val="auto"/>
              </w:rPr>
            </w:pPr>
            <w:r>
              <w:rPr>
                <w:rFonts w:ascii="Arial" w:cs="Arial" w:eastAsia="Arial" w:hAnsi="Arial"/>
                <w:sz w:val="16"/>
                <w:szCs w:val="16"/>
                <w:b w:val="1"/>
                <w:bCs w:val="1"/>
                <w:color w:val="auto"/>
                <w:w w:val="92"/>
              </w:rPr>
              <w:t>(State or other jurisdiction of</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5840" w:type="dxa"/>
            <w:vAlign w:val="bottom"/>
          </w:tcPr>
          <w:p>
            <w:pPr>
              <w:jc w:val="center"/>
              <w:ind w:right="3639"/>
              <w:spacing w:after="0"/>
              <w:rPr>
                <w:sz w:val="20"/>
                <w:szCs w:val="20"/>
                <w:color w:val="auto"/>
              </w:rPr>
            </w:pPr>
            <w:r>
              <w:rPr>
                <w:rFonts w:ascii="Arial" w:cs="Arial" w:eastAsia="Arial" w:hAnsi="Arial"/>
                <w:sz w:val="16"/>
                <w:szCs w:val="16"/>
                <w:b w:val="1"/>
                <w:bCs w:val="1"/>
                <w:color w:val="auto"/>
                <w:w w:val="92"/>
              </w:rPr>
              <w:t>incorporation or organization)</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5"/>
              </w:rPr>
              <w:t>Identification Number)</w:t>
            </w:r>
          </w:p>
        </w:tc>
      </w:tr>
      <w:tr>
        <w:trPr>
          <w:trHeight w:val="289"/>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4"/>
              </w:rPr>
              <w:t>2820 Orchard Parkway</w:t>
            </w:r>
          </w:p>
        </w:tc>
        <w:tc>
          <w:tcPr>
            <w:tcW w:w="1720" w:type="dxa"/>
            <w:vAlign w:val="bottom"/>
          </w:tcPr>
          <w:p>
            <w:pPr>
              <w:spacing w:after="0"/>
              <w:rPr>
                <w:sz w:val="24"/>
                <w:szCs w:val="24"/>
                <w:color w:val="auto"/>
              </w:rPr>
            </w:pPr>
          </w:p>
        </w:tc>
      </w:tr>
      <w:tr>
        <w:trPr>
          <w:trHeight w:val="189"/>
        </w:trPr>
        <w:tc>
          <w:tcPr>
            <w:tcW w:w="5840" w:type="dxa"/>
            <w:vAlign w:val="bottom"/>
          </w:tcPr>
          <w:p>
            <w:pPr>
              <w:jc w:val="center"/>
              <w:ind w:left="1919"/>
              <w:spacing w:after="0"/>
              <w:rPr>
                <w:sz w:val="20"/>
                <w:szCs w:val="20"/>
                <w:color w:val="auto"/>
              </w:rPr>
            </w:pPr>
            <w:r>
              <w:rPr>
                <w:rFonts w:ascii="Arial" w:cs="Arial" w:eastAsia="Arial" w:hAnsi="Arial"/>
                <w:sz w:val="16"/>
                <w:szCs w:val="16"/>
                <w:b w:val="1"/>
                <w:bCs w:val="1"/>
                <w:color w:val="auto"/>
                <w:w w:val="91"/>
              </w:rPr>
              <w:t>San Jose, California 95134</w:t>
            </w:r>
          </w:p>
        </w:tc>
        <w:tc>
          <w:tcPr>
            <w:tcW w:w="1720" w:type="dxa"/>
            <w:vAlign w:val="bottom"/>
          </w:tcPr>
          <w:p>
            <w:pPr>
              <w:spacing w:after="0"/>
              <w:rPr>
                <w:sz w:val="16"/>
                <w:szCs w:val="16"/>
                <w:color w:val="auto"/>
              </w:rPr>
            </w:pPr>
          </w:p>
        </w:tc>
      </w:tr>
      <w:tr>
        <w:trPr>
          <w:trHeight w:val="210"/>
        </w:trPr>
        <w:tc>
          <w:tcPr>
            <w:tcW w:w="5840" w:type="dxa"/>
            <w:vAlign w:val="bottom"/>
          </w:tcPr>
          <w:p>
            <w:pPr>
              <w:jc w:val="center"/>
              <w:ind w:left="191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720" w:type="dxa"/>
            <w:vAlign w:val="bottom"/>
          </w:tcPr>
          <w:p>
            <w:pPr>
              <w:spacing w:after="0"/>
              <w:rPr>
                <w:sz w:val="18"/>
                <w:szCs w:val="18"/>
                <w:color w:val="auto"/>
              </w:rPr>
            </w:pPr>
          </w:p>
        </w:tc>
      </w:tr>
      <w:tr>
        <w:trPr>
          <w:trHeight w:val="330"/>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3"/>
              </w:rPr>
              <w:t>(408) 470-1000</w:t>
            </w:r>
          </w:p>
        </w:tc>
        <w:tc>
          <w:tcPr>
            <w:tcW w:w="1720" w:type="dxa"/>
            <w:vAlign w:val="bottom"/>
          </w:tcPr>
          <w:p>
            <w:pPr>
              <w:spacing w:after="0"/>
              <w:rPr>
                <w:sz w:val="24"/>
                <w:szCs w:val="24"/>
                <w:color w:val="auto"/>
              </w:rPr>
            </w:pPr>
          </w:p>
        </w:tc>
      </w:tr>
      <w:tr>
        <w:trPr>
          <w:trHeight w:val="210"/>
        </w:trPr>
        <w:tc>
          <w:tcPr>
            <w:tcW w:w="5840" w:type="dxa"/>
            <w:vAlign w:val="bottom"/>
          </w:tcPr>
          <w:p>
            <w:pPr>
              <w:jc w:val="center"/>
              <w:ind w:left="189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720" w:type="dxa"/>
            <w:vAlign w:val="bottom"/>
          </w:tcPr>
          <w:p>
            <w:pPr>
              <w:spacing w:after="0"/>
              <w:rPr>
                <w:sz w:val="18"/>
                <w:szCs w:val="18"/>
                <w:color w:val="auto"/>
              </w:rPr>
            </w:pPr>
          </w:p>
        </w:tc>
      </w:tr>
      <w:tr>
        <w:trPr>
          <w:trHeight w:val="257"/>
        </w:trPr>
        <w:tc>
          <w:tcPr>
            <w:tcW w:w="5840" w:type="dxa"/>
            <w:vAlign w:val="bottom"/>
          </w:tcPr>
          <w:p>
            <w:pPr>
              <w:jc w:val="center"/>
              <w:ind w:left="1939"/>
              <w:spacing w:after="0"/>
              <w:rPr>
                <w:sz w:val="20"/>
                <w:szCs w:val="20"/>
                <w:color w:val="auto"/>
              </w:rPr>
            </w:pPr>
            <w:r>
              <w:rPr>
                <w:rFonts w:ascii="Arial" w:cs="Arial" w:eastAsia="Arial" w:hAnsi="Arial"/>
                <w:sz w:val="16"/>
                <w:szCs w:val="16"/>
                <w:color w:val="auto"/>
                <w:w w:val="90"/>
              </w:rPr>
              <w:t>____________________________</w:t>
            </w:r>
          </w:p>
        </w:tc>
        <w:tc>
          <w:tcPr>
            <w:tcW w:w="1720" w:type="dxa"/>
            <w:vAlign w:val="bottom"/>
          </w:tcPr>
          <w:p>
            <w:pPr>
              <w:spacing w:after="0"/>
              <w:rPr>
                <w:sz w:val="22"/>
                <w:szCs w:val="22"/>
                <w:color w:val="auto"/>
              </w:rPr>
            </w:pPr>
          </w:p>
        </w:tc>
      </w:tr>
    </w:tbl>
    <w:p>
      <w:pPr>
        <w:spacing w:after="0" w:line="64" w:lineRule="exact"/>
        <w:rPr>
          <w:sz w:val="24"/>
          <w:szCs w:val="24"/>
          <w:color w:val="auto"/>
        </w:rPr>
      </w:pPr>
    </w:p>
    <w:p>
      <w:pPr>
        <w:jc w:val="both"/>
        <w:ind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432"/>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29" w:lineRule="exact"/>
        <w:rPr>
          <w:sz w:val="24"/>
          <w:szCs w:val="24"/>
          <w:color w:val="auto"/>
        </w:rPr>
      </w:pPr>
    </w:p>
    <w:p>
      <w:pPr>
        <w:jc w:val="both"/>
        <w:ind w:firstLine="432"/>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99"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8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540" w:type="dxa"/>
            <w:vAlign w:val="bottom"/>
          </w:tcPr>
          <w:p>
            <w:pPr>
              <w:ind w:left="420"/>
              <w:spacing w:after="0"/>
              <w:rPr>
                <w:sz w:val="20"/>
                <w:szCs w:val="20"/>
                <w:color w:val="auto"/>
              </w:rPr>
            </w:pPr>
            <w:r>
              <w:rPr>
                <w:rFonts w:ascii="Arial" w:cs="Arial" w:eastAsia="Arial" w:hAnsi="Arial"/>
                <w:sz w:val="16"/>
                <w:szCs w:val="16"/>
                <w:color w:val="auto"/>
              </w:rPr>
              <w:t>x</w:t>
            </w:r>
          </w:p>
        </w:tc>
        <w:tc>
          <w:tcPr>
            <w:tcW w:w="3860" w:type="dxa"/>
            <w:vAlign w:val="bottom"/>
          </w:tcPr>
          <w:p>
            <w:pPr>
              <w:spacing w:after="0"/>
              <w:rPr>
                <w:sz w:val="22"/>
                <w:szCs w:val="22"/>
                <w:color w:val="auto"/>
              </w:rPr>
            </w:pPr>
          </w:p>
        </w:tc>
        <w:tc>
          <w:tcPr>
            <w:tcW w:w="3680" w:type="dxa"/>
            <w:vAlign w:val="bottom"/>
          </w:tcPr>
          <w:p>
            <w:pPr>
              <w:ind w:left="800"/>
              <w:spacing w:after="0"/>
              <w:rPr>
                <w:sz w:val="20"/>
                <w:szCs w:val="20"/>
                <w:color w:val="auto"/>
              </w:rPr>
            </w:pPr>
            <w:r>
              <w:rPr>
                <w:rFonts w:ascii="Arial" w:cs="Arial" w:eastAsia="Arial" w:hAnsi="Arial"/>
                <w:sz w:val="16"/>
                <w:szCs w:val="16"/>
                <w:color w:val="auto"/>
              </w:rPr>
              <w:t>Accelerated filer</w:t>
            </w:r>
          </w:p>
        </w:tc>
        <w:tc>
          <w:tcPr>
            <w:tcW w:w="12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7"/>
        </w:trPr>
        <w:tc>
          <w:tcPr>
            <w:tcW w:w="1880" w:type="dxa"/>
            <w:vAlign w:val="bottom"/>
          </w:tcPr>
          <w:p>
            <w:pPr>
              <w:spacing w:after="0"/>
              <w:rPr>
                <w:sz w:val="20"/>
                <w:szCs w:val="20"/>
                <w:color w:val="auto"/>
              </w:rPr>
            </w:pPr>
            <w:r>
              <w:rPr>
                <w:rFonts w:ascii="Arial" w:cs="Arial" w:eastAsia="Arial" w:hAnsi="Arial"/>
                <w:sz w:val="16"/>
                <w:szCs w:val="16"/>
                <w:color w:val="auto"/>
              </w:rPr>
              <w:t>Non-accelerated filer</w:t>
            </w:r>
          </w:p>
        </w:tc>
        <w:tc>
          <w:tcPr>
            <w:tcW w:w="540" w:type="dxa"/>
            <w:vAlign w:val="bottom"/>
          </w:tcPr>
          <w:p>
            <w:pPr>
              <w:ind w:left="420"/>
              <w:spacing w:after="0"/>
              <w:rPr>
                <w:sz w:val="20"/>
                <w:szCs w:val="20"/>
                <w:color w:val="auto"/>
              </w:rPr>
            </w:pPr>
            <w:r>
              <w:rPr>
                <w:rFonts w:ascii="Arial" w:cs="Arial" w:eastAsia="Arial" w:hAnsi="Arial"/>
                <w:sz w:val="16"/>
                <w:szCs w:val="16"/>
                <w:color w:val="auto"/>
              </w:rPr>
              <w:t>o</w:t>
            </w:r>
          </w:p>
        </w:tc>
        <w:tc>
          <w:tcPr>
            <w:tcW w:w="386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3680" w:type="dxa"/>
            <w:vAlign w:val="bottom"/>
          </w:tcPr>
          <w:p>
            <w:pPr>
              <w:ind w:left="800"/>
              <w:spacing w:after="0"/>
              <w:rPr>
                <w:sz w:val="20"/>
                <w:szCs w:val="20"/>
                <w:color w:val="auto"/>
              </w:rPr>
            </w:pPr>
            <w:r>
              <w:rPr>
                <w:rFonts w:ascii="Arial" w:cs="Arial" w:eastAsia="Arial" w:hAnsi="Arial"/>
                <w:sz w:val="16"/>
                <w:szCs w:val="16"/>
                <w:color w:val="auto"/>
              </w:rPr>
              <w:t>Smaller reporting company</w:t>
            </w:r>
          </w:p>
        </w:tc>
        <w:tc>
          <w:tcPr>
            <w:tcW w:w="12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8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860" w:type="dxa"/>
            <w:vAlign w:val="bottom"/>
          </w:tcPr>
          <w:p>
            <w:pPr>
              <w:spacing w:after="0"/>
              <w:rPr>
                <w:sz w:val="23"/>
                <w:szCs w:val="23"/>
                <w:color w:val="auto"/>
              </w:rPr>
            </w:pPr>
          </w:p>
        </w:tc>
        <w:tc>
          <w:tcPr>
            <w:tcW w:w="3680" w:type="dxa"/>
            <w:vAlign w:val="bottom"/>
          </w:tcPr>
          <w:p>
            <w:pPr>
              <w:ind w:left="800"/>
              <w:spacing w:after="0"/>
              <w:rPr>
                <w:sz w:val="20"/>
                <w:szCs w:val="20"/>
                <w:color w:val="auto"/>
              </w:rPr>
            </w:pPr>
            <w:r>
              <w:rPr>
                <w:rFonts w:ascii="Arial" w:cs="Arial" w:eastAsia="Arial" w:hAnsi="Arial"/>
                <w:sz w:val="16"/>
                <w:szCs w:val="16"/>
                <w:color w:val="auto"/>
              </w:rPr>
              <w:t>Emerging growth company</w:t>
            </w:r>
          </w:p>
        </w:tc>
        <w:tc>
          <w:tcPr>
            <w:tcW w:w="126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32" w:lineRule="exact"/>
        <w:rPr>
          <w:sz w:val="24"/>
          <w:szCs w:val="24"/>
          <w:color w:val="auto"/>
        </w:rPr>
      </w:pPr>
    </w:p>
    <w:p>
      <w:pPr>
        <w:ind w:left="40" w:right="12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115" w:lineRule="exact"/>
        <w:rPr>
          <w:sz w:val="24"/>
          <w:szCs w:val="24"/>
          <w:color w:val="auto"/>
        </w:rPr>
      </w:pPr>
    </w:p>
    <w:p>
      <w:pPr>
        <w:ind w:left="440" w:right="2480"/>
        <w:spacing w:after="0" w:line="29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 The number of shares outstanding of the registrant’s Common Stock, $0.0001 par value, as of October 26, 2018 was 79,984,381.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287655</wp:posOffset>
            </wp:positionV>
            <wp:extent cx="7229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201930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ALIGN TECHNOLOGY,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gridSpan w:val="2"/>
          </w:tcPr>
          <w:p>
            <w:pPr>
              <w:spacing w:after="0"/>
              <w:rPr>
                <w:sz w:val="20"/>
                <w:szCs w:val="20"/>
                <w:color w:val="auto"/>
              </w:rPr>
            </w:pPr>
            <w:r>
              <w:rPr>
                <w:rFonts w:ascii="Arial" w:cs="Arial" w:eastAsia="Arial" w:hAnsi="Arial"/>
                <w:sz w:val="18"/>
                <w:szCs w:val="18"/>
                <w:color w:val="auto"/>
              </w:rPr>
              <w:t>PART I</w:t>
            </w:r>
          </w:p>
        </w:tc>
        <w:tc>
          <w:tcPr>
            <w:tcW w:w="992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420" w:type="dxa"/>
            <w:vAlign w:val="bottom"/>
            <w:tcBorders>
              <w:bottom w:val="single" w:sz="8" w:color="0000FF"/>
            </w:tcBorders>
            <w:gridSpan w:val="11"/>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FINANCIAL STATEMENTS (UNAUDITED):</w:t>
              </w:r>
            </w:hyperlink>
          </w:p>
        </w:tc>
        <w:tc>
          <w:tcPr>
            <w:tcW w:w="6500" w:type="dxa"/>
            <w:vAlign w:val="bottom"/>
            <w:gridSpan w:val="9"/>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w:t>
              </w:r>
            </w:hyperlink>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80" w:type="dxa"/>
            <w:vAlign w:val="bottom"/>
            <w:tcBorders>
              <w:bottom w:val="single" w:sz="8" w:color="0000FF"/>
            </w:tcBorders>
            <w:gridSpan w:val="17"/>
          </w:tcPr>
          <w:p>
            <w:pPr>
              <w:spacing w:after="0"/>
              <w:rPr>
                <w:rFonts w:ascii="Arial" w:cs="Arial" w:eastAsia="Arial" w:hAnsi="Arial"/>
                <w:sz w:val="18"/>
                <w:szCs w:val="18"/>
                <w:color w:val="0000FF"/>
                <w:w w:val="95"/>
              </w:rPr>
            </w:pPr>
            <w:hyperlink w:anchor="page4">
              <w:r>
                <w:rPr>
                  <w:rFonts w:ascii="Arial" w:cs="Arial" w:eastAsia="Arial" w:hAnsi="Arial"/>
                  <w:sz w:val="18"/>
                  <w:szCs w:val="18"/>
                  <w:color w:val="0000FF"/>
                  <w:w w:val="95"/>
                </w:rPr>
                <w:t>CONDENSED CONSOLIDATED STATEMENTS OF COMPREHENSIVE INCOME</w:t>
              </w:r>
            </w:hyperlink>
          </w:p>
        </w:tc>
        <w:tc>
          <w:tcPr>
            <w:tcW w:w="330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BALANCE SHEETS</w:t>
              </w:r>
            </w:hyperlink>
          </w:p>
        </w:tc>
        <w:tc>
          <w:tcPr>
            <w:tcW w:w="18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CASH FLOWS</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580" w:type="dxa"/>
            <w:vAlign w:val="bottom"/>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CONDENSED CONSOLIDATED FINANCIAL STATEMENTS</w:t>
              </w:r>
            </w:hyperlink>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760" w:type="dxa"/>
            <w:vAlign w:val="bottom"/>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MANAGEMENT’S DISCUSSION AND ANALYSIS OF FINANCIAL CONDITION AND RESULTS OF</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w:anchor="page27">
              <w:r>
                <w:rPr>
                  <w:rFonts w:ascii="Arial" w:cs="Arial" w:eastAsia="Arial" w:hAnsi="Arial"/>
                  <w:sz w:val="18"/>
                  <w:szCs w:val="18"/>
                  <w:color w:val="0000FF"/>
                  <w:w w:val="91"/>
                </w:rPr>
                <w:t>OPERATIONS</w:t>
              </w:r>
            </w:hyperlink>
          </w:p>
        </w:tc>
        <w:tc>
          <w:tcPr>
            <w:tcW w:w="6660" w:type="dxa"/>
            <w:vAlign w:val="bottom"/>
            <w:tcBorders>
              <w:top w:val="single" w:sz="8" w:color="0000FF"/>
            </w:tcBorders>
            <w:gridSpan w:val="16"/>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FF"/>
            </w:tcBorders>
            <w:gridSpan w:val="17"/>
          </w:tcPr>
          <w:p>
            <w:pPr>
              <w:spacing w:after="0"/>
              <w:rPr>
                <w:rFonts w:ascii="Arial" w:cs="Arial" w:eastAsia="Arial" w:hAnsi="Arial"/>
                <w:sz w:val="18"/>
                <w:szCs w:val="18"/>
                <w:color w:val="0000FF"/>
                <w:w w:val="98"/>
              </w:rPr>
            </w:pPr>
            <w:hyperlink w:anchor="page40">
              <w:r>
                <w:rPr>
                  <w:rFonts w:ascii="Arial" w:cs="Arial" w:eastAsia="Arial" w:hAnsi="Arial"/>
                  <w:sz w:val="18"/>
                  <w:szCs w:val="18"/>
                  <w:color w:val="0000FF"/>
                  <w:w w:val="98"/>
                </w:rPr>
                <w:t>QUANTITATIVE AND QUALITATIVE DISCLOSURES ABOUT MARKET RISK</w:t>
              </w:r>
            </w:hyperlink>
          </w:p>
        </w:tc>
        <w:tc>
          <w:tcPr>
            <w:tcW w:w="3780" w:type="dxa"/>
            <w:vAlign w:val="bottom"/>
            <w:gridSpan w:val="3"/>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FF"/>
            </w:tcBorders>
            <w:gridSpan w:val="9"/>
          </w:tcPr>
          <w:p>
            <w:pPr>
              <w:spacing w:after="0"/>
              <w:rPr>
                <w:rFonts w:ascii="Arial" w:cs="Arial" w:eastAsia="Arial" w:hAnsi="Arial"/>
                <w:sz w:val="18"/>
                <w:szCs w:val="18"/>
                <w:color w:val="0000FF"/>
                <w:w w:val="93"/>
              </w:rPr>
            </w:pPr>
            <w:hyperlink w:anchor="page42">
              <w:r>
                <w:rPr>
                  <w:rFonts w:ascii="Arial" w:cs="Arial" w:eastAsia="Arial" w:hAnsi="Arial"/>
                  <w:sz w:val="18"/>
                  <w:szCs w:val="18"/>
                  <w:color w:val="0000FF"/>
                  <w:w w:val="93"/>
                </w:rPr>
                <w:t>CONTROLS AND PROCEDURES</w:t>
              </w:r>
            </w:hyperlink>
          </w:p>
        </w:tc>
        <w:tc>
          <w:tcPr>
            <w:tcW w:w="7320" w:type="dxa"/>
            <w:vAlign w:val="bottom"/>
            <w:gridSpan w:val="11"/>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2">
              <w:r>
                <w:rPr>
                  <w:rFonts w:ascii="Arial" w:cs="Arial" w:eastAsia="Arial" w:hAnsi="Arial"/>
                  <w:sz w:val="18"/>
                  <w:szCs w:val="18"/>
                  <w:color w:val="0000FF"/>
                  <w:w w:val="79"/>
                </w:rPr>
                <w:t>42</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43">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20" w:type="dxa"/>
            <w:vAlign w:val="bottom"/>
            <w:gridSpan w:val="20"/>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LEGAL PROCEEDINGS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43">
              <w:r>
                <w:rPr>
                  <w:rFonts w:ascii="Arial" w:cs="Arial" w:eastAsia="Arial" w:hAnsi="Arial"/>
                  <w:sz w:val="18"/>
                  <w:szCs w:val="18"/>
                  <w:color w:val="0000FF"/>
                  <w:w w:val="79"/>
                </w:rPr>
                <w:t>43</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2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RISK FACTORS</w:t>
              </w:r>
            </w:hyperlink>
          </w:p>
        </w:tc>
        <w:tc>
          <w:tcPr>
            <w:tcW w:w="620" w:type="dxa"/>
            <w:vAlign w:val="bottom"/>
            <w:tcBorders>
              <w:top w:val="single" w:sz="8" w:color="0000FF"/>
            </w:tcBorders>
          </w:tcPr>
          <w:p>
            <w:pPr>
              <w:spacing w:after="0"/>
              <w:rPr>
                <w:sz w:val="21"/>
                <w:szCs w:val="21"/>
                <w:color w:val="auto"/>
              </w:rPr>
            </w:pPr>
          </w:p>
        </w:tc>
        <w:tc>
          <w:tcPr>
            <w:tcW w:w="8060" w:type="dxa"/>
            <w:vAlign w:val="bottom"/>
            <w:gridSpan w:val="15"/>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44">
              <w:r>
                <w:rPr>
                  <w:rFonts w:ascii="Arial" w:cs="Arial" w:eastAsia="Arial" w:hAnsi="Arial"/>
                  <w:sz w:val="18"/>
                  <w:szCs w:val="18"/>
                  <w:color w:val="0000FF"/>
                  <w:w w:val="79"/>
                </w:rPr>
                <w:t>44</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20" w:type="dxa"/>
            <w:vAlign w:val="bottom"/>
            <w:gridSpan w:val="20"/>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58</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1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3"/>
              </w:rPr>
            </w:pPr>
            <w:hyperlink w:anchor="page58">
              <w:r>
                <w:rPr>
                  <w:rFonts w:ascii="Arial" w:cs="Arial" w:eastAsia="Arial" w:hAnsi="Arial"/>
                  <w:sz w:val="18"/>
                  <w:szCs w:val="18"/>
                  <w:color w:val="0000FF"/>
                  <w:w w:val="93"/>
                </w:rPr>
                <w:t>DEFAULTS UPON SENIOR SECURITIES</w:t>
              </w:r>
            </w:hyperlink>
          </w:p>
        </w:tc>
        <w:tc>
          <w:tcPr>
            <w:tcW w:w="2880" w:type="dxa"/>
            <w:vAlign w:val="bottom"/>
            <w:tcBorders>
              <w:top w:val="single" w:sz="8" w:color="0000FF"/>
            </w:tcBorders>
            <w:gridSpan w:val="6"/>
          </w:tcPr>
          <w:p>
            <w:pPr>
              <w:spacing w:after="0"/>
              <w:rPr>
                <w:sz w:val="21"/>
                <w:szCs w:val="21"/>
                <w:color w:val="auto"/>
              </w:rPr>
            </w:pPr>
          </w:p>
        </w:tc>
        <w:tc>
          <w:tcPr>
            <w:tcW w:w="3860" w:type="dxa"/>
            <w:vAlign w:val="bottom"/>
            <w:gridSpan w:val="4"/>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58</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440" w:type="dxa"/>
            <w:vAlign w:val="bottom"/>
            <w:tcBorders>
              <w:bottom w:val="single" w:sz="8" w:color="0000FF"/>
            </w:tcBorders>
            <w:gridSpan w:val="8"/>
          </w:tcPr>
          <w:p>
            <w:pPr>
              <w:spacing w:after="0"/>
              <w:rPr>
                <w:rFonts w:ascii="Arial" w:cs="Arial" w:eastAsia="Arial" w:hAnsi="Arial"/>
                <w:sz w:val="18"/>
                <w:szCs w:val="18"/>
                <w:color w:val="0000FF"/>
                <w:w w:val="95"/>
              </w:rPr>
            </w:pPr>
            <w:hyperlink w:anchor="page58">
              <w:r>
                <w:rPr>
                  <w:rFonts w:ascii="Arial" w:cs="Arial" w:eastAsia="Arial" w:hAnsi="Arial"/>
                  <w:sz w:val="18"/>
                  <w:szCs w:val="18"/>
                  <w:color w:val="0000FF"/>
                  <w:w w:val="95"/>
                </w:rPr>
                <w:t>MINE SAFETY DISCLOSURES</w:t>
              </w:r>
            </w:hyperlink>
          </w:p>
        </w:tc>
        <w:tc>
          <w:tcPr>
            <w:tcW w:w="7480" w:type="dxa"/>
            <w:vAlign w:val="bottom"/>
            <w:gridSpan w:val="12"/>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58</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880" w:type="dxa"/>
            <w:vAlign w:val="bottom"/>
            <w:tcBorders>
              <w:bottom w:val="single" w:sz="8" w:color="0000FF"/>
            </w:tcBorders>
            <w:gridSpan w:val="6"/>
          </w:tcPr>
          <w:p>
            <w:pPr>
              <w:spacing w:after="0"/>
              <w:rPr>
                <w:rFonts w:ascii="Arial" w:cs="Arial" w:eastAsia="Arial" w:hAnsi="Arial"/>
                <w:sz w:val="18"/>
                <w:szCs w:val="18"/>
                <w:color w:val="0000FF"/>
                <w:w w:val="95"/>
              </w:rPr>
            </w:pPr>
            <w:hyperlink w:anchor="page58">
              <w:r>
                <w:rPr>
                  <w:rFonts w:ascii="Arial" w:cs="Arial" w:eastAsia="Arial" w:hAnsi="Arial"/>
                  <w:sz w:val="18"/>
                  <w:szCs w:val="18"/>
                  <w:color w:val="0000FF"/>
                  <w:w w:val="95"/>
                </w:rPr>
                <w:t>OTHER INFORMATION</w:t>
              </w:r>
            </w:hyperlink>
          </w:p>
        </w:tc>
        <w:tc>
          <w:tcPr>
            <w:tcW w:w="8040" w:type="dxa"/>
            <w:vAlign w:val="bottom"/>
            <w:gridSpan w:val="14"/>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8">
              <w:r>
                <w:rPr>
                  <w:rFonts w:ascii="Arial" w:cs="Arial" w:eastAsia="Arial" w:hAnsi="Arial"/>
                  <w:sz w:val="18"/>
                  <w:szCs w:val="18"/>
                  <w:color w:val="0000FF"/>
                  <w:w w:val="79"/>
                </w:rPr>
                <w:t>58</w:t>
              </w:r>
            </w:hyperlink>
          </w:p>
        </w:tc>
      </w:tr>
      <w:tr>
        <w:trPr>
          <w:trHeight w:val="250"/>
        </w:trPr>
        <w:tc>
          <w:tcPr>
            <w:tcW w:w="12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920" w:type="dxa"/>
            <w:vAlign w:val="bottom"/>
            <w:gridSpan w:val="20"/>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EXHIBITS</w:t>
              </w:r>
            </w:hyperlink>
          </w:p>
        </w:tc>
        <w:tc>
          <w:tcPr>
            <w:tcW w:w="180" w:type="dxa"/>
            <w:vAlign w:val="bottom"/>
            <w:gridSpan w:val="2"/>
          </w:tcPr>
          <w:p>
            <w:pPr>
              <w:jc w:val="right"/>
              <w:spacing w:after="0"/>
              <w:rPr>
                <w:rFonts w:ascii="Arial" w:cs="Arial" w:eastAsia="Arial" w:hAnsi="Arial"/>
                <w:sz w:val="18"/>
                <w:szCs w:val="18"/>
                <w:color w:val="0000FF"/>
                <w:w w:val="79"/>
              </w:rPr>
            </w:pPr>
            <w:hyperlink w:anchor="page59">
              <w:r>
                <w:rPr>
                  <w:rFonts w:ascii="Arial" w:cs="Arial" w:eastAsia="Arial" w:hAnsi="Arial"/>
                  <w:sz w:val="18"/>
                  <w:szCs w:val="18"/>
                  <w:color w:val="0000FF"/>
                  <w:w w:val="79"/>
                </w:rPr>
                <w:t>59</w:t>
              </w:r>
            </w:hyperlink>
          </w:p>
        </w:tc>
      </w:tr>
      <w:tr>
        <w:trPr>
          <w:trHeight w:val="250"/>
        </w:trPr>
        <w:tc>
          <w:tcPr>
            <w:tcW w:w="1100" w:type="dxa"/>
            <w:vAlign w:val="bottom"/>
            <w:tcBorders>
              <w:bottom w:val="single" w:sz="8" w:color="0000FF"/>
            </w:tcBorders>
          </w:tcPr>
          <w:p>
            <w:pPr>
              <w:spacing w:after="0"/>
              <w:rPr>
                <w:rFonts w:ascii="Arial" w:cs="Arial" w:eastAsia="Arial" w:hAnsi="Arial"/>
                <w:sz w:val="18"/>
                <w:szCs w:val="18"/>
                <w:color w:val="0000FF"/>
                <w:w w:val="92"/>
              </w:rPr>
            </w:pPr>
            <w:hyperlink w:anchor="page60">
              <w:r>
                <w:rPr>
                  <w:rFonts w:ascii="Arial" w:cs="Arial" w:eastAsia="Arial" w:hAnsi="Arial"/>
                  <w:sz w:val="18"/>
                  <w:szCs w:val="18"/>
                  <w:color w:val="0000FF"/>
                  <w:w w:val="92"/>
                </w:rPr>
                <w:t>SIGNATURES</w:t>
              </w:r>
            </w:hyperlink>
          </w:p>
        </w:tc>
        <w:tc>
          <w:tcPr>
            <w:tcW w:w="160" w:type="dxa"/>
            <w:vAlign w:val="bottom"/>
          </w:tcPr>
          <w:p>
            <w:pPr>
              <w:spacing w:after="0"/>
              <w:rPr>
                <w:sz w:val="21"/>
                <w:szCs w:val="21"/>
                <w:color w:val="auto"/>
              </w:rPr>
            </w:pPr>
          </w:p>
        </w:tc>
        <w:tc>
          <w:tcPr>
            <w:tcW w:w="340" w:type="dxa"/>
            <w:vAlign w:val="bottom"/>
            <w:tcBorders>
              <w:top w:val="single" w:sz="8" w:color="0000FF"/>
            </w:tcBorders>
          </w:tcPr>
          <w:p>
            <w:pPr>
              <w:spacing w:after="0"/>
              <w:rPr>
                <w:sz w:val="21"/>
                <w:szCs w:val="21"/>
                <w:color w:val="auto"/>
              </w:rPr>
            </w:pPr>
          </w:p>
        </w:tc>
        <w:tc>
          <w:tcPr>
            <w:tcW w:w="480" w:type="dxa"/>
            <w:vAlign w:val="bottom"/>
            <w:tcBorders>
              <w:top w:val="single" w:sz="8" w:color="0000FF"/>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60">
              <w:r>
                <w:rPr>
                  <w:rFonts w:ascii="Arial" w:cs="Arial" w:eastAsia="Arial" w:hAnsi="Arial"/>
                  <w:sz w:val="18"/>
                  <w:szCs w:val="18"/>
                  <w:color w:val="0000FF"/>
                  <w:w w:val="79"/>
                </w:rPr>
                <w:t>60</w:t>
              </w:r>
            </w:hyperlink>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Invisalign, Align, the Invisalign logo, ClinCheck, Made to Move, Invisalign Assist, Invisalign Teen, Invisalign Go, Vivera, SmartForce, SmartTrack, SmartStage, iTero, iTero Element, Orthocad, iCast and iRecord, among others, are trademarks and/or service marks of Align Technology, Inc. or one of its subsidiaries or affiliated companies and may be registered in the United States and/or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57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505,289</w:t>
            </w:r>
          </w:p>
        </w:tc>
        <w:tc>
          <w:tcPr>
            <w:tcW w:w="100" w:type="dxa"/>
            <w:vAlign w:val="bottom"/>
          </w:tcPr>
          <w:p>
            <w:pPr>
              <w:spacing w:after="0"/>
              <w:rPr>
                <w:sz w:val="20"/>
                <w:szCs w:val="20"/>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385,267</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1,432,472</w:t>
            </w:r>
          </w:p>
        </w:tc>
        <w:tc>
          <w:tcPr>
            <w:tcW w:w="1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w w:val="97"/>
              </w:rPr>
              <w:t>1,052,090</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133,508</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367,701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253,060</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371,781</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292,488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1,064,771</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799,030</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4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213,873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169,524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625,585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483,636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32,700</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93,095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71,389</w:t>
            </w:r>
          </w:p>
        </w:tc>
        <w:tc>
          <w:tcPr>
            <w:tcW w:w="0" w:type="dxa"/>
            <w:vAlign w:val="bottom"/>
          </w:tcPr>
          <w:p>
            <w:pPr>
              <w:spacing w:after="0"/>
              <w:rPr>
                <w:sz w:val="1"/>
                <w:szCs w:val="1"/>
                <w:color w:val="auto"/>
              </w:rPr>
            </w:pPr>
          </w:p>
        </w:tc>
      </w:tr>
      <w:tr>
        <w:trPr>
          <w:trHeight w:val="237"/>
        </w:trPr>
        <w:tc>
          <w:tcPr>
            <w:tcW w:w="492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246,573</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193,725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718,680</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555,025</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125,208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346,091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244,005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4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6,327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09"/>
        </w:trPr>
        <w:tc>
          <w:tcPr>
            <w:tcW w:w="4920" w:type="dxa"/>
            <w:vAlign w:val="bottom"/>
          </w:tcPr>
          <w:p>
            <w:pPr>
              <w:ind w:left="40"/>
              <w:spacing w:after="0"/>
              <w:rPr>
                <w:sz w:val="20"/>
                <w:szCs w:val="20"/>
                <w:color w:val="auto"/>
              </w:rPr>
            </w:pPr>
            <w:r>
              <w:rPr>
                <w:rFonts w:ascii="Arial" w:cs="Arial" w:eastAsia="Arial" w:hAnsi="Arial"/>
                <w:sz w:val="18"/>
                <w:szCs w:val="18"/>
                <w:color w:val="auto"/>
                <w:w w:val="92"/>
              </w:rPr>
              <w:t>Net income before provision for income taxes and equity in losses</w:t>
            </w:r>
          </w:p>
        </w:tc>
        <w:tc>
          <w:tcPr>
            <w:tcW w:w="4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40"/>
              <w:spacing w:after="0"/>
              <w:rPr>
                <w:sz w:val="20"/>
                <w:szCs w:val="20"/>
                <w:color w:val="auto"/>
              </w:rPr>
            </w:pPr>
            <w:r>
              <w:rPr>
                <w:rFonts w:ascii="Arial" w:cs="Arial" w:eastAsia="Arial" w:hAnsi="Arial"/>
                <w:sz w:val="18"/>
                <w:szCs w:val="18"/>
                <w:color w:val="auto"/>
              </w:rPr>
              <w:t>of investee</w:t>
            </w:r>
          </w:p>
        </w:tc>
        <w:tc>
          <w:tcPr>
            <w:tcW w:w="40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126,605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102,513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344,659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252,612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24,601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35,206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26,508</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Equity in losses of investee, net of tax</w:t>
            </w:r>
          </w:p>
        </w:tc>
        <w:tc>
          <w:tcPr>
            <w:tcW w:w="40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6,610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4,950</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100,872</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82,555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302,843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221,154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Shares used in computing net income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80,111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80,163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80,122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80,086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81,359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81,789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81,538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81,757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0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270"/>
        </w:trPr>
        <w:tc>
          <w:tcPr>
            <w:tcW w:w="60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100,872</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82,555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302,843</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221,154</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change in foreign currency 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1,624</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Change in unrealized gains (losses) on investments, net of tax</w:t>
            </w:r>
          </w:p>
        </w:tc>
        <w:tc>
          <w:tcPr>
            <w:tcW w:w="3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102</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1,726</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99,233</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83,499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301,544</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222,880</w:t>
            </w:r>
          </w:p>
        </w:tc>
      </w:tr>
      <w:tr>
        <w:trPr>
          <w:trHeight w:val="27"/>
        </w:trPr>
        <w:tc>
          <w:tcPr>
            <w:tcW w:w="6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420,860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449,511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Marketable securities, short-term</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184,297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272,031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for doubtful accounts of $2,611 and $5,814, respectively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324,189</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48,858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31,688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80,948</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1,224,182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1,158,367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491,630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348,793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54,606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 and intangible assets,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83,607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89,068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49,334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25,464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43,893</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1,928,405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1,784,009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36,776</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219,035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195,562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356,109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267,713</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618,209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500,051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114,091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21,558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15,579</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735,422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629,721</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(Notes 8 and 9)</w:t>
            </w:r>
          </w:p>
        </w:tc>
        <w:tc>
          <w:tcPr>
            <w:tcW w:w="2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Preferred stock, $0.0001 par value (5,000 shares authorized; none issued)</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Common stock, $0.0001 par value (200,000 shares authorized; 79,983 and 80,040 issued and outstanding,</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865,271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886,435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328,432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267,274</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1,192,983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1,154,288</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1,928,405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1,784,009</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48" w:lineRule="exact"/>
        <w:rPr>
          <w:sz w:val="20"/>
          <w:szCs w:val="20"/>
          <w:color w:val="auto"/>
        </w:rPr>
      </w:pPr>
    </w:p>
    <w:p>
      <w:pPr>
        <w:jc w:val="right"/>
        <w:ind w:right="7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5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7229475"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43180</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39370</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Deferred taxes</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Stock-based compensation</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Equity in losses of investee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non-cash operating activities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Changes in assets and liabilities, net of effects of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Accounts receivable</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Prepaid expenses and other assets</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Accrued and other long-term liabilities</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Long-term 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Deferred revenues</w:t>
      </w:r>
    </w:p>
    <w:p>
      <w:pPr>
        <w:spacing w:after="0" w:line="6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40640</wp:posOffset>
            </wp:positionV>
            <wp:extent cx="7229475"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Purchase of property, plant and equipment</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Purchase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Proceeds from maturities of marketable securities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Purchases of investments in privately held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Proceeds from sales of marketable securities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Loan advances to equity investee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Loan repayment from equity investee</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4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Net cash used in investing activities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43180</wp:posOffset>
            </wp:positionV>
            <wp:extent cx="722947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Proceeds from issuance of common stock</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Common stock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160" w:right="2877" w:hanging="755"/>
        <w:spacing w:after="0" w:line="321" w:lineRule="auto"/>
        <w:rPr>
          <w:sz w:val="20"/>
          <w:szCs w:val="20"/>
          <w:color w:val="auto"/>
        </w:rPr>
      </w:pPr>
      <w:r>
        <w:rPr>
          <w:rFonts w:ascii="Arial" w:cs="Arial" w:eastAsia="Arial" w:hAnsi="Arial"/>
          <w:sz w:val="18"/>
          <w:szCs w:val="18"/>
          <w:color w:val="auto"/>
        </w:rPr>
        <w:t>Employees’ taxes paid upon the vesting of restricted stock units 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-7620</wp:posOffset>
            </wp:positionV>
            <wp:extent cx="722947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ind w:left="1160" w:right="1317" w:hanging="755"/>
        <w:spacing w:after="0" w:line="348" w:lineRule="auto"/>
        <w:rPr>
          <w:sz w:val="20"/>
          <w:szCs w:val="20"/>
          <w:color w:val="auto"/>
        </w:rPr>
      </w:pPr>
      <w:r>
        <w:rPr>
          <w:rFonts w:ascii="Arial" w:cs="Arial" w:eastAsia="Arial" w:hAnsi="Arial"/>
          <w:sz w:val="17"/>
          <w:szCs w:val="17"/>
          <w:color w:val="auto"/>
        </w:rPr>
        <w:t>Effect of foreign exchange rate changes on cash, cash equivalents, and restricted cash Net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-6985</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1160" w:right="1757"/>
        <w:spacing w:after="0" w:line="367" w:lineRule="auto"/>
        <w:rPr>
          <w:sz w:val="20"/>
          <w:szCs w:val="20"/>
          <w:color w:val="auto"/>
        </w:rPr>
      </w:pPr>
      <w:r>
        <w:rPr>
          <w:rFonts w:ascii="Arial" w:cs="Arial" w:eastAsia="Arial" w:hAnsi="Arial"/>
          <w:sz w:val="16"/>
          <w:szCs w:val="16"/>
          <w:color w:val="auto"/>
        </w:rPr>
        <w:t>Cash, cash equivalents, and restricted cash at beginning of the period Cash, cash equivalents, and restricted cash at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-4445</wp:posOffset>
            </wp:positionV>
            <wp:extent cx="7229475"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SUPPLEMENTAL CASH FLOW INFORMATION:</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503"/>
        <w:spacing w:after="0"/>
        <w:rPr>
          <w:sz w:val="20"/>
          <w:szCs w:val="20"/>
          <w:color w:val="auto"/>
        </w:rPr>
      </w:pP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8661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14" w:lineRule="exact"/>
        <w:rPr>
          <w:sz w:val="20"/>
          <w:szCs w:val="20"/>
          <w:color w:val="auto"/>
        </w:rPr>
      </w:pPr>
    </w:p>
    <w:p>
      <w:pPr>
        <w:ind w:left="643" w:hanging="643"/>
        <w:spacing w:after="0"/>
        <w:tabs>
          <w:tab w:leader="none" w:pos="643" w:val="left"/>
        </w:tabs>
        <w:numPr>
          <w:ilvl w:val="0"/>
          <w:numId w:val="3"/>
        </w:numPr>
        <w:rPr>
          <w:rFonts w:ascii="Arial" w:cs="Arial" w:eastAsia="Arial" w:hAnsi="Arial"/>
          <w:sz w:val="17"/>
          <w:szCs w:val="17"/>
          <w:color w:val="auto"/>
        </w:rPr>
      </w:pPr>
      <w:r>
        <w:rPr>
          <w:rFonts w:ascii="Arial" w:cs="Arial" w:eastAsia="Arial" w:hAnsi="Arial"/>
          <w:sz w:val="17"/>
          <w:szCs w:val="17"/>
          <w:color w:val="auto"/>
        </w:rPr>
        <w:t>302,843</w:t>
      </w:r>
    </w:p>
    <w:p>
      <w:pPr>
        <w:spacing w:after="0" w:line="34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2,047</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38,185</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51,918</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6,610</w:t>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11,363</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(89,843)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(17,192)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(47,775)</w:t>
      </w:r>
    </w:p>
    <w:p>
      <w:pPr>
        <w:spacing w:after="0" w:line="63" w:lineRule="exact"/>
        <w:rPr>
          <w:sz w:val="20"/>
          <w:szCs w:val="20"/>
          <w:color w:val="auto"/>
        </w:rPr>
      </w:pPr>
    </w:p>
    <w:p>
      <w:pPr>
        <w:ind w:left="823"/>
        <w:spacing w:after="0"/>
        <w:rPr>
          <w:sz w:val="20"/>
          <w:szCs w:val="20"/>
          <w:color w:val="auto"/>
        </w:rPr>
      </w:pPr>
      <w:r>
        <w:rPr>
          <w:rFonts w:ascii="Arial" w:cs="Arial" w:eastAsia="Arial" w:hAnsi="Arial"/>
          <w:sz w:val="18"/>
          <w:szCs w:val="18"/>
          <w:color w:val="auto"/>
        </w:rPr>
        <w:t>5,042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(25,436)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(18,435)</w:t>
      </w:r>
    </w:p>
    <w:p>
      <w:pPr>
        <w:spacing w:after="0" w:line="63" w:lineRule="exact"/>
        <w:rPr>
          <w:sz w:val="20"/>
          <w:szCs w:val="20"/>
          <w:color w:val="auto"/>
        </w:rPr>
      </w:pPr>
    </w:p>
    <w:p>
      <w:pPr>
        <w:ind w:left="743"/>
        <w:spacing w:after="0"/>
        <w:rPr>
          <w:sz w:val="20"/>
          <w:szCs w:val="20"/>
          <w:color w:val="auto"/>
        </w:rPr>
      </w:pPr>
      <w:r>
        <w:rPr>
          <w:rFonts w:ascii="Arial" w:cs="Arial" w:eastAsia="Arial" w:hAnsi="Arial"/>
          <w:sz w:val="17"/>
          <w:szCs w:val="17"/>
          <w:color w:val="auto"/>
        </w:rPr>
        <w:t>94,059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39370</wp:posOffset>
            </wp:positionV>
            <wp:extent cx="866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68" w:lineRule="exact"/>
        <w:rPr>
          <w:sz w:val="20"/>
          <w:szCs w:val="20"/>
          <w:color w:val="auto"/>
        </w:rPr>
      </w:pPr>
    </w:p>
    <w:p>
      <w:pPr>
        <w:ind w:left="643"/>
        <w:spacing w:after="0"/>
        <w:rPr>
          <w:sz w:val="20"/>
          <w:szCs w:val="20"/>
          <w:color w:val="auto"/>
        </w:rPr>
      </w:pPr>
      <w:r>
        <w:rPr>
          <w:rFonts w:ascii="Arial" w:cs="Arial" w:eastAsia="Arial" w:hAnsi="Arial"/>
          <w:sz w:val="17"/>
          <w:szCs w:val="17"/>
          <w:color w:val="auto"/>
        </w:rPr>
        <w:t>313,386</w:t>
      </w:r>
    </w:p>
    <w:p>
      <w:pPr>
        <w:spacing w:after="0" w:line="358" w:lineRule="exact"/>
        <w:rPr>
          <w:sz w:val="20"/>
          <w:szCs w:val="20"/>
          <w:color w:val="auto"/>
        </w:rPr>
      </w:pPr>
    </w:p>
    <w:p>
      <w:pPr>
        <w:ind w:left="1043"/>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(169,033)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(150,022)</w:t>
      </w:r>
    </w:p>
    <w:p>
      <w:pPr>
        <w:spacing w:after="0" w:line="63" w:lineRule="exact"/>
        <w:rPr>
          <w:sz w:val="20"/>
          <w:szCs w:val="20"/>
          <w:color w:val="auto"/>
        </w:rPr>
      </w:pPr>
    </w:p>
    <w:p>
      <w:pPr>
        <w:ind w:left="643"/>
        <w:spacing w:after="0"/>
        <w:rPr>
          <w:sz w:val="20"/>
          <w:szCs w:val="20"/>
          <w:color w:val="auto"/>
        </w:rPr>
      </w:pPr>
      <w:r>
        <w:rPr>
          <w:rFonts w:ascii="Arial" w:cs="Arial" w:eastAsia="Arial" w:hAnsi="Arial"/>
          <w:sz w:val="17"/>
          <w:szCs w:val="17"/>
          <w:color w:val="auto"/>
        </w:rPr>
        <w:t>259,870</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(5,000)</w:t>
      </w:r>
    </w:p>
    <w:p>
      <w:pPr>
        <w:spacing w:after="0" w:line="63" w:lineRule="exact"/>
        <w:rPr>
          <w:sz w:val="20"/>
          <w:szCs w:val="20"/>
          <w:color w:val="auto"/>
        </w:rPr>
      </w:pPr>
    </w:p>
    <w:p>
      <w:pPr>
        <w:ind w:left="823"/>
        <w:spacing w:after="0"/>
        <w:rPr>
          <w:sz w:val="20"/>
          <w:szCs w:val="20"/>
          <w:color w:val="auto"/>
        </w:rPr>
      </w:pPr>
      <w:r>
        <w:rPr>
          <w:rFonts w:ascii="Arial" w:cs="Arial" w:eastAsia="Arial" w:hAnsi="Arial"/>
          <w:sz w:val="18"/>
          <w:szCs w:val="18"/>
          <w:color w:val="auto"/>
        </w:rPr>
        <w:t>9,560</w:t>
      </w:r>
    </w:p>
    <w:p>
      <w:pPr>
        <w:spacing w:after="0" w:line="63" w:lineRule="exact"/>
        <w:rPr>
          <w:sz w:val="20"/>
          <w:szCs w:val="20"/>
          <w:color w:val="auto"/>
        </w:rPr>
      </w:pPr>
    </w:p>
    <w:p>
      <w:pPr>
        <w:ind w:left="1043"/>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ind w:left="743"/>
        <w:spacing w:after="0"/>
        <w:rPr>
          <w:sz w:val="20"/>
          <w:szCs w:val="20"/>
          <w:color w:val="auto"/>
        </w:rPr>
      </w:pPr>
      <w:r>
        <w:rPr>
          <w:rFonts w:ascii="Arial" w:cs="Arial" w:eastAsia="Arial" w:hAnsi="Arial"/>
          <w:sz w:val="17"/>
          <w:szCs w:val="17"/>
          <w:color w:val="auto"/>
        </w:rPr>
        <w:t>30,000</w:t>
      </w:r>
    </w:p>
    <w:p>
      <w:pPr>
        <w:spacing w:after="0" w:line="75" w:lineRule="exact"/>
        <w:rPr>
          <w:sz w:val="20"/>
          <w:szCs w:val="20"/>
          <w:color w:val="auto"/>
        </w:rPr>
      </w:pPr>
    </w:p>
    <w:p>
      <w:pPr>
        <w:ind w:left="963"/>
        <w:spacing w:after="0"/>
        <w:rPr>
          <w:sz w:val="20"/>
          <w:szCs w:val="20"/>
          <w:color w:val="auto"/>
        </w:rPr>
      </w:pPr>
      <w:r>
        <w:rPr>
          <w:rFonts w:ascii="Arial" w:cs="Arial" w:eastAsia="Arial" w:hAnsi="Arial"/>
          <w:sz w:val="18"/>
          <w:szCs w:val="18"/>
          <w:color w:val="auto"/>
        </w:rPr>
        <w:t>604</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866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27" w:lineRule="exact"/>
        <w:rPr>
          <w:sz w:val="20"/>
          <w:szCs w:val="20"/>
          <w:color w:val="auto"/>
        </w:rPr>
      </w:pPr>
    </w:p>
    <w:p>
      <w:pPr>
        <w:ind w:left="743"/>
        <w:spacing w:after="0"/>
        <w:rPr>
          <w:sz w:val="20"/>
          <w:szCs w:val="20"/>
          <w:color w:val="auto"/>
        </w:rPr>
      </w:pPr>
      <w:r>
        <w:rPr>
          <w:rFonts w:ascii="Arial" w:cs="Arial" w:eastAsia="Arial" w:hAnsi="Arial"/>
          <w:sz w:val="17"/>
          <w:szCs w:val="17"/>
          <w:color w:val="auto"/>
        </w:rPr>
        <w:t>16,607</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(250,002)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866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(315,151)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866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(28,676)</w:t>
      </w:r>
    </w:p>
    <w:p>
      <w:pPr>
        <w:spacing w:after="0" w:line="63" w:lineRule="exact"/>
        <w:rPr>
          <w:sz w:val="20"/>
          <w:szCs w:val="20"/>
          <w:color w:val="auto"/>
        </w:rPr>
      </w:pPr>
    </w:p>
    <w:p>
      <w:pPr>
        <w:ind w:left="643"/>
        <w:spacing w:after="0"/>
        <w:rPr>
          <w:sz w:val="20"/>
          <w:szCs w:val="20"/>
          <w:color w:val="auto"/>
        </w:rPr>
      </w:pPr>
      <w:r>
        <w:rPr>
          <w:rFonts w:ascii="Arial" w:cs="Arial" w:eastAsia="Arial" w:hAnsi="Arial"/>
          <w:sz w:val="17"/>
          <w:szCs w:val="17"/>
          <w:color w:val="auto"/>
        </w:rPr>
        <w:t>450,125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39370</wp:posOffset>
            </wp:positionV>
            <wp:extent cx="866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68" w:lineRule="exact"/>
        <w:rPr>
          <w:sz w:val="20"/>
          <w:szCs w:val="20"/>
          <w:color w:val="auto"/>
        </w:rPr>
      </w:pPr>
    </w:p>
    <w:p>
      <w:pPr>
        <w:ind w:left="643" w:hanging="643"/>
        <w:spacing w:after="0"/>
        <w:tabs>
          <w:tab w:leader="none" w:pos="643" w:val="left"/>
        </w:tabs>
        <w:numPr>
          <w:ilvl w:val="0"/>
          <w:numId w:val="4"/>
        </w:numPr>
        <w:rPr>
          <w:rFonts w:ascii="Arial" w:cs="Arial" w:eastAsia="Arial" w:hAnsi="Arial"/>
          <w:sz w:val="17"/>
          <w:szCs w:val="17"/>
          <w:color w:val="auto"/>
        </w:rPr>
      </w:pPr>
      <w:r>
        <w:rPr>
          <w:rFonts w:ascii="Arial" w:cs="Arial" w:eastAsia="Arial" w:hAnsi="Arial"/>
          <w:sz w:val="17"/>
          <w:szCs w:val="17"/>
          <w:color w:val="auto"/>
        </w:rPr>
        <w:t>421,449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39370</wp:posOffset>
            </wp:positionV>
            <wp:extent cx="8661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8661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14" w:lineRule="exact"/>
        <w:rPr>
          <w:sz w:val="20"/>
          <w:szCs w:val="20"/>
          <w:color w:val="auto"/>
        </w:rPr>
      </w:pPr>
    </w:p>
    <w:p>
      <w:pPr>
        <w:ind w:left="660" w:hanging="651"/>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221,154</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(5,481)</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26,715</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44,024</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4,950</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9,432</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(84,437)</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(10,709)</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(5,848)</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4,220</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18,752</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243</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53,198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8661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276,213</w:t>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(8,953)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(126,150)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(356,928)</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260,487</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(12,764)</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32,291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(23,000)</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6,000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(2,767)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(231,784)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8661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32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13,850</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(53,793)</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(39,093)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8661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(79,036)</w:t>
      </w:r>
    </w:p>
    <w:p>
      <w:pPr>
        <w:spacing w:after="0" w:line="7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4,806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8661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(29,801)</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393,019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8661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68" w:lineRule="exact"/>
        <w:rPr>
          <w:sz w:val="20"/>
          <w:szCs w:val="20"/>
          <w:color w:val="auto"/>
        </w:rPr>
      </w:pPr>
    </w:p>
    <w:p>
      <w:pPr>
        <w:ind w:left="660" w:hanging="651"/>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363,218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8661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491" w:lineRule="exact"/>
        <w:rPr>
          <w:sz w:val="20"/>
          <w:szCs w:val="20"/>
          <w:color w:val="auto"/>
        </w:rPr>
      </w:pPr>
    </w:p>
    <w:p>
      <w:pPr>
        <w:sectPr>
          <w:pgSz w:w="11900" w:h="16838" w:orient="portrait"/>
          <w:cols w:equalWidth="0" w:num="3">
            <w:col w:w="7877" w:space="720"/>
            <w:col w:w="1283" w:space="180"/>
            <w:col w:w="1300"/>
          </w:cols>
          <w:pgMar w:left="240" w:top="125" w:right="299" w:bottom="1440" w:gutter="0" w:footer="0" w:header="0"/>
          <w:type w:val="continuous"/>
        </w:sectPr>
      </w:pPr>
    </w:p>
    <w:p>
      <w:pPr>
        <w:spacing w:after="0" w:line="83"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Accounts payable or accrued liabilities related to property, plant and equipment</w:t>
            </w:r>
          </w:p>
        </w:tc>
        <w:tc>
          <w:tcPr>
            <w:tcW w:w="2100" w:type="dxa"/>
            <w:vAlign w:val="bottom"/>
          </w:tcPr>
          <w:p>
            <w:pPr>
              <w:jc w:val="right"/>
              <w:spacing w:after="0"/>
              <w:rPr>
                <w:sz w:val="20"/>
                <w:szCs w:val="20"/>
                <w:color w:val="auto"/>
              </w:rPr>
            </w:pPr>
            <w:r>
              <w:rPr>
                <w:rFonts w:ascii="Arial" w:cs="Arial" w:eastAsia="Arial" w:hAnsi="Arial"/>
                <w:sz w:val="18"/>
                <w:szCs w:val="18"/>
                <w:color w:val="auto"/>
              </w:rPr>
              <w:t>24,281</w:t>
            </w:r>
          </w:p>
        </w:tc>
      </w:tr>
      <w:tr>
        <w:trPr>
          <w:trHeight w:val="270"/>
        </w:trPr>
        <w:tc>
          <w:tcPr>
            <w:tcW w:w="7320" w:type="dxa"/>
            <w:vAlign w:val="bottom"/>
          </w:tcPr>
          <w:p>
            <w:pPr>
              <w:spacing w:after="0"/>
              <w:rPr>
                <w:sz w:val="20"/>
                <w:szCs w:val="20"/>
                <w:color w:val="auto"/>
              </w:rPr>
            </w:pPr>
            <w:r>
              <w:rPr>
                <w:rFonts w:ascii="Arial" w:cs="Arial" w:eastAsia="Arial" w:hAnsi="Arial"/>
                <w:sz w:val="18"/>
                <w:szCs w:val="18"/>
                <w:color w:val="auto"/>
              </w:rPr>
              <w:t>Conversion of convertible notes receivable into equity securities</w:t>
            </w:r>
          </w:p>
        </w:tc>
        <w:tc>
          <w:tcPr>
            <w:tcW w:w="2100" w:type="dxa"/>
            <w:vAlign w:val="bottom"/>
          </w:tcPr>
          <w:p>
            <w:pPr>
              <w:jc w:val="right"/>
              <w:spacing w:after="0"/>
              <w:rPr>
                <w:sz w:val="20"/>
                <w:szCs w:val="20"/>
                <w:color w:val="auto"/>
              </w:rPr>
            </w:pPr>
            <w:r>
              <w:rPr>
                <w:rFonts w:ascii="Arial" w:cs="Arial" w:eastAsia="Arial" w:hAnsi="Arial"/>
                <w:sz w:val="18"/>
                <w:szCs w:val="18"/>
                <w:color w:val="auto"/>
              </w:rPr>
              <w:t>4,862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-153670</wp:posOffset>
            </wp:positionV>
            <wp:extent cx="72294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21,992</w:t>
      </w:r>
    </w:p>
    <w:p>
      <w:pPr>
        <w:spacing w:after="0" w:line="8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420" w:lineRule="exact"/>
        <w:rPr>
          <w:sz w:val="20"/>
          <w:szCs w:val="20"/>
          <w:color w:val="auto"/>
        </w:rPr>
      </w:pPr>
    </w:p>
    <w:p>
      <w:pPr>
        <w:sectPr>
          <w:pgSz w:w="11900" w:h="16838" w:orient="portrait"/>
          <w:cols w:equalWidth="0" w:num="2">
            <w:col w:w="10080" w:space="720"/>
            <w:col w:w="560"/>
          </w:cols>
          <w:pgMar w:left="240" w:top="125" w:right="299" w:bottom="1440" w:gutter="0" w:footer="0" w:header="0"/>
          <w:type w:val="continuous"/>
        </w:sect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40" w:top="125" w:right="29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ALIGN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by Align Technology, Inc. (“we”, “our”, or “Align”) in accordance with the rules and regulations of the Securities and Exchange Commission (“SEC”) and contains all adjustments, including normal recurring adjustments, necessary to state fairly our results of operations for the three and nine months ended September 30, 2018 and 2017, our comprehensive income for the three and nine months ended September 30, 2018 and 2017, our financial position as of September 30, 2018 and our cash flows for the nine months ended September 30, 2018 and 2017. The Condensed Consolidated Balance Sheet as of December 31, 2017 was derived from the December 31, 2017 audited financial statements and have been recast to reflect the adoption of accounting standards as described below. It does not include all disclosures required by accounting principles generally accepted in the United States of America (“U.S.”).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first quarter of fiscal year 2018, we adopted the Accounting Standards Codification (“ASC”) 606, “</w:t>
      </w:r>
      <w:r>
        <w:rPr>
          <w:rFonts w:ascii="Arial" w:cs="Arial" w:eastAsia="Arial" w:hAnsi="Arial"/>
          <w:sz w:val="18"/>
          <w:szCs w:val="18"/>
          <w:i w:val="1"/>
          <w:iCs w:val="1"/>
          <w:color w:val="auto"/>
        </w:rPr>
        <w:t>Revenues from Contracts with Customers,</w:t>
      </w:r>
      <w:r>
        <w:rPr>
          <w:rFonts w:ascii="Arial" w:cs="Arial" w:eastAsia="Arial" w:hAnsi="Arial"/>
          <w:sz w:val="18"/>
          <w:szCs w:val="18"/>
          <w:color w:val="auto"/>
        </w:rPr>
        <w:t>” using the full retrospective method and Accounting Standards Update (“ASU”) 2016-18, “</w:t>
      </w:r>
      <w:r>
        <w:rPr>
          <w:rFonts w:ascii="Arial" w:cs="Arial" w:eastAsia="Arial" w:hAnsi="Arial"/>
          <w:sz w:val="18"/>
          <w:szCs w:val="18"/>
          <w:i w:val="1"/>
          <w:iCs w:val="1"/>
          <w:color w:val="auto"/>
        </w:rPr>
        <w:t>Statement of Cash Flows - Restricted Cash,</w:t>
      </w:r>
      <w:r>
        <w:rPr>
          <w:rFonts w:ascii="Arial" w:cs="Arial" w:eastAsia="Arial" w:hAnsi="Arial"/>
          <w:sz w:val="18"/>
          <w:szCs w:val="18"/>
          <w:color w:val="auto"/>
        </w:rPr>
        <w:t>” on a retrospective basis. The Condensed Consolidated Balance Sheet as of December 31, 2017 and the Condensed Consolidated Statement of Cash Flow for the nine months ended September 30, 2017 have been recast to comply with the adoption of these standards.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results of operations for the three and nine months ended September 30, 2018 are not necessarily indicative of the results that may be expected for the year ending December 31, 2018 or any other future period, and we make no representations related thereto. The information included in this Quarterly Report on Form 10-Q should be read in conjunction with “Management’s Discussion and Analysis of Financial Condition and Results of Operations,” “Quantitative and Qualitative Disclosures About Market Risk” and the Consolidated Financial Statements and notes thereto included in Items 7, 7A and 8, respectively, in our Annual Report on Form 10-K for the year ended December 31, 2017.</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(“GAAP”) in the U.S. requires our management to make estimates and assumptions that affect the amounts reported in the consolidated financial statements and accompanying notes. Actual results could differ materially from those estimates. On an ongoing basis, we evaluate our estimates, including those related to the fair values of financial instruments, valuation of investments in privately held companies, useful lives of intangible assets and property and equipment, revenue recognition, stock-based compensation, long-lived assets and goodwill, income taxes and contingent liabilities, among others. We base our estimates on historical experience and on various other assumptions that are believed to be reasonable, the results of which form the basis for making judgments about the carrying values of assets and liabilities.</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significant accounting policies are described in Note 1 “Summary of Significant Accounting Policies” of the Notes to Consolidated Financial Statements included in our Annual Report on Form 10-K. Significant changes to the Revenue Recognition policy and Investments in Privately Held Companies policy are discussed below:</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revenues are derived primarily from the sale of aligners, scanners, and services from our Clear Aligner and Scanner segments. We enter into sales contracts that may consist of multiple distinct performance obligations where certain performance obligations of the sales contract are not delivered in one reporting period. We measure and allocate revenues according to ASC 606-10, “</w:t>
      </w:r>
      <w:r>
        <w:rPr>
          <w:rFonts w:ascii="Arial" w:cs="Arial" w:eastAsia="Arial" w:hAnsi="Arial"/>
          <w:sz w:val="17"/>
          <w:szCs w:val="17"/>
          <w:i w:val="1"/>
          <w:iCs w:val="1"/>
          <w:color w:val="auto"/>
        </w:rPr>
        <w:t>Revenues from Contracts with Customers.</w:t>
      </w:r>
      <w:r>
        <w:rPr>
          <w:rFonts w:ascii="Arial" w:cs="Arial" w:eastAsia="Arial" w:hAnsi="Arial"/>
          <w:sz w:val="17"/>
          <w:szCs w:val="17"/>
          <w:color w:val="auto"/>
        </w:rPr>
        <w:t>”</w:t>
      </w:r>
    </w:p>
    <w:p>
      <w:pPr>
        <w:spacing w:after="0" w:line="16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identify a performance obligation as distinct if both of the following criteria are true: the customer can benefit from the good or service either on its own or together with other resources that are readily available to the customer and the entity’s promise to transfer the good or service to the customer is separately identifiable from other promises in the contract. Determining the standalone selling price (“SSP”) and allocation of consideration from a contract to the individual performance obligations, and the appropriate timing of revenue recognition, is the result of significant qualitative and quantitative judgments. Management considers a variety of factors such as historical sales, usage rates, costs, and expected margin, which may vary over time depending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the unique facts and circumstances related to each performance obligation in making these estimates. While changes in the allocation of the SSP between performance obligations will not affect the amount of total revenues recognized for a particular contract, any material changes could impact the timing of revenue recognition, which would have a material effect on our financial position and result of operations. This is because the contract consideration is allocated to each performance obligation, delivered or undelivered, at the inception of the contract based on the SSP of each distinct performance obligation.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enter into contracts (“treatment plan(s)”) that involve multiple future performance obligations. Invisalign Comprehensive, Invisalign Full, Invisalign Teen, Invisalign First, Invisalign Lite, Invisalign Express and Invisalign Assist products include optional additional aligners at no charge for a certain period of time, from one to five years after initial shipment, and Invisalign Go includes optional additional aligners at no charge for a period of up to two years after initial shipment.</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determined that our treatment plans comprise the following performance obligations that also represent distinct deliverables: initial aligners, additional aligners, case refinement, and replacement aligners. We elected to take the practical expedient to consider shipping and handling costs as activities to fulfill the performance obligation. We allocate revenues for each treatment plan based on each unit’s SSP and recognize the revenues upon shipment, as the customers obtain physical possession and we have enforceable rights to payment. As we collect most consideration upfront, we considered whether a significant financing component exists; however, as the delivery of the performance obligations are at the customer’s discretion, we concluded that no significant financing component exists.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sell intraoral scanners and computer-aided design/computer-aided manufacturing (“CAD/CAM”) services through both our direct sales force and distribution partners. The intraoral scanner sales price includes one year of warranty and unlimited scanning services. The customer may also select, for additional fees, extended warranty and unlimited scanning services for periods beyond the initial year. When intraoral scanners are sold with an unlimited scanning service agreement and/or extended warranty, we allocate revenues based on each element’s SSP. We estimate the SSP of each element, taking into consideration historical prices as well as our discounting strategies. Revenues are then recognized over time as the monthly services are rendered and upon shipment for the scanner, as that is when we deem the customer to have obtained control. Most consideration is collected upfront and in cases where there are payment plans, consideration is collected by the one year mark and therefore, there are no significant financing components.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Warranties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both Clear Aligner and Scanner segments, we offer an assurance warranty which provides the customer assurance that the product will function as the parties intended because it complies with agreed-upon specifications, and thus is not treated as a separate performance obligation and will continue to be accrued in accordance with the Financial Accounting Standards Board (“FASB”) guidance on guarantees.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Volume Discounts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certain situations, we offer promotions in which the discount will increase depending upon the volume purchased over time. We concluded that in these situations, the promotions can represent either variable consideration or options, depending upon the specifics of the promotion. In the event the promotion contains an option, the option is considered a material right and, therefore, included in the accounting for the initial arrangement. We estimate the average anticipated discount over the lifetime of the promotion or contract, and apply that discount to each unit as it is sold. On a quarterly basis, we review our estimates and, if needed, updates are made and changes are applied prospectively.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Costs to Obtain a Contract</w:t>
      </w:r>
    </w:p>
    <w:p>
      <w:pPr>
        <w:spacing w:after="0" w:line="2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offer a variety of commission plans to our salesforce; each plan has multiple components. To match the costs to obtain a contract to the associated revenue, we evaluate the individual components and capitalize the eligible components, recognizing the costs over the treatment period.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Unfulfilled Performance Obligations for Clear Aligners and Scanners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unfilled performance obligations as of September 30, 2018 and the estimated revenues expected to be recognized in the future related to these performance obligations are $380.7 million. This includes performance obligations from the Clear Aligner segment, primarily the shipment of additional aligners, which are fulfilled over one to five years, and performance obligations from the iTero scanner segment, primarily contracted deliveries of additional scanners and support, which are fulfilled over one to five years. The estimate includes both product and service unfulfilled performance obligations and the time range reflects our best estimate of when we will transfer control to the customer and may change based on customer usage patterns, timing of shipments, readiness of customers’ facilities for installation, and manufacturing availability.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timing of revenue recognition results in deferred revenues being recognized on the Condensed Consolidated Balance Sheet. For both aligners and scanners, we usually collect the total consideration owed prior to all performance obligations being performed and payment terms vary from net 30 to net 180 days. Contract liabilities are recorded as deferred revenue balances, which are generated based upon timing of invoices and recognition patterns, not payments. If the revenue recognition exceeds the billing, the exceeded amount is considered unbilled receivable and a contract asset. Conversely, if the billing occurs prior to the revenue recognition, the amount is considered deferred revenue and a contract liability.</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 in Privately Held Companies</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Investments in privately held companies in which we can exercise significant influence but do not own a majority equity interest or otherwise control are accounted for under ASC 323, “</w:t>
      </w:r>
      <w:r>
        <w:rPr>
          <w:rFonts w:ascii="Arial" w:cs="Arial" w:eastAsia="Arial" w:hAnsi="Arial"/>
          <w:sz w:val="16"/>
          <w:szCs w:val="16"/>
          <w:i w:val="1"/>
          <w:iCs w:val="1"/>
          <w:color w:val="auto"/>
        </w:rPr>
        <w:t>Investments—Equity Method and Joint Ventures.</w:t>
      </w:r>
      <w:r>
        <w:rPr>
          <w:rFonts w:ascii="Arial" w:cs="Arial" w:eastAsia="Arial" w:hAnsi="Arial"/>
          <w:sz w:val="16"/>
          <w:szCs w:val="16"/>
          <w:color w:val="auto"/>
        </w:rPr>
        <w:t>” Equity securities qualified as equity method investments are reported on our Condensed Consolidated Balance Sheet as a single amount, and we record our share of their operating results within equity in losses of investee, net of tax, in our Condensed Consolidated Statement of Operations. Investments in privately held companies in which we cannot exercise significant influence and do not own a majority equity interest or otherwise control are accounted for under ASC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The equity securities without readily determinable fair values are recorded at cost and adjusted for impairments and observable price changes with a same or similar security from the same issuer (“Measurement Alternative”). Equity securities under ASC 321 are reported on our Condensed Consolidated Balance Sheet as other assets, and we record a change in carrying value of our equity securities, if any, in other income (expense), net in our Condensed Consolidated Statement of Operations.</w:t>
      </w:r>
    </w:p>
    <w:p>
      <w:pPr>
        <w:spacing w:after="0" w:line="166"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Equity securities are evaluated for impairment as events or circumstances indicate that there is an other-than-temporary loss in value. The decrease in value is recognized in the period the impairment occurs and recorded in other income (expense), net in the Condensed Consolidated Statement of Operations.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 New Accounting Updates Recently Adopted</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May 2014, the FASB released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(Topic 606) to supersede nearly all existing revenue recognition guidance under GAAP. The core principle of the standard is to recognize revenues when promised goods or services are transferred to customers in an amount that reflects the consideration that is expected to be received for the goods or services. We adopted the guidance in the first quarter of fiscal year 2018 by applying the full retrospective method. The impact of adoption was primarily related to the Clear Aligner segment. Our disaggregation of revenues can be found in Note 14 “Segments and Geographical Information.” We elected to take the practical expedient to exclude from the transaction price all taxes assessed by a governmental authority. In preparation for adoption of the standard, we have reviewed and, where necessary, implemented additional key system functionalities and internal controls to enable the preparation of financial information. Prior periods have been retrospectively adjusted, and we recognized cumulative effect of adopting the guidance as an adjustment to our opening balance of retained earnings as of January 1, 2016.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adoption of ASU 2014-09 did not have a material impact on our Condensed Consolidated Statements of Operations, Condensed Consolidated Statements of Comprehensive Income or Condensed Consolidated Statements of Cash Flows for the historical periods presented in the Item 1 Financial Statements section. Consolidated Balance Sheet line items, which reflect the adoption of the ASU 2014-09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2017</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20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6"/>
              </w:rPr>
              <w:t>Adjustment</w:t>
            </w:r>
          </w:p>
        </w:tc>
        <w:tc>
          <w:tcPr>
            <w:tcW w:w="1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20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Asset Accounts: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322,825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324,189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50,059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49,334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38,379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43,893</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Liability and Stockholders’ Equity Accounts: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194,198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195,562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266,842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267,713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263,356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3,918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267,274</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xml:space="preserve"> which clarifies the presentation and classification of certain cash receipts and cash payments in the statements of cash flows. The amendments are effective for fiscal years and interim periods within those years beginning after December 15, 2017. </w:t>
      </w:r>
      <w:r>
        <w:rPr>
          <w:rFonts w:ascii="Arial" w:cs="Arial" w:eastAsia="Arial" w:hAnsi="Arial"/>
          <w:sz w:val="18"/>
          <w:szCs w:val="18"/>
          <w:color w:val="252525"/>
        </w:rPr>
        <w:t>We adopted the standard in the first quarter of fiscal year 2018 on a retrospective basis, and it did not</w:t>
      </w:r>
      <w:r>
        <w:rPr>
          <w:rFonts w:ascii="Arial" w:cs="Arial" w:eastAsia="Arial" w:hAnsi="Arial"/>
          <w:sz w:val="18"/>
          <w:szCs w:val="18"/>
          <w:color w:val="auto"/>
        </w:rPr>
        <w:t xml:space="preserve"> </w:t>
      </w:r>
      <w:r>
        <w:rPr>
          <w:rFonts w:ascii="Arial" w:cs="Arial" w:eastAsia="Arial" w:hAnsi="Arial"/>
          <w:sz w:val="18"/>
          <w:szCs w:val="18"/>
          <w:color w:val="252525"/>
        </w:rPr>
        <w:t>have an impact on our Condensed Consolidated Statements of Cash Flows.</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Flows—Restricted Cash,”</w:t>
      </w:r>
      <w:r>
        <w:rPr>
          <w:rFonts w:ascii="Arial" w:cs="Arial" w:eastAsia="Arial" w:hAnsi="Arial"/>
          <w:sz w:val="16"/>
          <w:szCs w:val="16"/>
          <w:color w:val="auto"/>
        </w:rPr>
        <w:t xml:space="preserve"> </w:t>
      </w:r>
      <w:r>
        <w:rPr>
          <w:rFonts w:ascii="Arial" w:cs="Arial" w:eastAsia="Arial" w:hAnsi="Arial"/>
          <w:sz w:val="16"/>
          <w:szCs w:val="16"/>
          <w:color w:val="252525"/>
        </w:rPr>
        <w:t>which provides guidance to address the classification</w:t>
      </w:r>
      <w:r>
        <w:rPr>
          <w:rFonts w:ascii="Arial" w:cs="Arial" w:eastAsia="Arial" w:hAnsi="Arial"/>
          <w:sz w:val="16"/>
          <w:szCs w:val="16"/>
          <w:color w:val="auto"/>
        </w:rPr>
        <w:t xml:space="preserve"> </w:t>
      </w:r>
      <w:r>
        <w:rPr>
          <w:rFonts w:ascii="Arial" w:cs="Arial" w:eastAsia="Arial" w:hAnsi="Arial"/>
          <w:sz w:val="16"/>
          <w:szCs w:val="16"/>
          <w:color w:val="252525"/>
        </w:rPr>
        <w:t>and presentation of changes in restricted cash in the statements of cash flows</w:t>
      </w:r>
      <w:r>
        <w:rPr>
          <w:rFonts w:ascii="Arial" w:cs="Arial" w:eastAsia="Arial" w:hAnsi="Arial"/>
          <w:sz w:val="16"/>
          <w:szCs w:val="16"/>
          <w:color w:val="000000"/>
        </w:rPr>
        <w:t>. The amendments are effective for fiscal years and interim periods within those</w:t>
      </w:r>
      <w:r>
        <w:rPr>
          <w:rFonts w:ascii="Arial" w:cs="Arial" w:eastAsia="Arial" w:hAnsi="Arial"/>
          <w:sz w:val="16"/>
          <w:szCs w:val="16"/>
          <w:color w:val="252525"/>
        </w:rPr>
        <w:t xml:space="preserve"> </w:t>
      </w:r>
      <w:r>
        <w:rPr>
          <w:rFonts w:ascii="Arial" w:cs="Arial" w:eastAsia="Arial" w:hAnsi="Arial"/>
          <w:sz w:val="16"/>
          <w:szCs w:val="16"/>
          <w:color w:val="000000"/>
        </w:rPr>
        <w:t>years beginning after December 15, 2017 on a retrospective basis. We adopted the guidance in the first quarter of fiscal year 2018 on a retrospective basis and presented the changes in the total of cash, cash equivalents, and restricted cash in the Condensed Consolidated Statements of Cash Flows. Condensed Consolidated Statement of Cash Flows line items, which reflect the adoption of the ASU 2016-18, are as follows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September 30, 2017</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As Previously</w:t>
            </w:r>
          </w:p>
        </w:tc>
        <w:tc>
          <w:tcPr>
            <w:tcW w:w="20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Adjustment</w:t>
            </w:r>
          </w:p>
        </w:tc>
        <w:tc>
          <w:tcPr>
            <w:tcW w:w="1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4"/>
              </w:rPr>
              <w:t>Reported</w:t>
            </w:r>
          </w:p>
        </w:tc>
        <w:tc>
          <w:tcPr>
            <w:tcW w:w="20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(228,620)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(231,784)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(26,662)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(29,801)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beginning of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393,019</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end of the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362,613</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363,218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252525"/>
        </w:rPr>
        <w:t>In May 2017, the FASB issued ASU 2017-09, “</w:t>
      </w:r>
      <w:r>
        <w:rPr>
          <w:rFonts w:ascii="Arial" w:cs="Arial" w:eastAsia="Arial" w:hAnsi="Arial"/>
          <w:sz w:val="17"/>
          <w:szCs w:val="17"/>
          <w:i w:val="1"/>
          <w:iCs w:val="1"/>
          <w:color w:val="252525"/>
        </w:rPr>
        <w:t>Compensation</w:t>
      </w:r>
      <w:r>
        <w:rPr>
          <w:rFonts w:ascii="Arial" w:cs="Arial" w:eastAsia="Arial" w:hAnsi="Arial"/>
          <w:sz w:val="17"/>
          <w:szCs w:val="17"/>
          <w:i w:val="1"/>
          <w:iCs w:val="1"/>
          <w:color w:val="000000"/>
        </w:rPr>
        <w:t>—</w:t>
      </w:r>
      <w:r>
        <w:rPr>
          <w:rFonts w:ascii="Arial" w:cs="Arial" w:eastAsia="Arial" w:hAnsi="Arial"/>
          <w:sz w:val="17"/>
          <w:szCs w:val="17"/>
          <w:i w:val="1"/>
          <w:iCs w:val="1"/>
          <w:color w:val="252525"/>
        </w:rPr>
        <w:t>Stock Compensation (Topic 718): Scope of Modification Accounting,”</w:t>
      </w:r>
      <w:r>
        <w:rPr>
          <w:rFonts w:ascii="Arial" w:cs="Arial" w:eastAsia="Arial" w:hAnsi="Arial"/>
          <w:sz w:val="17"/>
          <w:szCs w:val="17"/>
          <w:color w:val="252525"/>
        </w:rPr>
        <w:t xml:space="preserve"> to clarify when to account for a change to the terms or conditions of a share-based payment award as a modification. </w:t>
      </w:r>
      <w:r>
        <w:rPr>
          <w:rFonts w:ascii="Arial" w:cs="Arial" w:eastAsia="Arial" w:hAnsi="Arial"/>
          <w:sz w:val="17"/>
          <w:szCs w:val="17"/>
          <w:color w:val="000000"/>
        </w:rPr>
        <w:t>The amendments are effective for fiscal years and interim</w:t>
      </w:r>
      <w:r>
        <w:rPr>
          <w:rFonts w:ascii="Arial" w:cs="Arial" w:eastAsia="Arial" w:hAnsi="Arial"/>
          <w:sz w:val="17"/>
          <w:szCs w:val="17"/>
          <w:color w:val="252525"/>
        </w:rPr>
        <w:t xml:space="preserve"> </w:t>
      </w:r>
      <w:r>
        <w:rPr>
          <w:rFonts w:ascii="Arial" w:cs="Arial" w:eastAsia="Arial" w:hAnsi="Arial"/>
          <w:sz w:val="17"/>
          <w:szCs w:val="17"/>
          <w:color w:val="000000"/>
        </w:rPr>
        <w:t>periods within those years beginning after December 15, 2017 on a prospective basis. We adopted the standard in the first quarter of fiscal year 2018 on a prospective basis which did not have an impact on our condensed consolidated financial statements and related disclosures.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(ii) Recent Accounting Updates Not Yet Effective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(Topic 842) to increase transparency and comparability among organizations by recognizing lease assets and lease liabilities on the balance sheet and disclosing key information about leasing arrangements. The updated guidance is effective for annual periods beginning after December 15, 2018, including interim periods within those fiscal years. In July 2018, the FASB issued ASU 2018-11, “</w:t>
      </w:r>
      <w:r>
        <w:rPr>
          <w:rFonts w:ascii="Arial" w:cs="Arial" w:eastAsia="Arial" w:hAnsi="Arial"/>
          <w:sz w:val="18"/>
          <w:szCs w:val="18"/>
          <w:i w:val="1"/>
          <w:iCs w:val="1"/>
          <w:color w:val="auto"/>
        </w:rPr>
        <w:t>Leases-Targeted Improvements,</w:t>
      </w:r>
      <w:r>
        <w:rPr>
          <w:rFonts w:ascii="Arial" w:cs="Arial" w:eastAsia="Arial" w:hAnsi="Arial"/>
          <w:sz w:val="18"/>
          <w:szCs w:val="18"/>
          <w:color w:val="auto"/>
        </w:rPr>
        <w:t>” which p</w:t>
      </w:r>
      <w:r>
        <w:rPr>
          <w:rFonts w:ascii="Arial" w:cs="Arial" w:eastAsia="Arial" w:hAnsi="Arial"/>
          <w:sz w:val="18"/>
          <w:szCs w:val="18"/>
          <w:color w:val="252525"/>
        </w:rPr>
        <w:t>rovides an additional transition method by allowing entities to initially apply the new leases standard at the adoption date</w:t>
      </w:r>
      <w:r>
        <w:rPr>
          <w:rFonts w:ascii="Arial" w:cs="Arial" w:eastAsia="Arial" w:hAnsi="Arial"/>
          <w:sz w:val="18"/>
          <w:szCs w:val="18"/>
          <w:i w:val="1"/>
          <w:iCs w:val="1"/>
          <w:color w:val="auto"/>
        </w:rPr>
        <w:t xml:space="preserve"> </w:t>
      </w:r>
      <w:r>
        <w:rPr>
          <w:rFonts w:ascii="Arial" w:cs="Arial" w:eastAsia="Arial" w:hAnsi="Arial"/>
          <w:sz w:val="18"/>
          <w:szCs w:val="18"/>
          <w:color w:val="252525"/>
        </w:rPr>
        <w:t>and recognize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52525"/>
        </w:rPr>
        <w:t>cumulative-effect adjustment to the opening balance of retained earnings. We plan to adopt the standard in the first quarter of fiscal year 2019 by electing the transition method issued in ASU 2018-11 and the package of practical expedients available in the standard. In addition, we are in the process of implementing changes to our systems, processes and controls and are currently evaluating the impact of the adoption of this guidance on our consolidated financial statements. We expect the adoption will have a material increase in assets and liabilities on our consolidated balance sheet.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252525"/>
        </w:rPr>
        <w:t>In June 2016, the FASB issued ASU 2016-13, “</w:t>
      </w:r>
      <w:r>
        <w:rPr>
          <w:rFonts w:ascii="Arial" w:cs="Arial" w:eastAsia="Arial" w:hAnsi="Arial"/>
          <w:sz w:val="17"/>
          <w:szCs w:val="17"/>
          <w:i w:val="1"/>
          <w:iCs w:val="1"/>
          <w:color w:val="252525"/>
        </w:rPr>
        <w:t>Financial Instruments - Credit Losses</w:t>
      </w:r>
      <w:r>
        <w:rPr>
          <w:rFonts w:ascii="Arial" w:cs="Arial" w:eastAsia="Arial" w:hAnsi="Arial"/>
          <w:sz w:val="17"/>
          <w:szCs w:val="17"/>
          <w:color w:val="252525"/>
        </w:rPr>
        <w:t>” (Topic 326)</w:t>
      </w:r>
      <w:r>
        <w:rPr>
          <w:rFonts w:ascii="Arial" w:cs="Arial" w:eastAsia="Arial" w:hAnsi="Arial"/>
          <w:sz w:val="17"/>
          <w:szCs w:val="17"/>
          <w:i w:val="1"/>
          <w:iCs w:val="1"/>
          <w:color w:val="252525"/>
        </w:rPr>
        <w:t>.</w:t>
      </w:r>
      <w:r>
        <w:rPr>
          <w:rFonts w:ascii="Arial" w:cs="Arial" w:eastAsia="Arial" w:hAnsi="Arial"/>
          <w:sz w:val="17"/>
          <w:szCs w:val="17"/>
          <w:color w:val="252525"/>
        </w:rPr>
        <w:t xml:space="preserve"> </w:t>
      </w:r>
      <w:r>
        <w:rPr>
          <w:rFonts w:ascii="Arial" w:cs="Arial" w:eastAsia="Arial" w:hAnsi="Arial"/>
          <w:sz w:val="17"/>
          <w:szCs w:val="17"/>
          <w:color w:val="000000"/>
        </w:rPr>
        <w:t>The FASB issued this update to provide financial</w:t>
      </w:r>
      <w:r>
        <w:rPr>
          <w:rFonts w:ascii="Arial" w:cs="Arial" w:eastAsia="Arial" w:hAnsi="Arial"/>
          <w:sz w:val="17"/>
          <w:szCs w:val="17"/>
          <w:color w:val="252525"/>
        </w:rPr>
        <w:t xml:space="preserve"> </w:t>
      </w:r>
      <w:r>
        <w:rPr>
          <w:rFonts w:ascii="Arial" w:cs="Arial" w:eastAsia="Arial" w:hAnsi="Arial"/>
          <w:sz w:val="17"/>
          <w:szCs w:val="17"/>
          <w:color w:val="000000"/>
        </w:rPr>
        <w:t xml:space="preserve">statement users with more decision-useful information about the expected credit losses on financial instruments and other commitments to extend credit held by a reporting entity at each reporting date. The amendments in this update replace the existing guidance of incurred loss impairment methodology with an approach that reflects expected credit losses and requires consideration of a broader range of reasonable and supportable information to inform credit loss estimates. </w:t>
      </w:r>
      <w:r>
        <w:rPr>
          <w:rFonts w:ascii="Arial" w:cs="Arial" w:eastAsia="Arial" w:hAnsi="Arial"/>
          <w:sz w:val="17"/>
          <w:szCs w:val="17"/>
          <w:color w:val="252525"/>
        </w:rPr>
        <w:t>The updated guidance is effective for annual periods beginning after December 15, 2019, including interim periods within those fiscal years. Early</w:t>
      </w:r>
      <w:r>
        <w:rPr>
          <w:rFonts w:ascii="Arial" w:cs="Arial" w:eastAsia="Arial" w:hAnsi="Arial"/>
          <w:sz w:val="17"/>
          <w:szCs w:val="17"/>
          <w:color w:val="000000"/>
        </w:rPr>
        <w:t xml:space="preserve"> </w:t>
      </w:r>
      <w:r>
        <w:rPr>
          <w:rFonts w:ascii="Arial" w:cs="Arial" w:eastAsia="Arial" w:hAnsi="Arial"/>
          <w:sz w:val="17"/>
          <w:szCs w:val="17"/>
          <w:color w:val="252525"/>
        </w:rPr>
        <w:t xml:space="preserve">adoption of the update is permitted in fiscal years beginning after December 15, 2018, including interim periods within those fiscal years. </w:t>
      </w:r>
      <w:r>
        <w:rPr>
          <w:rFonts w:ascii="Arial" w:cs="Arial" w:eastAsia="Arial" w:hAnsi="Arial"/>
          <w:sz w:val="17"/>
          <w:szCs w:val="17"/>
          <w:color w:val="000000"/>
        </w:rPr>
        <w:t>We are currently</w:t>
      </w:r>
      <w:r>
        <w:rPr>
          <w:rFonts w:ascii="Arial" w:cs="Arial" w:eastAsia="Arial" w:hAnsi="Arial"/>
          <w:sz w:val="17"/>
          <w:szCs w:val="17"/>
          <w:color w:val="252525"/>
        </w:rPr>
        <w:t xml:space="preserve"> </w:t>
      </w:r>
      <w:r>
        <w:rPr>
          <w:rFonts w:ascii="Arial" w:cs="Arial" w:eastAsia="Arial" w:hAnsi="Arial"/>
          <w:sz w:val="17"/>
          <w:szCs w:val="17"/>
          <w:color w:val="000000"/>
        </w:rPr>
        <w:t>evaluating the impact of this guidance on our consolidated financial statements and related disclosures.</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to simplify the subsequent measurement of goodwill by eliminating step two from the goodwill impairment test. Under the amendments, an entity will recognize an impairment charge for the amount by which the carrying value exceeds the fair value. The amendments are effective for fiscal years and interim periods within those years beginning after December 15, 2019 on a prospective basis and early adoption is permitted. We are currently evaluating the impact of this guidance on our consolidated financial statements and related disclosures.</w:t>
      </w:r>
    </w:p>
    <w:p>
      <w:pPr>
        <w:spacing w:after="0" w:line="1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February 2018, the FASB issued ASU 2018-02, </w:t>
      </w:r>
      <w:r>
        <w:rPr>
          <w:rFonts w:ascii="Arial" w:cs="Arial" w:eastAsia="Arial" w:hAnsi="Arial"/>
          <w:sz w:val="17"/>
          <w:szCs w:val="17"/>
          <w:i w:val="1"/>
          <w:iCs w:val="1"/>
          <w:color w:val="auto"/>
        </w:rPr>
        <w:t>“Income Statement - Reporting Comprehensive Income (Topic 220): Reclassification of Certain Tax</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Effects from Accumulated Other Comprehensive Income,” </w:t>
      </w:r>
      <w:r>
        <w:rPr>
          <w:rFonts w:ascii="Arial" w:cs="Arial" w:eastAsia="Arial" w:hAnsi="Arial"/>
          <w:sz w:val="17"/>
          <w:szCs w:val="17"/>
          <w:color w:val="auto"/>
        </w:rPr>
        <w:t>which gives entities the option to reclassify to retained earnings the tax effects resulting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U.S. Tax Cuts and Jobs Act (the “TCJA”) related to items in accumulated other comprehensive income. The amendments are effective for fiscal years and interim periods within those years beginning after December 15, 2018 on a retrospective basis and early adoption is permitted. We are currently evaluating the impact of this guidance on our consolidated financial statements and related disclosures.</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2018, the FASB issued ASU 2018-13, “</w:t>
      </w:r>
      <w:r>
        <w:rPr>
          <w:rFonts w:ascii="Arial" w:cs="Arial" w:eastAsia="Arial" w:hAnsi="Arial"/>
          <w:sz w:val="18"/>
          <w:szCs w:val="18"/>
          <w:i w:val="1"/>
          <w:iCs w:val="1"/>
          <w:color w:val="auto"/>
        </w:rPr>
        <w:t>Fair Value Measurement (Topic 820):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to modify the disclosure requirements on fair value measurements in Topic 820,</w:t>
      </w:r>
      <w:r>
        <w:rPr>
          <w:rFonts w:ascii="Arial" w:cs="Arial" w:eastAsia="Arial" w:hAnsi="Arial"/>
          <w:sz w:val="18"/>
          <w:szCs w:val="18"/>
          <w:i w:val="1"/>
          <w:iCs w:val="1"/>
          <w:color w:val="auto"/>
        </w:rPr>
        <w:t xml:space="preserve"> Fair Value Measurement</w:t>
      </w:r>
      <w:r>
        <w:rPr>
          <w:rFonts w:ascii="Arial" w:cs="Arial" w:eastAsia="Arial" w:hAnsi="Arial"/>
          <w:sz w:val="18"/>
          <w:szCs w:val="18"/>
          <w:color w:val="auto"/>
        </w:rPr>
        <w:t>.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are effective for fiscal years and interim periods within those years beginning after December 15, 2019 on a prospective basis and early adoption is permitted. We are currently evaluating the impact of this guidance on our related disclosures.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August 2018, the FASB issued ASU 2018-15, “</w:t>
      </w:r>
      <w:r>
        <w:rPr>
          <w:rFonts w:ascii="Arial" w:cs="Arial" w:eastAsia="Arial" w:hAnsi="Arial"/>
          <w:sz w:val="16"/>
          <w:szCs w:val="16"/>
          <w:i w:val="1"/>
          <w:iCs w:val="1"/>
          <w:color w:val="auto"/>
        </w:rPr>
        <w:t>Intangibles—Goodwill and Other—Internal-Use Software (Subtopic 350-40) Customer’s 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Implementation Costs Incurred in a Cloud Computing Arrangement That Is a Service Contract,” </w:t>
      </w:r>
      <w:r>
        <w:rPr>
          <w:rFonts w:ascii="Arial" w:cs="Arial" w:eastAsia="Arial" w:hAnsi="Arial"/>
          <w:sz w:val="16"/>
          <w:szCs w:val="16"/>
          <w:color w:val="auto"/>
        </w:rPr>
        <w:t>to clarify the guidance on the costs of implementing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cloud computing hosting arrangement that is a service contract. Under the amendments, the entity is required to follow the guidance in Subtopic 350-40, </w:t>
      </w:r>
      <w:r>
        <w:rPr>
          <w:rFonts w:ascii="Arial" w:cs="Arial" w:eastAsia="Arial" w:hAnsi="Arial"/>
          <w:sz w:val="16"/>
          <w:szCs w:val="16"/>
          <w:i w:val="1"/>
          <w:iCs w:val="1"/>
          <w:color w:val="auto"/>
        </w:rPr>
        <w:t>Internal-Use Software</w:t>
      </w:r>
      <w:r>
        <w:rPr>
          <w:rFonts w:ascii="Arial" w:cs="Arial" w:eastAsia="Arial" w:hAnsi="Arial"/>
          <w:sz w:val="16"/>
          <w:szCs w:val="16"/>
          <w:color w:val="auto"/>
        </w:rPr>
        <w:t>, to determine which implementation costs under the service contract to be capitalized as an asset and which costs to expense.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are effective for fiscal years and interim periods within those years beginning after December 15, 2019 either on a retrospective or prospectively basis and early adoption is permitted. We are currently evaluating the impact of this guidance on our consolidated financial statements and related disclosures.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Investments and Fair Value Measurements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2018 and December 31, 2017, the estimated fair value of our short-term and long-term marketable securities, classified as available for sale, are as follows (in thousands):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24,675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24,675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75,461</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75,368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11,665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11,634</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U.S. government treasury bonds</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72,622</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72,600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marketable securities, short-term</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184,443</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184,297</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Long-term</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7,035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6,961</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8,162</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8,091</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Short-term</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58,503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58,502</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145,728</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145,557</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3,013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U.S. government treasury bonds</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60,650</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60,580</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4,386</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Total marketable securities, short-term</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272,280</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272,031</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Long-term</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0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960" w:type="dxa"/>
            <w:vAlign w:val="bottom"/>
          </w:tcPr>
          <w:p>
            <w:pPr>
              <w:jc w:val="center"/>
              <w:ind w:left="201"/>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0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201"/>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government agency bonds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15,023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14,955</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Corporate bonds</w:t>
            </w: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25,067</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24,993</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marketable securities, long-term</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40,090</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39,948</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91"/>
        <w:spacing w:after="0" w:line="257" w:lineRule="auto"/>
        <w:rPr>
          <w:sz w:val="20"/>
          <w:szCs w:val="20"/>
          <w:color w:val="auto"/>
        </w:rPr>
      </w:pPr>
      <w:r>
        <w:rPr>
          <w:rFonts w:ascii="Arial" w:cs="Arial" w:eastAsia="Arial" w:hAnsi="Arial"/>
          <w:sz w:val="18"/>
          <w:szCs w:val="18"/>
          <w:color w:val="auto"/>
        </w:rPr>
        <w:t>Cash equivalents are not included in the table above as the gross unrealized gains and losses are not material. We have no short-term or long-term investments that have been in a continuous material unrealized loss position for greater than twelve months as of September 30, 2018 and December 31, 2017. Amounts reclassified to earnings from accumulated other comprehensive income (loss), net related to unrealized gains or losses were not material for the three and nine months ended September 30, 2018 and 2017. For the three and nine months ended September 30, 2018 and 2017, realized gains or losses were not material.</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fixed-income securities investment portfolio consists of investments that have a maximum effective maturity of 40 months on any individual security. The securities that we invest in are generally deemed to be low risk based on their credit ratings from the major rating agencies. The longer the duration of these securities, the more susceptible they are to changes in market interest rates and bond yields. As interest rates increase, those securities purchased at a lower yield show a mark-to-market unrealized</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loss. The unrealized losses are due primarily to changes in credit spreads and interest rates. We expect to realize the full value of all these investments upon maturity or sale. The weighted average remaining duration of these securities was approximately three months and six months as of September 30, 2018 and December 31, 2017, respectively.</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the carrying value approximates the fair value for our short-term and long-term marketable securities shown in the tables above, the following table summarizes the fair value of our short-term and long-term marketable securities classified by contractual maturity as of September 30, 2018 and December 31, 2017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420" w:type="dxa"/>
            <w:vAlign w:val="bottom"/>
          </w:tcPr>
          <w:p>
            <w:pPr>
              <w:jc w:val="right"/>
              <w:ind w:right="35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9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184,297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272,031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in greater than one year</w:t>
            </w:r>
          </w:p>
        </w:tc>
        <w:tc>
          <w:tcPr>
            <w:tcW w:w="260" w:type="dxa"/>
            <w:vAlign w:val="bottom"/>
          </w:tcPr>
          <w:p>
            <w:pPr>
              <w:spacing w:after="0"/>
              <w:rPr>
                <w:sz w:val="21"/>
                <w:szCs w:val="21"/>
                <w:color w:val="auto"/>
              </w:rPr>
            </w:pP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8,091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39,948</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 for sale short-term and long-term marketable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192,388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311,979</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Investments in Privately Held Companies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investments in privately held companies as of September 30, 2018 and December 31, 2017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340" w:type="dxa"/>
            <w:vAlign w:val="bottom"/>
          </w:tcPr>
          <w:p>
            <w:pPr>
              <w:jc w:val="right"/>
              <w:ind w:right="299"/>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2017</w:t>
            </w: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Equity securities under the equity method investment </w:t>
            </w:r>
            <w:r>
              <w:rPr>
                <w:rFonts w:ascii="Arial" w:cs="Arial" w:eastAsia="Arial" w:hAnsi="Arial"/>
                <w:sz w:val="21"/>
                <w:szCs w:val="21"/>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47,996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54,606</w:t>
            </w:r>
          </w:p>
        </w:tc>
      </w:tr>
      <w:tr>
        <w:trPr>
          <w:trHeight w:val="298"/>
        </w:trPr>
        <w:tc>
          <w:tcPr>
            <w:tcW w:w="8120" w:type="dxa"/>
            <w:vAlign w:val="bottom"/>
          </w:tcPr>
          <w:p>
            <w:pPr>
              <w:ind w:left="40"/>
              <w:spacing w:after="0"/>
              <w:rPr>
                <w:sz w:val="20"/>
                <w:szCs w:val="20"/>
                <w:color w:val="auto"/>
              </w:rPr>
            </w:pPr>
            <w:r>
              <w:rPr>
                <w:rFonts w:ascii="Arial" w:cs="Arial" w:eastAsia="Arial" w:hAnsi="Arial"/>
                <w:sz w:val="18"/>
                <w:szCs w:val="18"/>
                <w:color w:val="auto"/>
              </w:rPr>
              <w:t xml:space="preserve">Equity securities without readily determinable fair values </w:t>
            </w:r>
            <w:r>
              <w:rPr>
                <w:rFonts w:ascii="Arial" w:cs="Arial" w:eastAsia="Arial" w:hAnsi="Arial"/>
                <w:sz w:val="21"/>
                <w:szCs w:val="21"/>
                <w:color w:val="auto"/>
                <w:vertAlign w:val="superscript"/>
              </w:rPr>
              <w:t>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9,862</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w:t>
            </w:r>
          </w:p>
        </w:tc>
      </w:tr>
    </w:tbl>
    <w:p>
      <w:pPr>
        <w:spacing w:after="0" w:line="96" w:lineRule="exact"/>
        <w:rPr>
          <w:sz w:val="20"/>
          <w:szCs w:val="20"/>
          <w:color w:val="auto"/>
        </w:rPr>
      </w:pPr>
    </w:p>
    <w:p>
      <w:pPr>
        <w:ind w:left="420" w:hanging="169"/>
        <w:spacing w:after="0"/>
        <w:tabs>
          <w:tab w:leader="none" w:pos="42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Refer to Note 4 “Equity Method Investments” of the Notes to Condensed Consolidated Financial Statements </w:t>
      </w:r>
      <w:r>
        <w:rPr>
          <w:rFonts w:ascii="Arial" w:cs="Arial" w:eastAsia="Arial" w:hAnsi="Arial"/>
          <w:sz w:val="16"/>
          <w:szCs w:val="16"/>
          <w:color w:val="auto"/>
        </w:rPr>
        <w:t>for more information</w:t>
      </w:r>
    </w:p>
    <w:p>
      <w:pPr>
        <w:jc w:val="both"/>
        <w:ind w:left="420" w:hanging="169"/>
        <w:spacing w:after="0" w:line="228" w:lineRule="auto"/>
        <w:tabs>
          <w:tab w:leader="none" w:pos="42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 xml:space="preserve">In April 2018, $4.9 million of convertible short term notes receivable (recurring Level 3 investment) was converted into equity securities as a result of qualified financing secured by the private company in accordance with ASC 321, </w:t>
      </w:r>
      <w:r>
        <w:rPr>
          <w:rFonts w:ascii="Arial" w:cs="Arial" w:eastAsia="Arial" w:hAnsi="Arial"/>
          <w:sz w:val="16"/>
          <w:szCs w:val="16"/>
          <w:i w:val="1"/>
          <w:iCs w:val="1"/>
          <w:color w:val="auto"/>
        </w:rPr>
        <w:t>“Investments—Equity Securities.”</w:t>
      </w:r>
      <w:r>
        <w:rPr>
          <w:rFonts w:ascii="Arial" w:cs="Arial" w:eastAsia="Arial" w:hAnsi="Arial"/>
          <w:sz w:val="16"/>
          <w:szCs w:val="16"/>
          <w:color w:val="auto"/>
        </w:rPr>
        <w:t xml:space="preserve"> The equity securities issued upon conversion are reported as a nonrecurring investment within other assets in our Condensed Consolidated Balance Sheet. During the three and nine months ended September 30, 2018, there were no fair value adjustments to equity securities without readily determinable fair values.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measure the fair value of financial assets as the price that would be received from selling an asset or paid to transfer a liability in an orderly transaction between market participants at the measurement date. We use the GAAP fair value hierarchy that prioritizes the inputs to valuation techniques used to measure fair value. This hierarchy requires an entity to maximize the use of observable inputs and minimize the use of unobservable inputs when measuring fair value. The three levels of inputs that may be used to measure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(unadjusted) prices in active markets for identical assets or liabilities.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or liabilities in active markets,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for identical or similar assets or liabilities in markets that are not active, or other inputs that are observable or can be corroborated by observable market data for substantially the full term of the asset or liability. We obtain fair values for our Level 2 investments. Our custody bank and asset managers independently use professional pricing services to gather pricing data which may include quoted market prices for identical or comparable financial instruments, or inputs other than quoted prices that are observable either directly or indirectly, and we are ultimately responsible for these underlying estimates.</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 Unobservable inputs to the valuation methodology that are supported by little or no market activity and that are significant to the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fair value of the assets or liabilities. Level 3 assets and liabilities include those whose fair value measurements are determined using pricing models, discounted cash flow methodologies or similar valuation techniques, as well as significant management judgment or estimation.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summarize our financial assets measured at fair value on a recurring basis as of September 30, 2018 and December 31, 2017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Balance as of September</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4"/>
                <w:szCs w:val="14"/>
                <w:color w:val="auto"/>
              </w:rPr>
            </w:pPr>
          </w:p>
        </w:tc>
        <w:tc>
          <w:tcPr>
            <w:tcW w:w="116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2"/>
        </w:trPr>
        <w:tc>
          <w:tcPr>
            <w:tcW w:w="5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ind w:right="211"/>
              <w:spacing w:after="0"/>
              <w:rPr>
                <w:sz w:val="20"/>
                <w:szCs w:val="20"/>
                <w:color w:val="auto"/>
              </w:rPr>
            </w:pPr>
            <w:r>
              <w:rPr>
                <w:rFonts w:ascii="Arial" w:cs="Arial" w:eastAsia="Arial" w:hAnsi="Arial"/>
                <w:sz w:val="14"/>
                <w:szCs w:val="14"/>
                <w:b w:val="1"/>
                <w:bCs w:val="1"/>
                <w:color w:val="auto"/>
                <w:w w:val="91"/>
              </w:rPr>
              <w:t>30, 2018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2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256,689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256,689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6,883</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24,675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24,675</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75,368</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U.S. government agency bonds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11,634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11,634</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treasury bonds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72,600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U.S. government agency bonds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6,961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6,961</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b w:val="1"/>
                <w:bCs w:val="1"/>
                <w:color w:val="auto"/>
              </w:rPr>
              <w:t>Prepaid expenses and other current assets: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Israeli funds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37"/>
        </w:trPr>
        <w:tc>
          <w:tcPr>
            <w:tcW w:w="4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461,117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329,289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131,828</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Balance as of</w:t>
            </w: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gridSpan w:val="2"/>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4"/>
        </w:trPr>
        <w:tc>
          <w:tcPr>
            <w:tcW w:w="4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vMerge w:val="restart"/>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vMerge w:val="restart"/>
          </w:tcPr>
          <w:p>
            <w:pPr>
              <w:jc w:val="center"/>
              <w:ind w:right="211"/>
              <w:spacing w:after="0"/>
              <w:rPr>
                <w:sz w:val="20"/>
                <w:szCs w:val="20"/>
                <w:color w:val="auto"/>
              </w:rPr>
            </w:pPr>
            <w:r>
              <w:rPr>
                <w:rFonts w:ascii="Arial" w:cs="Arial" w:eastAsia="Arial" w:hAnsi="Arial"/>
                <w:sz w:val="14"/>
                <w:szCs w:val="14"/>
                <w:b w:val="1"/>
                <w:bCs w:val="1"/>
                <w:color w:val="auto"/>
                <w:w w:val="96"/>
              </w:rPr>
              <w:t>Level 1</w:t>
            </w:r>
          </w:p>
        </w:tc>
        <w:tc>
          <w:tcPr>
            <w:tcW w:w="1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Level 2</w:t>
            </w:r>
          </w:p>
        </w:tc>
        <w:tc>
          <w:tcPr>
            <w:tcW w:w="12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5"/>
              </w:rPr>
              <w:t>December 31, 2017</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Money market funds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253,155</w:t>
            </w: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253,155</w:t>
            </w:r>
          </w:p>
        </w:tc>
        <w:tc>
          <w:tcPr>
            <w:tcW w:w="120" w:type="dxa"/>
            <w:vAlign w:val="bottom"/>
          </w:tcPr>
          <w:p>
            <w:pPr>
              <w:spacing w:after="0"/>
              <w:rPr>
                <w:sz w:val="21"/>
                <w:szCs w:val="21"/>
                <w:color w:val="auto"/>
              </w:rPr>
            </w:pPr>
          </w:p>
        </w:tc>
        <w:tc>
          <w:tcPr>
            <w:tcW w:w="3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58,502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58,502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145,557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145,557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U.S. government agency bonds</w:t>
            </w:r>
          </w:p>
        </w:tc>
        <w:tc>
          <w:tcPr>
            <w:tcW w:w="1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3,006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U.S. government treasury bonds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60,580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4,386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gridSpan w:val="2"/>
          </w:tcPr>
          <w:p>
            <w:pPr>
              <w:ind w:left="360"/>
              <w:spacing w:after="0"/>
              <w:rPr>
                <w:sz w:val="20"/>
                <w:szCs w:val="20"/>
                <w:color w:val="auto"/>
              </w:rPr>
            </w:pPr>
            <w:r>
              <w:rPr>
                <w:rFonts w:ascii="Arial" w:cs="Arial" w:eastAsia="Arial" w:hAnsi="Arial"/>
                <w:sz w:val="18"/>
                <w:szCs w:val="18"/>
                <w:color w:val="auto"/>
              </w:rPr>
              <w:t>U.S. government agency bonds</w:t>
            </w:r>
          </w:p>
        </w:tc>
        <w:tc>
          <w:tcPr>
            <w:tcW w:w="1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14,955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14,955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b w:val="1"/>
                <w:bCs w:val="1"/>
                <w:color w:val="auto"/>
              </w:rPr>
              <w:t>Prepaid expenses and other current assets: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Israeli funds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20" w:type="dxa"/>
            <w:vAlign w:val="bottom"/>
            <w:gridSpan w:val="2"/>
          </w:tcPr>
          <w:p>
            <w:pPr>
              <w:ind w:left="380"/>
              <w:spacing w:after="0"/>
              <w:rPr>
                <w:sz w:val="20"/>
                <w:szCs w:val="20"/>
                <w:color w:val="auto"/>
              </w:rPr>
            </w:pPr>
            <w:r>
              <w:rPr>
                <w:rFonts w:ascii="Arial" w:cs="Arial" w:eastAsia="Arial" w:hAnsi="Arial"/>
                <w:sz w:val="18"/>
                <w:szCs w:val="18"/>
                <w:color w:val="auto"/>
              </w:rPr>
              <w:t>Short-term notes receivable</w:t>
            </w:r>
          </w:p>
        </w:tc>
        <w:tc>
          <w:tcPr>
            <w:tcW w:w="160" w:type="dxa"/>
            <w:vAlign w:val="bottom"/>
          </w:tcPr>
          <w:p>
            <w:pPr>
              <w:spacing w:after="0"/>
              <w:rPr>
                <w:sz w:val="21"/>
                <w:szCs w:val="21"/>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4,476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581,947</w:t>
            </w: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313,735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263,736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March 2018, we began entering into foreign currency forward contracts to minimize the short-term impact of foreign currency exchange rate fluctuations on certain trade and intercompany receivables and payables. These forward contracts are classified within Level 2 of the fair value hierarchy. The gains from the settlement of foreign currency forward contracts during the three and nine months ended September 30, 2018 were $2.3 million and $7.7 million, respectively. As of September 30, 2018, the fair value of foreign exchange forward contracts outstanding was not material.</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gross notional value of all our foreign exchange forward contracts outstanding as of September 30, 2018 (in thousands):</w:t>
      </w:r>
    </w:p>
    <w:p>
      <w:pPr>
        <w:spacing w:after="0" w:line="253"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September 30, 2018</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60" w:type="dxa"/>
            <w:vAlign w:val="bottom"/>
            <w:tcBorders>
              <w:top w:val="single" w:sz="8" w:color="CCEEFF"/>
            </w:tcBorders>
            <w:shd w:val="clear" w:color="auto" w:fill="CCEEFF"/>
          </w:tcPr>
          <w:p>
            <w:pPr>
              <w:spacing w:after="0"/>
              <w:rPr>
                <w:sz w:val="13"/>
                <w:szCs w:val="13"/>
                <w:color w:val="auto"/>
              </w:rPr>
            </w:pPr>
          </w:p>
        </w:tc>
        <w:tc>
          <w:tcPr>
            <w:tcW w:w="34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gridSpan w:val="3"/>
            <w:shd w:val="clear" w:color="auto" w:fill="CCEEFF"/>
          </w:tcPr>
          <w:p>
            <w:pPr>
              <w:jc w:val="center"/>
              <w:ind w:right="300"/>
              <w:spacing w:after="0" w:line="159" w:lineRule="exact"/>
              <w:rPr>
                <w:sz w:val="20"/>
                <w:szCs w:val="20"/>
                <w:color w:val="auto"/>
              </w:rPr>
            </w:pPr>
            <w:r>
              <w:rPr>
                <w:rFonts w:ascii="Arial" w:cs="Arial" w:eastAsia="Arial" w:hAnsi="Arial"/>
                <w:sz w:val="14"/>
                <w:szCs w:val="14"/>
                <w:b w:val="1"/>
                <w:bCs w:val="1"/>
                <w:color w:val="auto"/>
                <w:w w:val="94"/>
              </w:rPr>
              <w:t>Local Currency</w:t>
            </w:r>
          </w:p>
        </w:tc>
        <w:tc>
          <w:tcPr>
            <w:tcW w:w="16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jc w:val="center"/>
              <w:ind w:right="74"/>
              <w:spacing w:after="0" w:line="159" w:lineRule="exact"/>
              <w:rPr>
                <w:sz w:val="20"/>
                <w:szCs w:val="20"/>
                <w:color w:val="auto"/>
              </w:rPr>
            </w:pPr>
            <w:r>
              <w:rPr>
                <w:rFonts w:ascii="Arial" w:cs="Arial" w:eastAsia="Arial" w:hAnsi="Arial"/>
                <w:sz w:val="14"/>
                <w:szCs w:val="14"/>
                <w:b w:val="1"/>
                <w:bCs w:val="1"/>
                <w:color w:val="auto"/>
                <w:w w:val="95"/>
              </w:rPr>
              <w:t>Notional Contract</w:t>
            </w:r>
          </w:p>
        </w:tc>
        <w:tc>
          <w:tcPr>
            <w:tcW w:w="0" w:type="dxa"/>
            <w:vAlign w:val="bottom"/>
          </w:tcPr>
          <w:p>
            <w:pPr>
              <w:spacing w:after="0"/>
              <w:rPr>
                <w:sz w:val="1"/>
                <w:szCs w:val="1"/>
                <w:color w:val="auto"/>
              </w:rPr>
            </w:pPr>
          </w:p>
        </w:tc>
      </w:tr>
      <w:tr>
        <w:trPr>
          <w:trHeight w:val="192"/>
        </w:trPr>
        <w:tc>
          <w:tcPr>
            <w:tcW w:w="4860" w:type="dxa"/>
            <w:vAlign w:val="bottom"/>
            <w:shd w:val="clear" w:color="auto" w:fill="CCEEFF"/>
          </w:tcPr>
          <w:p>
            <w:pPr>
              <w:spacing w:after="0"/>
              <w:rPr>
                <w:sz w:val="16"/>
                <w:szCs w:val="16"/>
                <w:color w:val="auto"/>
              </w:rPr>
            </w:pPr>
          </w:p>
        </w:tc>
        <w:tc>
          <w:tcPr>
            <w:tcW w:w="34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center"/>
              <w:ind w:right="75"/>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gridSpan w:val="2"/>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center"/>
              <w:ind w:right="74"/>
              <w:spacing w:after="0"/>
              <w:rPr>
                <w:sz w:val="20"/>
                <w:szCs w:val="20"/>
                <w:color w:val="auto"/>
              </w:rPr>
            </w:pPr>
            <w:r>
              <w:rPr>
                <w:rFonts w:ascii="Arial" w:cs="Arial" w:eastAsia="Arial" w:hAnsi="Arial"/>
                <w:sz w:val="14"/>
                <w:szCs w:val="14"/>
                <w:b w:val="1"/>
                <w:bCs w:val="1"/>
                <w:color w:val="auto"/>
                <w:w w:val="96"/>
              </w:rPr>
              <w:t>Amount (USD)</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Euro</w:t>
            </w:r>
          </w:p>
        </w:tc>
        <w:tc>
          <w:tcPr>
            <w:tcW w:w="3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€61,000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70,992</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Chinese Yuan</w:t>
            </w:r>
          </w:p>
        </w:tc>
        <w:tc>
          <w:tcPr>
            <w:tcW w:w="3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47,882</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Canadian Dollar</w:t>
            </w:r>
          </w:p>
        </w:tc>
        <w:tc>
          <w:tcPr>
            <w:tcW w:w="3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C$28,000</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21,653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3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16,966</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3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¥1,700,000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14,985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Brazilian Real</w:t>
            </w:r>
          </w:p>
        </w:tc>
        <w:tc>
          <w:tcPr>
            <w:tcW w:w="3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R$55,500</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13,821</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3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A$2,900</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2,097</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60" w:type="dxa"/>
            <w:vAlign w:val="bottom"/>
            <w:tcBorders>
              <w:bottom w:val="single" w:sz="8" w:color="CCEEFF"/>
            </w:tcBorders>
            <w:shd w:val="clear" w:color="auto" w:fill="CCEEFF"/>
          </w:tcPr>
          <w:p>
            <w:pPr>
              <w:spacing w:after="0"/>
              <w:rPr>
                <w:sz w:val="22"/>
                <w:szCs w:val="22"/>
                <w:color w:val="auto"/>
              </w:rPr>
            </w:pPr>
          </w:p>
        </w:tc>
        <w:tc>
          <w:tcPr>
            <w:tcW w:w="34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188,396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3. Balance Sheet Components</w:t>
            </w:r>
          </w:p>
        </w:tc>
        <w:tc>
          <w:tcPr>
            <w:tcW w:w="3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60" w:type="dxa"/>
            <w:vAlign w:val="bottom"/>
            <w:vMerge w:val="continue"/>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Inventories</w:t>
            </w: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860" w:type="dxa"/>
            <w:vAlign w:val="bottom"/>
          </w:tcPr>
          <w:p>
            <w:pPr>
              <w:ind w:left="340"/>
              <w:spacing w:after="0"/>
              <w:rPr>
                <w:sz w:val="20"/>
                <w:szCs w:val="20"/>
                <w:color w:val="auto"/>
              </w:rPr>
            </w:pPr>
            <w:r>
              <w:rPr>
                <w:rFonts w:ascii="Arial" w:cs="Arial" w:eastAsia="Arial" w:hAnsi="Arial"/>
                <w:sz w:val="18"/>
                <w:szCs w:val="18"/>
                <w:color w:val="auto"/>
              </w:rPr>
              <w:t>Inventories consist of the following (in thousands):</w:t>
            </w: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24"/>
                <w:szCs w:val="24"/>
                <w:color w:val="auto"/>
              </w:rPr>
            </w:pPr>
          </w:p>
        </w:tc>
        <w:tc>
          <w:tcPr>
            <w:tcW w:w="132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CCEEFF"/>
            </w:tcBorders>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23,395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12,721</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3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11,090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12,157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6,810</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Total inventories</w:t>
            </w:r>
          </w:p>
        </w:tc>
        <w:tc>
          <w:tcPr>
            <w:tcW w:w="34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48,858</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31,688</w:t>
            </w:r>
          </w:p>
        </w:tc>
        <w:tc>
          <w:tcPr>
            <w:tcW w:w="0" w:type="dxa"/>
            <w:vAlign w:val="bottom"/>
          </w:tcPr>
          <w:p>
            <w:pPr>
              <w:spacing w:after="0"/>
              <w:rPr>
                <w:sz w:val="1"/>
                <w:szCs w:val="1"/>
                <w:color w:val="auto"/>
              </w:rPr>
            </w:pPr>
          </w:p>
        </w:tc>
      </w:tr>
      <w:tr>
        <w:trPr>
          <w:trHeight w:val="27"/>
        </w:trPr>
        <w:tc>
          <w:tcPr>
            <w:tcW w:w="486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Other Assets</w:t>
            </w:r>
          </w:p>
        </w:tc>
        <w:tc>
          <w:tcPr>
            <w:tcW w:w="3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vMerge w:val="continu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60" w:type="dxa"/>
            <w:vAlign w:val="bottom"/>
            <w:vMerge w:val="continue"/>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860" w:type="dxa"/>
            <w:vAlign w:val="bottom"/>
          </w:tcPr>
          <w:p>
            <w:pPr>
              <w:ind w:left="340"/>
              <w:spacing w:after="0"/>
              <w:rPr>
                <w:sz w:val="20"/>
                <w:szCs w:val="20"/>
                <w:color w:val="auto"/>
              </w:rPr>
            </w:pPr>
            <w:r>
              <w:rPr>
                <w:rFonts w:ascii="Arial" w:cs="Arial" w:eastAsia="Arial" w:hAnsi="Arial"/>
                <w:sz w:val="18"/>
                <w:szCs w:val="18"/>
                <w:color w:val="auto"/>
              </w:rPr>
              <w:t>Other assets consist of the following (in thousands):</w:t>
            </w: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8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24"/>
                <w:szCs w:val="24"/>
                <w:color w:val="auto"/>
              </w:rPr>
            </w:pPr>
          </w:p>
        </w:tc>
        <w:tc>
          <w:tcPr>
            <w:tcW w:w="1320" w:type="dxa"/>
            <w:vAlign w:val="bottom"/>
          </w:tcPr>
          <w:p>
            <w:pPr>
              <w:jc w:val="center"/>
              <w:ind w:right="11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CCEEFF"/>
            </w:tcBorders>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commissions</w:t>
            </w:r>
          </w:p>
        </w:tc>
        <w:tc>
          <w:tcPr>
            <w:tcW w:w="3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5,515</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3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Security deposits</w:t>
            </w:r>
          </w:p>
        </w:tc>
        <w:tc>
          <w:tcPr>
            <w:tcW w:w="3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Loan receivable from equity investee</w:t>
            </w:r>
          </w:p>
        </w:tc>
        <w:tc>
          <w:tcPr>
            <w:tcW w:w="3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3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Total other assets</w:t>
            </w:r>
          </w:p>
        </w:tc>
        <w:tc>
          <w:tcPr>
            <w:tcW w:w="34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25,464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43,893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480" w:type="dxa"/>
            <w:vAlign w:val="bottom"/>
            <w:vMerge w:val="restart"/>
          </w:tcPr>
          <w:p>
            <w:pPr>
              <w:jc w:val="right"/>
              <w:ind w:right="245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4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8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liabilities consist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3"/>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102,109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103,004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36,110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27,318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fixed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warranty</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5,929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rebate</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7,765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11,209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customer credits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sales tax and value added tax</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6,734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5,503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Accrued sales return reserve </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5,876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income taxes</w:t>
            </w:r>
          </w:p>
        </w:tc>
        <w:tc>
          <w:tcPr>
            <w:tcW w:w="2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12,405</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5,779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219,035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195,562</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40" w:hanging="89"/>
        <w:spacing w:after="0" w:line="217" w:lineRule="auto"/>
        <w:tabs>
          <w:tab w:leader="none" w:pos="378"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December 31, 2017 balance has been reclassified from accounts receivable, net to reflect the adoption of ASU 2014-09 (</w:t>
      </w:r>
      <w:r>
        <w:rPr>
          <w:rFonts w:ascii="Arial" w:cs="Arial" w:eastAsia="Arial" w:hAnsi="Arial"/>
          <w:sz w:val="16"/>
          <w:szCs w:val="16"/>
          <w:i w:val="1"/>
          <w:iCs w:val="1"/>
          <w:color w:val="auto"/>
        </w:rPr>
        <w:t>Refer to Note 1 “Summary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Policies” of the Notes to Condensed Consolidated Financial Statements </w:t>
      </w:r>
      <w:r>
        <w:rPr>
          <w:rFonts w:ascii="Arial" w:cs="Arial" w:eastAsia="Arial" w:hAnsi="Arial"/>
          <w:sz w:val="16"/>
          <w:szCs w:val="16"/>
          <w:color w:val="auto"/>
        </w:rPr>
        <w:t>for more information).</w:t>
      </w:r>
    </w:p>
    <w:p>
      <w:pPr>
        <w:spacing w:after="0" w:line="3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Warranty</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regularly review the balance for accrued warranty and update based on historical warranty trends. Actual warranty costs incurred have not materially differed from those accrued; however, future actual warranty costs could differ from the estimated amounts.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Warranty accrual as of September 30, 2018 and 2017 consists of the following activity (in thousands):</w:t>
      </w:r>
    </w:p>
    <w:p>
      <w:pPr>
        <w:spacing w:after="0" w:line="163"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138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136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5,929</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3,841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Charged to cost of revenues</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Actual warranty expenditures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(3,987)</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8,026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b w:val="1"/>
                <w:bCs w:val="1"/>
                <w:i w:val="1"/>
                <w:iCs w:val="1"/>
                <w:color w:val="auto"/>
              </w:rPr>
              <w:t>Deferred Revenues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340"/>
              <w:spacing w:after="0"/>
              <w:rPr>
                <w:sz w:val="20"/>
                <w:szCs w:val="20"/>
                <w:color w:val="auto"/>
              </w:rPr>
            </w:pPr>
            <w:r>
              <w:rPr>
                <w:rFonts w:ascii="Arial" w:cs="Arial" w:eastAsia="Arial" w:hAnsi="Arial"/>
                <w:sz w:val="18"/>
                <w:szCs w:val="18"/>
                <w:color w:val="auto"/>
              </w:rPr>
              <w:t>Deferred revenues consist of the following (in thousands):</w:t>
            </w: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24"/>
                <w:szCs w:val="24"/>
                <w:color w:val="auto"/>
              </w:rPr>
            </w:pPr>
          </w:p>
        </w:tc>
        <w:tc>
          <w:tcPr>
            <w:tcW w:w="136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revenues - current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356,109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267,713</w:t>
            </w:r>
          </w:p>
        </w:tc>
        <w:tc>
          <w:tcPr>
            <w:tcW w:w="0" w:type="dxa"/>
            <w:vAlign w:val="bottom"/>
          </w:tcPr>
          <w:p>
            <w:pPr>
              <w:spacing w:after="0"/>
              <w:rPr>
                <w:sz w:val="1"/>
                <w:szCs w:val="1"/>
                <w:color w:val="auto"/>
              </w:rPr>
            </w:pPr>
          </w:p>
        </w:tc>
      </w:tr>
      <w:tr>
        <w:trPr>
          <w:trHeight w:val="298"/>
        </w:trPr>
        <w:tc>
          <w:tcPr>
            <w:tcW w:w="8120" w:type="dxa"/>
            <w:vAlign w:val="bottom"/>
          </w:tcPr>
          <w:p>
            <w:pPr>
              <w:ind w:left="40"/>
              <w:spacing w:after="0"/>
              <w:rPr>
                <w:sz w:val="20"/>
                <w:szCs w:val="20"/>
                <w:color w:val="auto"/>
              </w:rPr>
            </w:pPr>
            <w:r>
              <w:rPr>
                <w:rFonts w:ascii="Arial" w:cs="Arial" w:eastAsia="Arial" w:hAnsi="Arial"/>
                <w:sz w:val="18"/>
                <w:szCs w:val="18"/>
                <w:color w:val="auto"/>
              </w:rPr>
              <w:t xml:space="preserve">Deferred revenues - long-term </w:t>
            </w:r>
            <w:r>
              <w:rPr>
                <w:rFonts w:ascii="Arial" w:cs="Arial" w:eastAsia="Arial" w:hAnsi="Arial"/>
                <w:sz w:val="21"/>
                <w:szCs w:val="21"/>
                <w:color w:val="auto"/>
                <w:vertAlign w:val="superscript"/>
              </w:rPr>
              <w:t>1</w:t>
            </w:r>
          </w:p>
        </w:tc>
        <w:tc>
          <w:tcPr>
            <w:tcW w:w="220" w:type="dxa"/>
            <w:vAlign w:val="bottom"/>
          </w:tcPr>
          <w:p>
            <w:pPr>
              <w:spacing w:after="0"/>
              <w:rPr>
                <w:sz w:val="24"/>
                <w:szCs w:val="24"/>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11,739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34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Included in other long-term liabilities within our Condensed Consolidated Balance Sheets</w:t>
      </w:r>
    </w:p>
    <w:p>
      <w:pPr>
        <w:spacing w:after="0" w:line="15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the three months ended September 30, 2018 and September 30, 2017, we recognized $505.3 million and $385.3 million of revenue, respectively, of which $125.6 million and $74.0 million was included in the deferred revenues balance at December 31, 2017 and December 31, 2016, respectively.</w:t>
      </w:r>
    </w:p>
    <w:p>
      <w:pPr>
        <w:spacing w:after="0" w:line="12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the nine months ended September 30, 2018 and September 30, 2017, we recognized $1.4 billion and $1.1 billion of revenue, respectively, of which $313.4 million and $186.8 million was included in the deferred revenues balance at December 31, 2017 and December 31, 2016,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Equity Method Investments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July 25, 2016, we acquired a 17% equity interest, on a fully diluted basis, in SmileDirectClub, LLC (“SDC”) for $46.7 million. The investment is accounted for under an equity method investment and the investee, SDC, is considered a related party. The investment is reported in our Condensed Consolidated Balance Sheets under equity method investments, and we record our proportional share of SDC’s losses within equity in losses of investee, net of tax, in our Condensed Consolidated Statement of Operations. On July 24, 2017, we purchased an additional 2% equity interest in SDC for $12.8 million. As of September 30, 2018 and December 31, 2017, the balance of our equity method investments was $48.0 million and $54.6 million, respectively.</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Concurrently with the investment on July 25, 2016, we also entered into a supply agreement with SDC to manufacture clear aligners for SDC’s doctor-led, at-home program for simple teeth straightening. The term of the supply agreement expires on December 31, 2019. We commenced supplying aligners to SDC in October 2016. The sale of aligners to SDC and the income from the supply agreement are reported in our Clear Aligner business segment. We eliminate unrealized profit on outstanding intercompany transactions. As of September 30, 2018 and December 31, 2017, the balance of accounts receivable due from SDC was $12.5 million and $14.3 million, respectively. For the three months ended September 30, 2018 and 2017, net revenues recognized from SDC was $8.1 million and $10.6 million, respectively, and for the nine months ended September 30, 2018 and 2017, net revenues recognized from SDC was $22.0 million and $14.2 million, respectively.</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25, 2016, we entered into a Loan and Security Agreement (the “Loan Agreement”) with SDC and amended on July 24, 2017 where we agreed to provide SDC a loan of up to $30.0 million in one or more advances. On February 7, 2018, $30.0 million of outstanding loan advances and related accrued interest were repaid in full, and the Loan Agreement was terminated (</w:t>
      </w:r>
      <w:r>
        <w:rPr>
          <w:rFonts w:ascii="Arial" w:cs="Arial" w:eastAsia="Arial" w:hAnsi="Arial"/>
          <w:sz w:val="18"/>
          <w:szCs w:val="18"/>
          <w:i w:val="1"/>
          <w:iCs w:val="1"/>
          <w:color w:val="auto"/>
        </w:rPr>
        <w:t>Refer to Note 8 “Legal Proceedings” of the Notes to Condensed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for SDC legal proceedings discussion).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first quarter of 2017, we completed the acquisitions of certain of our distributors for the total cash consideration of approximately $9.5 million including cash acquired. We recorded $1.9 million of net tangible liabilities, $8.2 million of identifiable intangible assets and $3.2 million of goodwill. The goodwill is primarily related to the benefit we expect to obtain from direct sales as we believe that the transition from our distributor arrangements to a direct sales model will increase our net revenues in the region as we will experience higher average sales prices (“ASP”) compared to our discounted ASP under the distribution agreements. The goodwill is not deductible for tax purposes.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 forma results of operations for these acquisitions have not been presented as they were not material to our results of operations, either individually or in aggregate, for the nine months ended September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 and Intangible Assets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the carrying value of goodwill for the nine months ended September 30, 2018, all attributable to our Clear Aligner reporting unit, is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Total</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64,614</w:t>
            </w:r>
          </w:p>
        </w:tc>
      </w:tr>
      <w:tr>
        <w:trPr>
          <w:trHeight w:val="270"/>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September 30, 2018</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64,072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420" w:hanging="88"/>
        <w:spacing w:after="0"/>
        <w:tabs>
          <w:tab w:leader="none" w:pos="42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The adjustments to goodwill during the period were a result of foreign currency translation</w:t>
      </w:r>
    </w:p>
    <w:p>
      <w:pPr>
        <w:spacing w:after="0" w:line="19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During the fourth quarter of fiscal 2017, we performed the annual goodwill impairment testing and found no impairment as the fair value of our Clear Aligner reporting unit was significantly in excess of the carrying value.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Long-Lived Assets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long-lived assets are being amortized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Carrying Amount as</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1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18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 2018</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Impairment Loss</w:t>
            </w:r>
          </w:p>
        </w:tc>
        <w:tc>
          <w:tcPr>
            <w:tcW w:w="160" w:type="dxa"/>
            <w:vAlign w:val="bottom"/>
          </w:tcPr>
          <w:p>
            <w:pPr>
              <w:spacing w:after="0"/>
              <w:rPr>
                <w:sz w:val="16"/>
                <w:szCs w:val="16"/>
                <w:color w:val="auto"/>
              </w:rPr>
            </w:pPr>
          </w:p>
        </w:tc>
        <w:tc>
          <w:tcPr>
            <w:tcW w:w="144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September 30, 2018</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3,145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6,671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Reacquired rights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4,670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68,114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(29,321)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19,535</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Weighted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0" w:type="dxa"/>
            <w:vAlign w:val="bottom"/>
          </w:tcPr>
          <w:p>
            <w:pPr>
              <w:spacing w:after="0"/>
              <w:rPr>
                <w:sz w:val="23"/>
                <w:szCs w:val="23"/>
                <w:color w:val="auto"/>
              </w:rPr>
            </w:pPr>
          </w:p>
        </w:tc>
        <w:tc>
          <w:tcPr>
            <w:tcW w:w="1280" w:type="dxa"/>
            <w:vAlign w:val="bottom"/>
            <w:gridSpan w:val="2"/>
            <w:vMerge w:val="continue"/>
          </w:tcPr>
          <w:p>
            <w:pPr>
              <w:spacing w:after="0"/>
              <w:rPr>
                <w:sz w:val="23"/>
                <w:szCs w:val="23"/>
                <w:color w:val="auto"/>
              </w:rPr>
            </w:pPr>
          </w:p>
        </w:tc>
        <w:tc>
          <w:tcPr>
            <w:tcW w:w="180" w:type="dxa"/>
            <w:vAlign w:val="bottom"/>
          </w:tcPr>
          <w:p>
            <w:pPr>
              <w:spacing w:after="0"/>
              <w:rPr>
                <w:sz w:val="23"/>
                <w:szCs w:val="23"/>
                <w:color w:val="auto"/>
              </w:rPr>
            </w:pPr>
          </w:p>
        </w:tc>
        <w:tc>
          <w:tcPr>
            <w:tcW w:w="16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Average</w:t>
            </w:r>
          </w:p>
        </w:tc>
        <w:tc>
          <w:tcPr>
            <w:tcW w:w="1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180" w:type="dxa"/>
            <w:vAlign w:val="bottom"/>
          </w:tcPr>
          <w:p>
            <w:pPr>
              <w:spacing w:after="0"/>
              <w:rPr>
                <w:sz w:val="12"/>
                <w:szCs w:val="12"/>
                <w:color w:val="auto"/>
              </w:rPr>
            </w:pPr>
          </w:p>
        </w:tc>
        <w:tc>
          <w:tcPr>
            <w:tcW w:w="16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Amount as of</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89"/>
              </w:rPr>
              <w:t>Value as of</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(in years)</w:t>
            </w:r>
          </w:p>
        </w:tc>
        <w:tc>
          <w:tcPr>
            <w:tcW w:w="18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tcPr>
          <w:p>
            <w:pPr>
              <w:spacing w:after="0"/>
              <w:rPr>
                <w:sz w:val="16"/>
                <w:szCs w:val="16"/>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Impairment Loss</w:t>
            </w:r>
          </w:p>
        </w:tc>
        <w:tc>
          <w:tcPr>
            <w:tcW w:w="160" w:type="dxa"/>
            <w:vAlign w:val="bottom"/>
          </w:tcPr>
          <w:p>
            <w:pPr>
              <w:spacing w:after="0"/>
              <w:rPr>
                <w:sz w:val="16"/>
                <w:szCs w:val="16"/>
                <w:color w:val="auto"/>
              </w:rPr>
            </w:pPr>
          </w:p>
        </w:tc>
        <w:tc>
          <w:tcPr>
            <w:tcW w:w="1440" w:type="dxa"/>
            <w:vAlign w:val="bottom"/>
          </w:tcPr>
          <w:p>
            <w:pPr>
              <w:jc w:val="center"/>
              <w:ind w:right="75"/>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1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Existing technology</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12,600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8,068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Reacquired rights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6,144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5,294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w:t>
            </w: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68,116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24,454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total estimated annual future amortization expense for these acquired intangible assets as of September 30, 2018 is as follows (in thousands):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Fiscal Year Ending December 31,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Amortization</w:t>
            </w:r>
          </w:p>
        </w:tc>
      </w:tr>
      <w:tr>
        <w:trPr>
          <w:trHeight w:val="244"/>
        </w:trPr>
        <w:tc>
          <w:tcPr>
            <w:tcW w:w="9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Remainder of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1,571</w:t>
            </w:r>
          </w:p>
        </w:tc>
      </w:tr>
      <w:tr>
        <w:trPr>
          <w:trHeight w:val="243"/>
        </w:trPr>
        <w:tc>
          <w:tcPr>
            <w:tcW w:w="9820" w:type="dxa"/>
            <w:vAlign w:val="bottom"/>
          </w:tcPr>
          <w:p>
            <w:pPr>
              <w:jc w:val="right"/>
              <w:ind w:right="90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6,171</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jc w:val="right"/>
              <w:ind w:right="90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3,854</w:t>
            </w:r>
          </w:p>
        </w:tc>
      </w:tr>
      <w:tr>
        <w:trPr>
          <w:trHeight w:val="243"/>
        </w:trPr>
        <w:tc>
          <w:tcPr>
            <w:tcW w:w="9820" w:type="dxa"/>
            <w:vAlign w:val="bottom"/>
          </w:tcPr>
          <w:p>
            <w:pPr>
              <w:jc w:val="right"/>
              <w:ind w:right="90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3,388</w:t>
            </w:r>
          </w:p>
        </w:tc>
      </w:tr>
      <w:tr>
        <w:trPr>
          <w:trHeight w:val="27"/>
        </w:trPr>
        <w:tc>
          <w:tcPr>
            <w:tcW w:w="9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jc w:val="right"/>
              <w:ind w:right="901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2,116</w:t>
            </w:r>
          </w:p>
        </w:tc>
      </w:tr>
      <w:tr>
        <w:trPr>
          <w:trHeight w:val="243"/>
        </w:trPr>
        <w:tc>
          <w:tcPr>
            <w:tcW w:w="9940" w:type="dxa"/>
            <w:vAlign w:val="bottom"/>
            <w:gridSpan w:val="2"/>
          </w:tcPr>
          <w:p>
            <w:pPr>
              <w:ind w:left="38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2,435</w:t>
            </w:r>
          </w:p>
        </w:tc>
      </w:tr>
      <w:tr>
        <w:trPr>
          <w:trHeight w:val="27"/>
        </w:trPr>
        <w:tc>
          <w:tcPr>
            <w:tcW w:w="9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19,535</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for both the three months ended September 30, 2018 and 2017 was $1.5 million and amortization for the nine months ended September 30, 2018 and 2017 was $4.5 million and $4.7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Facilities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February 27, 2018, we entered into a new credit facility for a $200.0 million revolving line of credit, with a $50.0 million letter of credit sublimit, and a maturity date of February 27, 2021, replacing the existing credit facility which provided for a $50.0 million revolving line of credit with a $10.0 million letter of credit. The credit facility requires us to comply with specific financial conditions and performance requirements. The loans bear interest, at our option, at either a rate based on the reserve adjusted LIBOR for the applicable interest period or a base rate, in each case plus a margin. The base rate is the highest of the credit facility’s publicly announced prime rate, the federal funds rate plus 0.50% and one month LIBOR plus 1.0%. The margin ranges from 1.25% to 1.75% for LIBOR loans and 0.25% to 0.75% for base rate loans. Interest on the loans is payable quarterly in arrears with respect to base rate loans and at the end of an interest period (and at three month intervals if the interest period exceeds three months) in the case of LIBOR loans. Principal, together with accrued and unpaid interest, is due on the maturity date. As of September 30, 2018, we had no outstanding borrowings under this credit facility and were in compliance with the conditions and performance requirements.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Patent Infringement Lawsuit</w:t>
      </w:r>
    </w:p>
    <w:p>
      <w:pPr>
        <w:spacing w:after="0" w:line="225"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On November 14, 2017, Align filed six patent infringement lawsuits asserting 26 patents against 3Shape A/S, a Danish corporation, and a related U.S. corporate entity, asserting that 3Shape’s Trios intraoral scanning system and Dental System software infringe Align patents. Align filed two Section 337 complaints with the U.S. International Trade Commission (“ITC”) alleging that 3Shape violates U.S. trade laws by selling for importation and importing its infringing Trios intraoral scanning system and Dental System software. Align’s ITC complaints seek cease and desist orders and exclusion orders prohibiting the importation of 3Shape’s Trios scanning system and Dental System software products into the U.S. Align also filed four separate complaints in the United States District Court for the District of Delaware alleging patent infringement by 3Shape’s Trios intraoral scanning system and Dental System software. All of these district court complaints seek monetary damages and injunctive relief against further infringement.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SDC Dispute</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On April 5, 2018, SDC Financial LLC, SmileDirectClub LLC, and the Members of SDC Financial LLC other than Align (collectively, the "SDC Entities") initiated proceedings that seek, among other forms of relief, to preliminarily and permanently enjoin all activities related to the Invisalign Experience program, require Align to close the existing Invisalign locations, prohibit Align from opening any additional locations, and allow the SDC Entities to exercise a right to repurchase all of Align's SDC Financial LLC membership interests for a purchase price equal to the current capital account balance. On June 29, 2018, the Chancery Court for Davidson County, Tennessee, denied the SDC Entities’ request for a temporary injunction to prevent Align from opening additional Invisalign locations. Align continues to dispute the allegations that it has breached its obligations to the SDC Entities under applicable law and will oppose and vigorously defend itself at the arbitration proceedings currently scheduled for December 2018. This dispute does not impact Align’s existing supply agreement with SDC which remains in place through 2019 and includes a minimum volume commitment. We are currently unable to predict the outcome of this dispute and therefore cannot determine the likelihood of loss, if any, nor estimate a range of possible loss.</w:t>
      </w:r>
    </w:p>
    <w:p>
      <w:pPr>
        <w:spacing w:after="0" w:line="11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2018, minimum future lease payments for non-cancelable operating leases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Fiscal Year Ending December 31,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5"/>
              </w:rPr>
              <w:t>Operating Leases</w:t>
            </w:r>
          </w:p>
        </w:tc>
      </w:tr>
      <w:tr>
        <w:trPr>
          <w:trHeight w:val="250"/>
        </w:trPr>
        <w:tc>
          <w:tcPr>
            <w:tcW w:w="9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Remainder of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4,839</w:t>
            </w:r>
          </w:p>
        </w:tc>
      </w:tr>
      <w:tr>
        <w:trPr>
          <w:trHeight w:val="243"/>
        </w:trPr>
        <w:tc>
          <w:tcPr>
            <w:tcW w:w="9660" w:type="dxa"/>
            <w:vAlign w:val="bottom"/>
          </w:tcPr>
          <w:p>
            <w:pPr>
              <w:ind w:left="38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19,131</w:t>
            </w: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15,988</w:t>
            </w:r>
          </w:p>
        </w:tc>
      </w:tr>
      <w:tr>
        <w:trPr>
          <w:trHeight w:val="243"/>
        </w:trPr>
        <w:tc>
          <w:tcPr>
            <w:tcW w:w="9660" w:type="dxa"/>
            <w:vAlign w:val="bottom"/>
          </w:tcPr>
          <w:p>
            <w:pPr>
              <w:ind w:left="38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14,386</w:t>
            </w:r>
          </w:p>
        </w:tc>
      </w:tr>
      <w:tr>
        <w:trPr>
          <w:trHeight w:val="27"/>
        </w:trPr>
        <w:tc>
          <w:tcPr>
            <w:tcW w:w="9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12,026</w:t>
            </w:r>
          </w:p>
        </w:tc>
      </w:tr>
      <w:tr>
        <w:trPr>
          <w:trHeight w:val="243"/>
        </w:trPr>
        <w:tc>
          <w:tcPr>
            <w:tcW w:w="9780" w:type="dxa"/>
            <w:vAlign w:val="bottom"/>
            <w:gridSpan w:val="2"/>
          </w:tcPr>
          <w:p>
            <w:pPr>
              <w:ind w:left="38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25,769</w:t>
            </w:r>
          </w:p>
        </w:tc>
      </w:tr>
      <w:tr>
        <w:trPr>
          <w:trHeight w:val="27"/>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9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minimum future lease payments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92,139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Sublease income is not material and excluded from the table above.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July 25, 2016, we entered into a Loan and Security Agreement (the “Loan Agreement”) with SDC and subsequently amended on July 24, 2017 to provide a loan of up to $30.0 million in one or more advances to SDC (the “Loan Facility”). 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February 7, 2018, $30.0 million of outstanding advances and related accrued interest were repaid in full, and the Loan Agreement was terminated (</w:t>
      </w:r>
      <w:r>
        <w:rPr>
          <w:rFonts w:ascii="Arial" w:cs="Arial" w:eastAsia="Arial" w:hAnsi="Arial"/>
          <w:sz w:val="16"/>
          <w:szCs w:val="16"/>
          <w:i w:val="1"/>
          <w:iCs w:val="1"/>
          <w:color w:val="auto"/>
        </w:rPr>
        <w:t>Refer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Note 4 “Equity Method Investments” of the Notes to Condensed Consolidated Financial Statements </w:t>
      </w:r>
      <w:r>
        <w:rPr>
          <w:rFonts w:ascii="Arial" w:cs="Arial" w:eastAsia="Arial" w:hAnsi="Arial"/>
          <w:sz w:val="16"/>
          <w:szCs w:val="16"/>
          <w:color w:val="auto"/>
        </w:rPr>
        <w:t>for more information on our investments in SDC).</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November 27, 2017, we entered into a Purchase Agreement with one of our existing single source suppliers. Under the terms of the original agreement, we are required to purchase a minimum approximately $305.2 million of aligner materials over the next four years. On May 29, 2018, we entered into an amendment to the Purchase Agreement with the existing single source supplier to increase the original term of the agreement to five years and total minimum purchase amount to approximately $425.9 million.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September 30, 2018, we had no material off-balance sheet arrangements that have, or are reasonably likely to have, a current or future material effect on our consolidated financial condition, results of operations, liquidity, capital expenditures or capital resources other than certain items disclosed in Note 9 “Commitments and Contingencies” of the Notes to Consolidated Financial Statements included in our Annual Report on Form 10-K.</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to facilitate transactions in our services and products, we indemnify certain parties: customers, vendors, lessors, and other parties with respect to certain matters, including, but not limited to, services to be provided by us and intellectual property infringement claims made by third parties. In addition, we have entered into indemnification agreements with our directors and our executive officers that will require us, among other things, to indemnify them against certain liabilities that may arise by reason of their status or service as directors or officers. Several of these agreements limit the time within which an indemnification claim can be made and the amount of the claim.</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It is not possible to make a reasonable estimate of the maximum potential amount under these indemnification agreements due to the unique facts and circumstances involved in each particular agreement. Additionally, we have a limited history of prior indemnification claims and the payments we have made under such agreements have not had a material adverse effect on our results of operations, cash flows or financial position. However, to the extent that valid indemnification claims arise in the future, future payments by us could be significant and could have a material adverse effect on our results of operations or cash flows in a particular period. As of September 30, 2018, we did not have any material indemnification claims that were probable or reasonably possible.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Summary of Stock-Based Compensation Expense</w:t>
      </w:r>
    </w:p>
    <w:p>
      <w:pPr>
        <w:spacing w:after="0" w:line="15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2018, the 2005 Incentive Plan (as amended) has a total reserve of 27,783,379 shares of which 6,063,095 shares are available for issuance.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Stock-based compensation is based on the estimated fair value of awards, net of estimated forfeitures, and recognized over the requisite service period. Estimated forfeitures are based on historical experience at the time of grant and may be revised, if necessary, in subsequent periods if actual forfeitures differ from those estimates. The stock-based compensation related to all of our stock-based awards and employee stock purchases for the three and nine months ended September 30, 2018 and 2017 is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408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Cost of net revenues</w:t>
            </w:r>
          </w:p>
        </w:tc>
        <w:tc>
          <w:tcPr>
            <w:tcW w:w="2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2,747</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15,403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41,197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34,814</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8"/>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7,974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6,684</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2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19,198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51,918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44,024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20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8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15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not granted options since 2011 and all outstanding options were fully vested and associated stock-based compensation expenses was recognized as of December 31, 2015. Activity for the nine months ended September 30, 2018 under the stock option plans is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 Shares</w:t>
            </w: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 Average</w:t>
            </w:r>
          </w:p>
        </w:tc>
        <w:tc>
          <w:tcPr>
            <w:tcW w:w="22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6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 Options</w:t>
            </w:r>
          </w:p>
        </w:tc>
        <w:tc>
          <w:tcPr>
            <w:tcW w:w="18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Contractual Term (in</w:t>
            </w:r>
          </w:p>
        </w:tc>
        <w:tc>
          <w:tcPr>
            <w:tcW w:w="220" w:type="dxa"/>
            <w:vAlign w:val="bottom"/>
          </w:tcPr>
          <w:p>
            <w:pPr>
              <w:spacing w:after="0"/>
              <w:rPr>
                <w:sz w:val="12"/>
                <w:szCs w:val="12"/>
                <w:color w:val="auto"/>
              </w:rPr>
            </w:pPr>
          </w:p>
        </w:tc>
        <w:tc>
          <w:tcPr>
            <w:tcW w:w="126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 per Share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w:t>
            </w:r>
          </w:p>
        </w:tc>
        <w:tc>
          <w:tcPr>
            <w:tcW w:w="174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74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Cancelled or expired</w:t>
            </w:r>
          </w:p>
        </w:tc>
        <w:tc>
          <w:tcPr>
            <w:tcW w:w="18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color w:val="auto"/>
              </w:rPr>
              <w:t>Outstanding as of September 30, 2018</w:t>
            </w:r>
          </w:p>
        </w:tc>
        <w:tc>
          <w:tcPr>
            <w:tcW w:w="17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67"/>
        </w:trPr>
        <w:tc>
          <w:tcPr>
            <w:tcW w:w="4920" w:type="dxa"/>
            <w:vAlign w:val="bottom"/>
            <w:tcBorders>
              <w:bottom w:val="single" w:sz="8" w:color="CCEEFF"/>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Vested at September 30, 2018</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September 30, 2018</w:t>
            </w: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20"/>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Units (“RSUs”)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of RSUs is based on our closing stock price on the date of grant. A summary for the nine months ended September 30, 2018 is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6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60" w:type="dxa"/>
            <w:vAlign w:val="bottom"/>
          </w:tcPr>
          <w:p>
            <w:pPr>
              <w:jc w:val="center"/>
              <w:ind w:right="14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 RSUs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 Term (in</w:t>
            </w:r>
          </w:p>
        </w:tc>
        <w:tc>
          <w:tcPr>
            <w:tcW w:w="220" w:type="dxa"/>
            <w:vAlign w:val="bottom"/>
          </w:tcPr>
          <w:p>
            <w:pPr>
              <w:spacing w:after="0"/>
              <w:rPr>
                <w:sz w:val="12"/>
                <w:szCs w:val="12"/>
                <w:color w:val="auto"/>
              </w:rPr>
            </w:pPr>
          </w:p>
        </w:tc>
        <w:tc>
          <w:tcPr>
            <w:tcW w:w="12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2017</w:t>
            </w:r>
          </w:p>
        </w:tc>
        <w:tc>
          <w:tcPr>
            <w:tcW w:w="17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1,341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ind w:right="37"/>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261.52</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73.44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105.53</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September 30, 2018</w:t>
            </w:r>
          </w:p>
        </w:tc>
        <w:tc>
          <w:tcPr>
            <w:tcW w:w="1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976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126.52</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381,710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2018, we expect to recognize $90.1 million of total unamortized compensation cost, net of estimated forfeitures, related to RSUs over a weighted average period of 2.1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Market-performance Based Restricted Stock Units (“MSUs”)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grant MSUs to our executive officers. Each MSU represents the right to one share of Align’s common stock. The actual number of MSUs which will be eligible to vest will be based on the performance of Align’s stock price relative to the performance of a stock market index over the vesting period, and certain MSU grants are also based on Align’s stock price at the end of the performance period. Generally, the vesting period of MSUs is three years. For MSUs granted during the nine months ended September 30, 2018, the maximum number of MSUs which will be eligible to vest are between 250% to 300% of the MSUs initially granted.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MSU performance for the nine months ended September 30,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4"/>
                <w:szCs w:val="14"/>
                <w:color w:val="auto"/>
              </w:rPr>
            </w:pPr>
          </w:p>
        </w:tc>
        <w:tc>
          <w:tcPr>
            <w:tcW w:w="1260" w:type="dxa"/>
            <w:vAlign w:val="bottom"/>
          </w:tcPr>
          <w:p>
            <w:pPr>
              <w:jc w:val="center"/>
              <w:ind w:right="144"/>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60" w:type="dxa"/>
            <w:vAlign w:val="bottom"/>
          </w:tcPr>
          <w:p>
            <w:pPr>
              <w:jc w:val="center"/>
              <w:ind w:right="18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 MSUs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Contractual Term (in</w:t>
            </w:r>
          </w:p>
        </w:tc>
        <w:tc>
          <w:tcPr>
            <w:tcW w:w="220" w:type="dxa"/>
            <w:vAlign w:val="bottom"/>
          </w:tcPr>
          <w:p>
            <w:pPr>
              <w:spacing w:after="0"/>
              <w:rPr>
                <w:sz w:val="12"/>
                <w:szCs w:val="12"/>
                <w:color w:val="auto"/>
              </w:rPr>
            </w:pPr>
          </w:p>
        </w:tc>
        <w:tc>
          <w:tcPr>
            <w:tcW w:w="126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Grant Date Fair Value</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2017</w:t>
            </w:r>
          </w:p>
        </w:tc>
        <w:tc>
          <w:tcPr>
            <w:tcW w:w="16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428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78.53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ind w:right="56"/>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266.78</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released</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62.41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2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September 30, 2018</w:t>
            </w:r>
          </w:p>
        </w:tc>
        <w:tc>
          <w:tcPr>
            <w:tcW w:w="16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324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215.07</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126,834</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September 30, 2018, we expect to recognize $44.6 million of total unamortized compensation cost, net of estimated forfeitures, related to MSUs over a weighted average period of 1.4 years.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 (“ESPP”)</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May 2010, our shareholders approved the 2010 Employee Stock Purchase Plan (the “2010 Purchase Plan”) which will continue until terminated by either the Board of Directors or its administrator. The maximum number of shares available for purchase under the 2010 Purchase Plan is 2,400,000 shares. As of September 30, 2018, we have 571,778 shares available for future issuance.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the option component of the 2010 Purchase Plan shares was estimated at the grant date using the Black-Scholes option pricing model with the following weighted average assumptions: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244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5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497"/>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r>
      <w:tr>
        <w:trPr>
          <w:trHeight w:val="270"/>
        </w:trPr>
        <w:tc>
          <w:tcPr>
            <w:tcW w:w="58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37"/>
        </w:trPr>
        <w:tc>
          <w:tcPr>
            <w:tcW w:w="580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320" w:type="dxa"/>
            <w:vAlign w:val="bottom"/>
          </w:tcPr>
          <w:p>
            <w:pPr>
              <w:spacing w:after="0"/>
              <w:rPr>
                <w:sz w:val="20"/>
                <w:szCs w:val="20"/>
                <w:color w:val="auto"/>
              </w:rPr>
            </w:pPr>
          </w:p>
        </w:tc>
        <w:tc>
          <w:tcPr>
            <w:tcW w:w="1000" w:type="dxa"/>
            <w:vAlign w:val="bottom"/>
          </w:tcPr>
          <w:p>
            <w:pPr>
              <w:jc w:val="right"/>
              <w:ind w:right="457"/>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47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97"/>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1.2</w:t>
            </w:r>
          </w:p>
        </w:tc>
      </w:tr>
      <w:tr>
        <w:trPr>
          <w:trHeight w:val="27"/>
        </w:trPr>
        <w:tc>
          <w:tcPr>
            <w:tcW w:w="5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Weighted average fair value at grant date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rPr>
              <w:t>109.58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7"/>
              <w:spacing w:after="0"/>
              <w:rPr>
                <w:sz w:val="20"/>
                <w:szCs w:val="20"/>
                <w:color w:val="auto"/>
              </w:rPr>
            </w:pPr>
            <w:r>
              <w:rPr>
                <w:rFonts w:ascii="Arial" w:cs="Arial" w:eastAsia="Arial" w:hAnsi="Arial"/>
                <w:sz w:val="18"/>
                <w:szCs w:val="18"/>
                <w:color w:val="auto"/>
              </w:rPr>
              <w:t>94.71</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31.36</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September 30, 2018, there was $3.3 million of total unamortized compensation costs related to employee stock purchases which we expect to be recognized over a weighted average period of 0.6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Common Stock Repurchase Programs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April 2014 Repurchase Program</w:t>
      </w:r>
    </w:p>
    <w:p>
      <w:pPr>
        <w:spacing w:after="0" w:line="22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In January 2017, we repurchased on the open market approximately 0.04 million shares of our common stock at an average price of $96.37 per share, including commission for an aggregate purchase price of approximately $3.8 million, completing the April 2014 Repurchase Program.</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April 2016 Repurchase Program</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2016, we announced that our Board of Directors had authorized a plan to repurchase up to $300.0 million of our common stock (“April 2016 Repurchase Program”).</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May 2017, we entered into an accelerated share repurchase agreement ("2017 ASR") to repurchase $50.0 million of our common stock. The 2017 ASR was completed in August 2017. We received a total of approximately 0.4 million shares for an average share price of $146.48. In November 2017, we repurchased on the open market approximately 0.2 million shares of our common stock at an average price of $243.40 per share, including commissions, for an aggregate purchase price of approximately $50.0 million.</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2018, we repurchased on the open market approximately 0.4 million shares of our common stock at an average price of $252.24 per share, including commissions, for an aggregate purchase price of approximately $100.0 million. In July 2018, we repurchased on the open market approximately 0.3 million shares of our common stock at an average price of $350.08 per share, including commissions, for an aggregate purchase price of approximately $100.0 million, completing the April 2016 Repurchase Program.</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May 2018 Repurchase Program</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May 2018, we announced that our Board of Directors had authorized a plan to repurchase up to $600.0 million of our common stock (“May 2018 Repurchase Program”).</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2018, we repurchased on the open market approximately 0.1 million shares of our common stock at an average price of $356.54 per share, including commissions, for an aggregate purchase price of approximately $50.0 million. As of September 30, 2018, we have $550.0 million remaining under the May 2018 Repurchase Program.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Accounting for Income Taxes</w:t>
      </w:r>
    </w:p>
    <w:p>
      <w:pPr>
        <w:spacing w:after="0" w:line="1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provision for income taxes was $24.6 million and $18.3 million for the three months ended September 30, 2018 and 2017, respectively, representing effective tax rates of 19.4% and 17.9%, respectively. Our provision for income taxes was $35.2 million and $26.5 million for the nine months ended September 30, 2018 and 2017, respectively, representing effective tax rates of 10.2% and 10.5%, respectively. As a result of the enactment of the TCJA, the U.S. federal statutory tax rate decreased from 35% to 21% effective January 1, 2018. Our effective tax rate differs from the statutory federal income tax rate of 21% and 35% for both the three and nine months ended September 30, 2018 and 2017, respectively, mainly as a result of the recognition of excess tax benefits related to stock-based compensation, tax benefits recognized related to a statute of limitations expiration, and certain foreign earnings, primarily from the Netherlands and Costa Rica, being taxed at lower tax rates, partially offset by unfavorable tax impact of the TCJA, including non-deductible officers’ compensation described below.</w:t>
      </w:r>
    </w:p>
    <w:p>
      <w:pPr>
        <w:spacing w:after="0" w:line="19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August 21, 2018, the Internal Revenue Service (“IRS”) issued Notice 2018-68, which provides interpretative guidance on the application of the new executive compensation deduction limits enacted under the TCJA. Based upon our assessment of this new guidance, for the three and nine months ended September 30, 2018, we reversed $20.2 million of previously recognized tax benefits associated with officers’ stock-based compensation deductions.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effective tax rate for the three months ended September 30, 2018 compared to the same period in 2017 is primarily attributable to the unfavorable tax impact from IRS Notice 2018-68 related to limitations on officers’ compensation deductions as described above and reduced tax benefits from foreign earnings being taxed at a lower tax rate due to the decrease in corporate tax rate from 35% to 21%, partially offset by the recognition of tax benefits related to a statute of limitations expiration.</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decrease in effective tax rate for the nine months ended September 30, 2018 compared to the same period in 2017 is mainly driven by the decrease in corporate tax rate from 35% to 21% pursuant to the enactment of the TCJA, the recognition of tax benefits related to a statute of limitations expiration and the increase in excess tax benefits related to stock-based compensation, offset in part by the unfavorable tax impact of the TCJA including non-deductible officers’ compensation under IRS Notice 2018-68 described above and reduced tax benefits from foreign earnings being taxed at a lower rate.</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our assessment of the impact of IRS Notice 2018-68 mentioned above, we reversed $20.2 million of previously recognized tax benefits associated with officers’ stock-based compensation deductions which resulted in a tax expense accrual of $14.7 million for the three months ended September 30, 2018. For the nine months ended September 30, 2018, the excess tax benefits we recognized in our provision for income taxes related to stock-based compensation was $25.2 million.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exercise significant judgment in regards to estimates of future market growth, forecasted earnings and projected taxable income in determining the provision for income taxes and for purposes of assessing our ability to utilize any future benefit from deferred tax assets.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file U.S. federal, U.S. state, and non-U.S. income tax returns. Our major tax jurisdictions include U.S. federal, the State of California and the Netherlands. For U.S. federal and state tax returns, we are no longer subject to tax examinations for years before 2015. We are currently under examination by the Internal Revenue Service for tax years 2015 and 2016. With few exceptions, we are no longer subject to examination by foreign tax authorities for years before 2010.</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and nine months ended September 30, 2018, a statute of limitations expired. As a result, we recorded approximately $29.0 million of previously unrecognized tax benefits and reduced our accrual for interest by approximately $2.9 million.</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total gross unrecognized tax benefits, excluding interest and penalties, was $27.1 million and $47.7 million as of September 30, 2018 and December 31, 2017, respectively, all of which would impact our effective tax rate if recognized. Our total interest and penalties accrued as of September 30, 2018 was $0.8 million. We have elected to recognize interest and penalties related to unrecognized tax benefits as a component of income taxes. The timing and resolution of income tax examinations is uncertain, and the amounts ultimately paid, if any, upon resolution of issues raised by the taxing authorities may differ materially from the amounts accrued for each year. Although it is possible that our balance of gross unrecognized tax benefits could materially change in the next 12 months, given the uncertainty in the development of ongoing income tax examinations, we are unable to estimate the full range of possible adjustments to this balance.</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2017, the Costa Rica Ministry of Foreign Trade, an agency of the Government of Costa Rica, granted an extension of certain income tax incentives for an additional twelve year period. Under these incentives, all of the income in Costa Rica is subject to a reduced tax rate. In order to receive the benefit of these incentives, we must hire specified numbers of employees and maintain certain minimum levels of fixed asset investment in Costa Rica. If we do not fulfill these conditions for any reason, our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incentive could lapse and our income in Costa Rica would be subject to taxation at higher rates which could have a negative impact on our operating results. The Costa Rica corporate income tax rate that would apply, absent the incentives, is 30% for 2018 and 2017. For the three and nine months ended September 30, 2018, the reduction in income taxes due to the reduced tax rate was minimal.</w:t>
      </w:r>
    </w:p>
    <w:p>
      <w:pPr>
        <w:spacing w:after="0" w:line="18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of December 31, 2017, our undistributed earnings totaled $606.5 million. We reassessed our capital needs and investment strategy with regard to the indefinite reinvestment of the undistributed earnings from certain of our foreign subsidiaries as a result of the one-time transition tax on cumulative foreign earnings under the TCJA. During the fourth quarter of 2017, we determined that approximately $591.9 million of the total undistributed foreign earnings are no longer considered to be indefinitely reinvested outside the U.S. As a result, in the fourth quarter of 2017, we recorded a deferred tax liability of approximately $3.3 million, which represents the provisional amount of U.S. state income taxes that would be due in the event these foreign earnings are distributed. The remaining amount of undistributed foreign earnings of approximately $14.7 million continues to be indefinitely reinvested in our international operations. Since U.S. federal income tax has already been provided under the provisions of the TCJA, the additional tax impact of the distribution of such foreign earnings to the U.S. parent would be limited to U.S. state income and withholding taxes and is not significant.</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2017, we recorded a provisional tax charge for the estimated impact of the TCJA of $84.3 million, of which $73.9 million was related to a provisional transition tax liability on the mandatory deemed repatriation of foreign earnings and $10.4 million was related to the remeasurement of certain deferred tax assets and liabilities. During the nine months ended September 30, 2018, the cumulative additional provisional tax charge recorded was $3.3 million, primarily resulting from further analysis of our cumulative foreign earnings balances affecting the U.S. transition tax liability and the corresponding state tax impact. As we complete our analysis of the TJCA, we may make further adjustments to the provisional amounts, which may impact our provision for income taxes in the period(s) in which the adjustments are made.</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TCJA subjects a U.S. shareholder to tax on global intangible low-taxed income (“GILTI”) earned by certain foreign subsidiaries. The FASB Staff Q&amp;A, Topic 740, No. 5, Accounting for Global Intangible Low-Taxed Income, states that an entity can make an accounting policy election to either recognize deferred taxes for temporary basis differences expected to reverse as GILTI in future years or provide for the tax expense related to GILTI in the year the tax is incurred as a period expense only. Given the complexity of the GILTI provisions, we are still evaluating the effects of the GILTI provisions and have not yet determined our accounting policy. As of September 30, 2018, we are still evaluating the GILTI provisions and our analysis of future taxable income that is subject to GILTI. We have included GILTI related to current-year operations only in our estimated annual effective tax rate and have not provided additional GILTI on deferred items.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Income per Share</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Basic net income per share is computed using the weighted average number of shares of common stock outstanding during the period. Diluted net income per share is computed using the weighted average number of shares of common stock, adjusted for any dilutive effect of potential common stock. Potential common stock, computed using the treasury stock method, includes RSUs, MSUs, stock options and our ESPP.</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per share attributable to common stock (in thousands, except per share amounts):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23"/>
        </w:trPr>
        <w:tc>
          <w:tcPr>
            <w:tcW w:w="4920" w:type="dxa"/>
            <w:vAlign w:val="bottom"/>
          </w:tcPr>
          <w:p>
            <w:pPr>
              <w:ind w:left="40"/>
              <w:spacing w:after="0"/>
              <w:rPr>
                <w:sz w:val="20"/>
                <w:szCs w:val="20"/>
                <w:color w:val="auto"/>
              </w:rPr>
            </w:pPr>
            <w:r>
              <w:rPr>
                <w:rFonts w:ascii="Arial" w:cs="Arial" w:eastAsia="Arial" w:hAnsi="Arial"/>
                <w:sz w:val="18"/>
                <w:szCs w:val="18"/>
                <w:color w:val="auto"/>
              </w:rPr>
              <w:t>Numerator:</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4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100,872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82,555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302,843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221,154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Denominator:</w:t>
            </w:r>
          </w:p>
        </w:tc>
        <w:tc>
          <w:tcPr>
            <w:tcW w:w="1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 basic</w:t>
            </w:r>
          </w:p>
        </w:tc>
        <w:tc>
          <w:tcPr>
            <w:tcW w:w="1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80,111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80,163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80,122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80,086</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Arial" w:cs="Arial" w:eastAsia="Arial" w:hAnsi="Arial"/>
                <w:sz w:val="18"/>
                <w:szCs w:val="18"/>
                <w:color w:val="auto"/>
              </w:rPr>
              <w:t>Dilutive effect of potential common stock</w:t>
            </w: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shares, diluted</w:t>
            </w:r>
          </w:p>
        </w:tc>
        <w:tc>
          <w:tcPr>
            <w:tcW w:w="1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81,359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81,789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81,538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81,757</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income per share, basic</w:t>
            </w:r>
          </w:p>
        </w:tc>
        <w:tc>
          <w:tcPr>
            <w:tcW w:w="1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8"/>
                <w:szCs w:val="18"/>
                <w:color w:val="auto"/>
              </w:rPr>
              <w:t>Net income per share, diluted</w:t>
            </w:r>
          </w:p>
        </w:tc>
        <w:tc>
          <w:tcPr>
            <w:tcW w:w="1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1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140" w:type="dxa"/>
            <w:vAlign w:val="bottom"/>
            <w:vMerge w:val="restart"/>
          </w:tcPr>
          <w:p>
            <w:pPr>
              <w:jc w:val="right"/>
              <w:ind w:right="170"/>
              <w:spacing w:after="0"/>
              <w:rPr>
                <w:sz w:val="20"/>
                <w:szCs w:val="20"/>
                <w:color w:val="auto"/>
              </w:rPr>
            </w:pPr>
            <w:r>
              <w:rPr>
                <w:rFonts w:ascii="Arial" w:cs="Arial" w:eastAsia="Arial" w:hAnsi="Arial"/>
                <w:sz w:val="18"/>
                <w:szCs w:val="18"/>
                <w:color w:val="auto"/>
              </w:rPr>
              <w:t>24</w:t>
            </w: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2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nine months ended September 30, 2018 and 2017, potentially anti-dilutive shares excluded from diluted net income per share related to RSUs, MSUs, stock options and ESPP were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Segments and Geographical Information</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5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Operating segments are defined as components of an enterprise for which separate financial information is available that is evaluated regularly by the Chief Operating Decision Maker (“CODM”), or decision-making group, in deciding how to allocate resources and in assessing performance. Our CODM is our Chief Executive Officer. We report segment information based on the management approach. The management approach designates the internal reporting used by CODM for decision making and performance assessment as the basis for determining our reportable segments. The performance measures of our reportable segments include net revenues, gross profit and income from operations. Income from operations for each segment includes all geographic revenues, related cost of net revenues and operating expenses directly attributable to the segment. Certain operating expenses are attributable to operating segments and each allocation is measured differently based on the specific facts and circumstances of the costs being allocated. Costs not specifically allocated to segment income from operations include various corporate expenses such as stock-based compensation and costs related to IT, facilities, human resources, accounting and finance, legal and regulatory, and other separately managed general and administrative costs outside the operating segments.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group our operations into two reportable segments: Clear Aligner segment and Scanner segment.</w:t>
      </w:r>
    </w:p>
    <w:p>
      <w:pPr>
        <w:spacing w:after="0" w:line="225" w:lineRule="exact"/>
        <w:rPr>
          <w:sz w:val="20"/>
          <w:szCs w:val="20"/>
          <w:color w:val="auto"/>
        </w:rPr>
      </w:pPr>
    </w:p>
    <w:p>
      <w:pPr>
        <w:ind w:left="660" w:hanging="247"/>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Clear Aligner segment consists of Comprehensive Products, Non-Comprehensive Products and Non-Case revenues as defined below:</w:t>
      </w:r>
    </w:p>
    <w:p>
      <w:pPr>
        <w:spacing w:after="0" w:line="182"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Comprehensive Products include, but not limited to, Invisalign Comprehensive, Invisalign Full, Invisalign Teen, Invisalign Assist and Invisalign First.</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Non-Comprehensive Products include, but not limited to, Invisalign Express, Invisalign Lite and Invisalign Go in addition to revenues from the sale of aligners to SDC under our supply agreement.</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Non-Case includes, but not limited to, Vivera retainers along with our training and ancillary products for treating malocclusion.</w:t>
      </w:r>
    </w:p>
    <w:p>
      <w:pPr>
        <w:spacing w:after="0" w:line="225"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These reportable operating segments are based on how our CODM views and evaluates our operations as well as allocation of resources. The following information relates to these segments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4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6060" w:type="dxa"/>
            <w:vAlign w:val="bottom"/>
          </w:tcPr>
          <w:p>
            <w:pPr>
              <w:ind w:left="360"/>
              <w:spacing w:after="0"/>
              <w:rPr>
                <w:sz w:val="20"/>
                <w:szCs w:val="20"/>
                <w:color w:val="auto"/>
              </w:rPr>
            </w:pPr>
            <w:r>
              <w:rPr>
                <w:rFonts w:ascii="Arial" w:cs="Arial" w:eastAsia="Arial" w:hAnsi="Arial"/>
                <w:sz w:val="18"/>
                <w:szCs w:val="18"/>
                <w:color w:val="auto"/>
              </w:rPr>
              <w:t>Clear Aligner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427,087</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341,611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1,245,833</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945,046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Scanner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78,202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43,656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186,639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107,044</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net revenues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505,289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385,267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1,432,472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9"/>
              </w:rPr>
              <w:t>1,052,090</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Gross profit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20"/>
              <w:spacing w:after="0"/>
              <w:rPr>
                <w:sz w:val="20"/>
                <w:szCs w:val="20"/>
                <w:color w:val="auto"/>
              </w:rPr>
            </w:pPr>
            <w:r>
              <w:rPr>
                <w:rFonts w:ascii="Arial" w:cs="Arial" w:eastAsia="Arial" w:hAnsi="Arial"/>
                <w:sz w:val="18"/>
                <w:szCs w:val="18"/>
                <w:color w:val="auto"/>
              </w:rPr>
              <w:t>Clear Aligner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321,772</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266,285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950,360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737,046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Scanner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114,411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61,984</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gross profit</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371,781</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292,488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1,064,771</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799,030</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Clear Aligner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182,667</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154,614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534,408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403,264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Scanner</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31,498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65,250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28,324</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(88,957)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(253,567)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(187,583)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income from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125,208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98,763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346,091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244,005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Clear Aligner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20,361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15,607</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Scanner</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1,237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3,510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Unallocated corporate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5,664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7,860</w:t>
            </w:r>
          </w:p>
        </w:tc>
        <w:tc>
          <w:tcPr>
            <w:tcW w:w="0" w:type="dxa"/>
            <w:vAlign w:val="bottom"/>
          </w:tcPr>
          <w:p>
            <w:pPr>
              <w:spacing w:after="0"/>
              <w:rPr>
                <w:sz w:val="1"/>
                <w:szCs w:val="1"/>
                <w:color w:val="auto"/>
              </w:rPr>
            </w:pP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 depreciation and amortization</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14,119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9,972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38,185</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26,715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reconciles total segment income from operations in the table above to net income before provision for income taxes and equity losses of investee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34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6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segment income from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214,165</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168,139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599,658</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431,588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corporate expenses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(88,957)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(253,567)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(187,583)</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Total income from operations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125,208</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98,763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346,091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244,005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6,327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4,462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4,145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Net income before provision for income taxes and equity in losses of investee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126,605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102,513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344,659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252,612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60"/>
              <w:spacing w:after="0"/>
              <w:rPr>
                <w:sz w:val="20"/>
                <w:szCs w:val="20"/>
                <w:color w:val="auto"/>
              </w:rPr>
            </w:pPr>
            <w:r>
              <w:rPr>
                <w:rFonts w:ascii="Arial" w:cs="Arial" w:eastAsia="Arial" w:hAnsi="Arial"/>
                <w:sz w:val="18"/>
                <w:szCs w:val="18"/>
                <w:b w:val="1"/>
                <w:bCs w:val="1"/>
                <w:i w:val="1"/>
                <w:iCs w:val="1"/>
                <w:color w:val="auto"/>
              </w:rPr>
              <w:t>Geographical Information</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tcPr>
          <w:p>
            <w:pPr>
              <w:ind w:left="340"/>
              <w:spacing w:after="0"/>
              <w:rPr>
                <w:sz w:val="20"/>
                <w:szCs w:val="20"/>
                <w:color w:val="auto"/>
              </w:rPr>
            </w:pPr>
            <w:r>
              <w:rPr>
                <w:rFonts w:ascii="Arial" w:cs="Arial" w:eastAsia="Arial" w:hAnsi="Arial"/>
                <w:sz w:val="18"/>
                <w:szCs w:val="18"/>
                <w:color w:val="auto"/>
              </w:rPr>
              <w:t>Net revenues are presented below by geographic area (in thousands):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24"/>
                <w:szCs w:val="24"/>
                <w:color w:val="auto"/>
              </w:rPr>
            </w:pPr>
          </w:p>
        </w:tc>
        <w:tc>
          <w:tcPr>
            <w:tcW w:w="234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4"/>
        </w:trPr>
        <w:tc>
          <w:tcPr>
            <w:tcW w:w="606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263,349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217,758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754,472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608,052</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The Netherlands</w:t>
            </w:r>
          </w:p>
        </w:tc>
        <w:tc>
          <w:tcPr>
            <w:tcW w:w="3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141,405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109,068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437,364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318,399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China</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52,874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116,891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59,195</w:t>
            </w:r>
          </w:p>
        </w:tc>
        <w:tc>
          <w:tcPr>
            <w:tcW w:w="0" w:type="dxa"/>
            <w:vAlign w:val="bottom"/>
          </w:tcPr>
          <w:p>
            <w:pPr>
              <w:spacing w:after="0"/>
              <w:rPr>
                <w:sz w:val="1"/>
                <w:szCs w:val="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Other International</w:t>
            </w:r>
          </w:p>
        </w:tc>
        <w:tc>
          <w:tcPr>
            <w:tcW w:w="3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47,661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31,476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123,745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66,444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505,289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385,267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1,432,472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9"/>
              </w:rPr>
              <w:t>1,052,090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420" w:hanging="88"/>
        <w:spacing w:after="0"/>
        <w:tabs>
          <w:tab w:leader="none" w:pos="42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Net revenues are attributed to countries based on location of where revenues are recognized.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Tangible long-lived assets are presented below by geographic area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December 31, 2017</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Long-lived assets </w:t>
            </w:r>
            <w:r>
              <w:rPr>
                <w:rFonts w:ascii="Arial" w:cs="Arial" w:eastAsia="Arial" w:hAnsi="Arial"/>
                <w:sz w:val="25"/>
                <w:szCs w:val="25"/>
                <w:color w:val="auto"/>
                <w:vertAlign w:val="superscript"/>
              </w:rPr>
              <w:t>2</w:t>
            </w: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The Netherlands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195,790</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143,673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United States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135,369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128,171</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Costa Rica</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71,437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30,738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Mexico</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34,272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25,090</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China</w:t>
            </w:r>
          </w:p>
        </w:tc>
        <w:tc>
          <w:tcPr>
            <w:tcW w:w="14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33,955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5,480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20,807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15,641</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long-lived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491,630</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348,793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ind w:left="340"/>
        <w:spacing w:after="0"/>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 xml:space="preserve"> Long-lived assets are attributed to countries based on entity that owns the assets.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4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include, among other things, our expectations regarding the anticipated impact of our new products and product enhancements will have on doctor utilization and our market share, our expectations regarding product mix and product adoption, our expectations regarding the existence and impact of seasonality, our expectations regarding the sales growth of our intra-oral scanner sales in international markets, our expectations regarding the financial and strategic benefits of establishing regional order acquisition, treatment planning and manufacturing facilities, as well as the anticipated timing of such facilities being operational, our expectations regarding the continued expansion of our international markets, our intention to open additional Invisalign Experience program locations, impact of the U.S. Tax Cuts and Jobs Act, the level of our operating expenses and gross margins and other factors beyond our control, as well as other statements regarding our future operations, financial condition and prospects and business strategies. These statements may contain words such as “expects,” “anticipates,” “intends,” “plans,” “believes,” “estimates,” or other words indicating future results. These forward-looking statements are subject to certain risks and uncertainties that could cause actual results to differ materially from those reflected in the forward-looking statements. Factors that could cause or contribute to such differences include, but are not limited to, those discussed in Item 2 “Management’s Discussion and Analysis of Financial Condition and Results of Operations,” and in particular, the risks discussed below in Part 2, Item 1A “Risk Factors.” We undertake no obligation to revise or update these forward-looking statements. Given these risks and uncertainties, readers are cautioned not to place undue reliance on such forward-looking statements.</w:t>
      </w:r>
    </w:p>
    <w:p>
      <w:pPr>
        <w:spacing w:after="0" w:line="172"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together with our condensed consolidated financial statements and related notes included elsewhere in this Quarterly Report on Form 10-Q and with our audited consolidated financial statements included in our Annual Report on Form 10-K for the year ended December 31, 2017, as filed with the Securities and Exchange Commission.</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Our goal is to establish Invisalign clear aligners as the standard method for treating malocclusion and to establish the iTero intraoral scanner as the preferred scanning device for 3D digital scans, ultimately driving increased product adoption by dental professionals. We intend to achieve this by continued focus and execution of our strategic growth drivers set forth in the </w:t>
      </w:r>
      <w:r>
        <w:rPr>
          <w:rFonts w:ascii="Arial" w:cs="Arial" w:eastAsia="Arial" w:hAnsi="Arial"/>
          <w:sz w:val="17"/>
          <w:szCs w:val="17"/>
          <w:i w:val="1"/>
          <w:iCs w:val="1"/>
          <w:color w:val="auto"/>
        </w:rPr>
        <w:t>Business Strategy</w:t>
      </w:r>
      <w:r>
        <w:rPr>
          <w:rFonts w:ascii="Arial" w:cs="Arial" w:eastAsia="Arial" w:hAnsi="Arial"/>
          <w:sz w:val="17"/>
          <w:szCs w:val="17"/>
          <w:color w:val="auto"/>
        </w:rPr>
        <w:t xml:space="preserve"> section in our Annual Report on Form 10-K.</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successful execution of our business strategy in 2018 and beyond may be affected by a number of other factors including:</w:t>
      </w:r>
    </w:p>
    <w:p>
      <w:pPr>
        <w:spacing w:after="0" w:line="225" w:lineRule="exact"/>
        <w:rPr>
          <w:sz w:val="20"/>
          <w:szCs w:val="20"/>
          <w:color w:val="auto"/>
        </w:rPr>
      </w:pPr>
    </w:p>
    <w:p>
      <w:pPr>
        <w:jc w:val="both"/>
        <w:ind w:left="660" w:hanging="260"/>
        <w:spacing w:after="0" w:line="29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New Invisalign Product Portfolio and Pricing</w:t>
      </w:r>
      <w:r>
        <w:rPr>
          <w:rFonts w:ascii="Arial" w:cs="Arial" w:eastAsia="Arial" w:hAnsi="Arial"/>
          <w:sz w:val="16"/>
          <w:szCs w:val="16"/>
          <w:color w:val="auto"/>
        </w:rPr>
        <w:t>. In July 2018, we launched a new expanded Invisalign product portfolio which includes new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greater flexibility to treat a broader range of patients. The new Invisalign product portfolio offers doctors more choices by extending desirable features across the entire portfolio and creating new Invisalign treatment packages, as well as new options to treat young patients with early mixed dentition (with a mixture of primary/baby and permanent teeth). The new end-to-end Invisalign product portfolio includes clear aligner product offerings for almost every patient age group and case complexity to make it easier for our doctors to tailor treatment planning to the needs of each patient. Pricing and availability for the new Invisalign product offerings and the associated terms and conditions vary by region.</w:t>
      </w:r>
    </w:p>
    <w:p>
      <w:pPr>
        <w:spacing w:after="0" w:line="164" w:lineRule="exact"/>
        <w:rPr>
          <w:rFonts w:ascii="Arial" w:cs="Arial" w:eastAsia="Arial" w:hAnsi="Arial"/>
          <w:sz w:val="16"/>
          <w:szCs w:val="16"/>
          <w:color w:val="auto"/>
        </w:rPr>
      </w:pPr>
    </w:p>
    <w:p>
      <w:pPr>
        <w:jc w:val="both"/>
        <w:ind w:left="660" w:hanging="260"/>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New Invisalign Products and Feature Enhancements</w:t>
      </w:r>
      <w:r>
        <w:rPr>
          <w:rFonts w:ascii="Arial" w:cs="Arial" w:eastAsia="Arial" w:hAnsi="Arial"/>
          <w:sz w:val="18"/>
          <w:szCs w:val="18"/>
          <w:color w:val="auto"/>
        </w:rPr>
        <w:t>. Product innovation drives greater treatment predictability, clinical applicability and ease of use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customers which supports adoption of Invisalign treatment in their practices. Our focus is to develop solutions and features to treat a wide range of cases from simple to complex.</w:t>
      </w:r>
    </w:p>
    <w:p>
      <w:pPr>
        <w:spacing w:after="0" w:line="181" w:lineRule="exact"/>
        <w:rPr>
          <w:rFonts w:ascii="Arial" w:cs="Arial" w:eastAsia="Arial" w:hAnsi="Arial"/>
          <w:sz w:val="18"/>
          <w:szCs w:val="18"/>
          <w:color w:val="auto"/>
        </w:rPr>
      </w:pPr>
    </w:p>
    <w:p>
      <w:pPr>
        <w:jc w:val="both"/>
        <w:ind w:left="1300" w:hanging="252"/>
        <w:spacing w:after="0" w:line="255"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 March 2017, we announced Invisalign Teen with mandibular advancement, the first clear aligner solution for Class II correction in growing tween and teen patients. This offering combines the benefits of the most advanced clear aligner system in the world with features for moving the lower jaw forward while simultaneously aligning the teeth. Invisalign Teen with mandibular advancement is available in Canada and in select Europe, Middle East and Africa (“EMEA”), Asia Pacific (“APAC”) and Latin America (“LATAM”) countries and, in October 2018, we received 510(k) clearance from the United States (“U.S.”) Food and Drug Administration with commercial availability in the U.S. starting November 2018.</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1300" w:hanging="252"/>
        <w:spacing w:after="0" w:line="255"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Beginning July 2018, Invisalign First clear aligners, a treatment option designed with features specifically for younger patients with early mixed dentition, are commercially available to Invisalign-trained doctors in the U.S., Canada, Australia, New Zealand, Japan, and the EMEA region. Phase 1 treatment is early interceptive orthodontic treatment for young patients, traditionally done through arch expanders, or partial metal braces, before all permanent teeth have erupted, typically at ages six through ten years. Invisalign First clear aligners are designed specifically to address a broad range of younger patients’ malocclusions, including shorter clinical crowns, management of erupting dentition and predictable dental arch expansion.</w:t>
      </w:r>
    </w:p>
    <w:p>
      <w:pPr>
        <w:spacing w:after="0" w:line="193" w:lineRule="exact"/>
        <w:rPr>
          <w:rFonts w:ascii="Arial" w:cs="Arial" w:eastAsia="Arial" w:hAnsi="Arial"/>
          <w:sz w:val="18"/>
          <w:szCs w:val="18"/>
          <w:color w:val="auto"/>
        </w:rPr>
      </w:pPr>
    </w:p>
    <w:p>
      <w:pPr>
        <w:jc w:val="both"/>
        <w:ind w:left="1300" w:hanging="252"/>
        <w:spacing w:after="0" w:line="25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April 2018, we announced a new Invisalign Go product with more user-friendly iTero digital chairside experience and greater flexibility to treat a wider range of mild to moderate cases, such as crowded or gap teeth that require teeth straightening prior to restorative treatments. Invisalign Go also incorporates new data-driven clinical protocols for predictable tooth movement and automated case assessments that leverages our Invisalign patients treated to date. These improvements make it easier for dentists to tailor their treatment plans to the individual needs of each patient.</w:t>
      </w:r>
    </w:p>
    <w:p>
      <w:pPr>
        <w:spacing w:after="0" w:line="18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We believe that over the long-term, clinical solutions and treatment tools will increase adoption of Invisalign and increase sales of our intraoral scanners; however, it is difficult to predict the rate of adoption which may vary by region and channel.</w:t>
      </w:r>
    </w:p>
    <w:p>
      <w:pPr>
        <w:spacing w:after="0" w:line="170" w:lineRule="exact"/>
        <w:rPr>
          <w:sz w:val="20"/>
          <w:szCs w:val="20"/>
          <w:color w:val="auto"/>
        </w:rPr>
      </w:pPr>
    </w:p>
    <w:p>
      <w:pPr>
        <w:ind w:left="660" w:hanging="247"/>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New iTero Products and Technology Innovation. </w:t>
      </w:r>
      <w:r>
        <w:rPr>
          <w:rFonts w:ascii="Arial" w:cs="Arial" w:eastAsia="Arial" w:hAnsi="Arial"/>
          <w:sz w:val="18"/>
          <w:szCs w:val="18"/>
          <w:color w:val="auto"/>
        </w:rPr>
        <w:t>The iTero scanner is an important component to customer experience and is central to a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as well as overall customer utilization of Invisalign.</w:t>
      </w:r>
    </w:p>
    <w:p>
      <w:pPr>
        <w:spacing w:after="0" w:line="170" w:lineRule="exact"/>
        <w:rPr>
          <w:rFonts w:ascii="Arial" w:cs="Arial" w:eastAsia="Arial" w:hAnsi="Arial"/>
          <w:sz w:val="18"/>
          <w:szCs w:val="18"/>
          <w:color w:val="auto"/>
        </w:rPr>
      </w:pPr>
    </w:p>
    <w:p>
      <w:pPr>
        <w:jc w:val="both"/>
        <w:ind w:left="1300" w:hanging="239"/>
        <w:spacing w:after="0" w:line="293"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In April 2018, we expanded the iTero Element portfolio with the launch of the iTero Element 2 and the iTero Element Flex scanners, building on the existing high precision, full-color imaging and fast scan times of the iTero Element portfolio while streamlining orthodontic and restorative workflows. The next-generation iTero Element 2 is designed for greater performance with 2X faster start-up and 25% faster scan processing time compared to the iTero Element. The new iTero Element Flex wand-only configuration is a portable scanner for easy transport from office to office. iTero Element 2 and iTero Element Flex scanners are available in the U.S., Canada, the majority of European countries as well as select APAC markets. The existing iTero Element scanner will continue to be available in all markets.</w:t>
      </w:r>
    </w:p>
    <w:p>
      <w:pPr>
        <w:spacing w:after="0" w:line="164" w:lineRule="exact"/>
        <w:rPr>
          <w:rFonts w:ascii="Arial" w:cs="Arial" w:eastAsia="Arial" w:hAnsi="Arial"/>
          <w:sz w:val="16"/>
          <w:szCs w:val="16"/>
          <w:color w:val="auto"/>
        </w:rPr>
      </w:pPr>
    </w:p>
    <w:p>
      <w:pPr>
        <w:jc w:val="both"/>
        <w:ind w:left="1300" w:hanging="239"/>
        <w:spacing w:after="0" w:line="25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 April 2018, we announced that we received market approval for the iTero Element intra-oral scanner from the China Food and Drug Administration, and we began offering this scanner in China. The iTero Element scanner launch in China not only supports growth of our base Invisalign clear aligner business but also represents a major milestone for digital dentistry in China. As we continue to expand the markets into which we sell our intra-oral scanners, we expect continued growth for the foreseeable future due to the size of the market opportunity and our relatively low market penetration of these regions.</w:t>
      </w:r>
    </w:p>
    <w:p>
      <w:pPr>
        <w:spacing w:after="0" w:line="188" w:lineRule="exact"/>
        <w:rPr>
          <w:sz w:val="20"/>
          <w:szCs w:val="20"/>
          <w:color w:val="auto"/>
        </w:rPr>
      </w:pPr>
    </w:p>
    <w:p>
      <w:pPr>
        <w:jc w:val="both"/>
        <w:ind w:left="660"/>
        <w:spacing w:after="0" w:line="297" w:lineRule="auto"/>
        <w:rPr>
          <w:sz w:val="20"/>
          <w:szCs w:val="20"/>
          <w:color w:val="auto"/>
        </w:rPr>
      </w:pPr>
      <w:r>
        <w:rPr>
          <w:rFonts w:ascii="Arial" w:cs="Arial" w:eastAsia="Arial" w:hAnsi="Arial"/>
          <w:sz w:val="16"/>
          <w:szCs w:val="16"/>
          <w:color w:val="auto"/>
        </w:rPr>
        <w:t>The use of iTero and other digital scanners for Invisalign case submission in place of PVS impressions continues to grow and remains a positive catalyst for Invisalign utilization. International (includes EMEA and APAC) scans experienced an increase from 47.3% in the second quarter of 2018 to 51.6% in the third quarter of 2018 while Americas (includes North America and LATAM) stayed relatively flat at 68.8%. We believe that over the long-term, technology innovation and added features and functionality of our iTero scanners will increase adoption of Invisalign and increase sales of our intraoral scanners; however, it is difficult to predict the rate of adoption which may vary by region and channel.</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247"/>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Invisalign Adoption. </w:t>
      </w:r>
      <w:r>
        <w:rPr>
          <w:rFonts w:ascii="Arial" w:cs="Arial" w:eastAsia="Arial" w:hAnsi="Arial"/>
          <w:sz w:val="18"/>
          <w:szCs w:val="18"/>
          <w:color w:val="auto"/>
        </w:rPr>
        <w:t>Our goal is to establish Invisalign as the treatment of choice for treating malocclusion ultimately driving increased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adoption and frequency of use by dental professionals, also known as “utilization rates.” Our quarterly utilization rates for the last nine quarters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90170</wp:posOffset>
            </wp:positionV>
            <wp:extent cx="5196840" cy="29673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9684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1460" w:hanging="74"/>
        <w:spacing w:after="0" w:line="257" w:lineRule="auto"/>
        <w:tabs>
          <w:tab w:leader="none" w:pos="1460" w:val="left"/>
        </w:tabs>
        <w:numPr>
          <w:ilvl w:val="2"/>
          <w:numId w:val="17"/>
        </w:numPr>
        <w:rPr>
          <w:rFonts w:ascii="Arial" w:cs="Arial" w:eastAsia="Arial" w:hAnsi="Arial"/>
          <w:sz w:val="9"/>
          <w:szCs w:val="9"/>
          <w:b w:val="1"/>
          <w:bCs w:val="1"/>
          <w:color w:val="auto"/>
        </w:rPr>
      </w:pPr>
      <w:r>
        <w:rPr>
          <w:rFonts w:ascii="Arial" w:cs="Arial" w:eastAsia="Arial" w:hAnsi="Arial"/>
          <w:sz w:val="14"/>
          <w:szCs w:val="14"/>
          <w:color w:val="auto"/>
        </w:rPr>
        <w:t>Invisalign utilization rates = # of cases shipped divided by # of doctors cases were shipped to. Beginning in the first quarter of 2018, we report International region to include EMEA and APAC. LATAM is excluded from above chart as it is not material. Our historical utilization numbers have been recasted to reflect this new classification.</w:t>
      </w:r>
    </w:p>
    <w:p>
      <w:pPr>
        <w:spacing w:after="0" w:line="189" w:lineRule="exact"/>
        <w:rPr>
          <w:rFonts w:ascii="Arial" w:cs="Arial" w:eastAsia="Arial" w:hAnsi="Arial"/>
          <w:sz w:val="9"/>
          <w:szCs w:val="9"/>
          <w:b w:val="1"/>
          <w:bCs w:val="1"/>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utilization in the third quarter of 2018 increased to 6.1 cases per doctor compared to 5.5 in the third quarter of 2017.</w:t>
      </w:r>
    </w:p>
    <w:p>
      <w:pPr>
        <w:spacing w:after="0" w:line="171" w:lineRule="exact"/>
        <w:rPr>
          <w:rFonts w:ascii="Arial" w:cs="Arial" w:eastAsia="Arial" w:hAnsi="Arial"/>
          <w:sz w:val="18"/>
          <w:szCs w:val="18"/>
          <w:color w:val="auto"/>
        </w:rPr>
      </w:pPr>
    </w:p>
    <w:p>
      <w:pPr>
        <w:jc w:val="both"/>
        <w:ind w:left="1620" w:hanging="396"/>
        <w:spacing w:after="0" w:line="257"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North America: </w:t>
      </w:r>
      <w:r>
        <w:rPr>
          <w:rFonts w:ascii="Arial" w:cs="Arial" w:eastAsia="Arial" w:hAnsi="Arial"/>
          <w:sz w:val="18"/>
          <w:szCs w:val="18"/>
          <w:color w:val="auto"/>
        </w:rPr>
        <w:t>Utilization among our North American orthodontist customers reached an all time high in the third quarter of 2018 at</w:t>
      </w:r>
      <w:r>
        <w:rPr>
          <w:rFonts w:ascii="Arial" w:cs="Arial" w:eastAsia="Arial" w:hAnsi="Arial"/>
          <w:sz w:val="18"/>
          <w:szCs w:val="18"/>
          <w:i w:val="1"/>
          <w:iCs w:val="1"/>
          <w:color w:val="auto"/>
        </w:rPr>
        <w:t xml:space="preserve"> </w:t>
      </w:r>
      <w:r>
        <w:rPr>
          <w:rFonts w:ascii="Arial" w:cs="Arial" w:eastAsia="Arial" w:hAnsi="Arial"/>
          <w:sz w:val="18"/>
          <w:szCs w:val="18"/>
          <w:color w:val="auto"/>
        </w:rPr>
        <w:t>17.4 cases per doctor. Compared to 13.8 cases per doctor utilized in the third quarter of 2017, the increase in North American orthodontist utilization in the third quarter of 2018 reflects improvements in product and technology which continues to strengthen our doctors’ clinical confidence such that they now utilize Invisalign more often and on more complex cases, including their teenage patients.</w:t>
      </w:r>
    </w:p>
    <w:p>
      <w:pPr>
        <w:spacing w:after="0" w:line="134" w:lineRule="exact"/>
        <w:rPr>
          <w:rFonts w:ascii="Arial" w:cs="Arial" w:eastAsia="Arial" w:hAnsi="Arial"/>
          <w:sz w:val="18"/>
          <w:szCs w:val="18"/>
          <w:color w:val="auto"/>
        </w:rPr>
      </w:pPr>
    </w:p>
    <w:p>
      <w:pPr>
        <w:jc w:val="both"/>
        <w:ind w:left="1620" w:hanging="396"/>
        <w:spacing w:after="0" w:line="264"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International doctor utilization was 5.5 cases per doctor in the third quarter of 2018 compared to 5.3 in the third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2017. The increase in International utilization reflects growth in the APAC region due to increasing adoption of the product due in part to its ability to treat more complex cases.</w:t>
      </w:r>
    </w:p>
    <w:p>
      <w:pPr>
        <w:spacing w:after="0" w:line="181" w:lineRule="exact"/>
        <w:rPr>
          <w:sz w:val="20"/>
          <w:szCs w:val="20"/>
          <w:color w:val="auto"/>
        </w:rPr>
      </w:pPr>
    </w:p>
    <w:p>
      <w:pPr>
        <w:jc w:val="both"/>
        <w:ind w:left="660" w:firstLine="324"/>
        <w:spacing w:after="0" w:line="276" w:lineRule="auto"/>
        <w:rPr>
          <w:sz w:val="20"/>
          <w:szCs w:val="20"/>
          <w:color w:val="auto"/>
        </w:rPr>
      </w:pPr>
      <w:r>
        <w:rPr>
          <w:rFonts w:ascii="Arial" w:cs="Arial" w:eastAsia="Arial" w:hAnsi="Arial"/>
          <w:sz w:val="17"/>
          <w:szCs w:val="17"/>
          <w:color w:val="auto"/>
        </w:rPr>
        <w:t>We expect that over the long-term, our utilization rates will gradually improve as a result of advancements in product and technology, which continue to strengthen our doctors’ clinical confidence in the use of Invisalign. In addition, since the teenage and younger market makes up 75% of the 12 million total orthodontic case starts each year, and as we continue to drive adoption of teenage and younger patients through sales and marketing programs, we expect our utilization rate to improve. Our utilization rates, however, may fluctuate from period to period due to a variety of factors, including seasonal trends in our business along with adoption rates of new products and features.</w:t>
      </w:r>
    </w:p>
    <w:p>
      <w:pPr>
        <w:spacing w:after="0" w:line="119" w:lineRule="exact"/>
        <w:rPr>
          <w:sz w:val="20"/>
          <w:szCs w:val="20"/>
          <w:color w:val="auto"/>
        </w:rPr>
      </w:pPr>
    </w:p>
    <w:p>
      <w:pPr>
        <w:jc w:val="both"/>
        <w:ind w:left="660" w:hanging="247"/>
        <w:spacing w:after="0" w:line="302" w:lineRule="auto"/>
        <w:tabs>
          <w:tab w:leader="none" w:pos="66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Number of New Invisalign Doctors Trained. </w:t>
      </w:r>
      <w:r>
        <w:rPr>
          <w:rFonts w:ascii="Arial" w:cs="Arial" w:eastAsia="Arial" w:hAnsi="Arial"/>
          <w:sz w:val="16"/>
          <w:szCs w:val="16"/>
          <w:color w:val="auto"/>
        </w:rPr>
        <w:t>We continue to expand our Invisalign customer base through the training of new doctors. During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2018, we trained 14,385 new Invisalign doctors of which 5,595 were trained in the Americas region and 8,790 in the International region. In 2017, Invisalign growth was driven primarily by increased utilization across all regions as well as by the continued expansion of our customer base as we trained a total of 16,830 new Invisalign doctors, of which 61% were trained in the International region.</w:t>
      </w:r>
    </w:p>
    <w:p>
      <w:pPr>
        <w:spacing w:after="0" w:line="154" w:lineRule="exact"/>
        <w:rPr>
          <w:rFonts w:ascii="Arial" w:cs="Arial" w:eastAsia="Arial" w:hAnsi="Arial"/>
          <w:sz w:val="16"/>
          <w:szCs w:val="16"/>
          <w:i w:val="1"/>
          <w:iCs w:val="1"/>
          <w:color w:val="auto"/>
        </w:rPr>
      </w:pPr>
    </w:p>
    <w:p>
      <w:pPr>
        <w:jc w:val="both"/>
        <w:ind w:left="660" w:hanging="247"/>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Invisalign Growth. </w:t>
      </w:r>
      <w:r>
        <w:rPr>
          <w:rFonts w:ascii="Arial" w:cs="Arial" w:eastAsia="Arial" w:hAnsi="Arial"/>
          <w:sz w:val="18"/>
          <w:szCs w:val="18"/>
          <w:color w:val="auto"/>
        </w:rPr>
        <w:t>We continue to focus our efforts towards increasing Invisalign clear aligner adoption by dental professionals in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 EMEA and APAC markets. On a year-over-year basis, our International Invisalign volume increased 45.6% driven primarily by increased adoption as well as expansion of our customer base in both the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both"/>
        <w:ind w:left="660"/>
        <w:spacing w:after="0" w:line="342" w:lineRule="auto"/>
        <w:rPr>
          <w:sz w:val="20"/>
          <w:szCs w:val="20"/>
          <w:color w:val="auto"/>
        </w:rPr>
      </w:pPr>
      <w:r>
        <w:rPr>
          <w:rFonts w:ascii="Arial" w:cs="Arial" w:eastAsia="Arial" w:hAnsi="Arial"/>
          <w:sz w:val="16"/>
          <w:szCs w:val="16"/>
          <w:color w:val="auto"/>
        </w:rPr>
        <w:t xml:space="preserve">EMEA and APAC regions. We continue to see growth from our international orthodontists and general practitioner (“GP”) customers and are seeing more positive traction in the GP channel from segmenting our sales and marketing resources and programs specifically around each customer channel. In addition, we believe that continuous product introductions and feature improvements, such as Invisalign treatment with mandibular advancement, provide our customers with continued confidence in treating complex cases as well as teen-aged patients with Invisalign clear aligners. In 2018, we are continuing to expand in our existing markets through targeted investments in sales coverage and professional marketing and education programs, along with consumer marketing in selected country markets. We expect International revenues to continue to grow at a faster rate than the Americas for the foreseeable future due to our continued investment in international market expansion, the size of the market opportunity, and our relatively low market penetration of these regions (Refer to </w:t>
      </w:r>
      <w:r>
        <w:rPr>
          <w:rFonts w:ascii="Arial" w:cs="Arial" w:eastAsia="Arial" w:hAnsi="Arial"/>
          <w:sz w:val="16"/>
          <w:szCs w:val="16"/>
          <w:i w:val="1"/>
          <w:iCs w:val="1"/>
          <w:color w:val="auto"/>
        </w:rPr>
        <w:t>Item 1A Risk Factors - “We are exposed to fluctuations in currency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exchange rates, which could negatively affect our financial condition and results of operations.” </w:t>
      </w:r>
      <w:r>
        <w:rPr>
          <w:rFonts w:ascii="Arial" w:cs="Arial" w:eastAsia="Arial" w:hAnsi="Arial"/>
          <w:sz w:val="16"/>
          <w:szCs w:val="16"/>
          <w:color w:val="auto"/>
        </w:rPr>
        <w:t>for information on related risk factors).</w:t>
      </w:r>
    </w:p>
    <w:p>
      <w:pPr>
        <w:spacing w:after="0" w:line="85" w:lineRule="exact"/>
        <w:rPr>
          <w:sz w:val="20"/>
          <w:szCs w:val="20"/>
          <w:color w:val="auto"/>
        </w:rPr>
      </w:pPr>
    </w:p>
    <w:p>
      <w:pPr>
        <w:ind w:left="900" w:hanging="487"/>
        <w:spacing w:after="0" w:line="254" w:lineRule="auto"/>
        <w:tabs>
          <w:tab w:leader="none" w:pos="657"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Establish Regional Order Acquisition, Treatment Planning and Manufacturing Operations. </w:t>
      </w:r>
      <w:r>
        <w:rPr>
          <w:rFonts w:ascii="Arial" w:cs="Arial" w:eastAsia="Arial" w:hAnsi="Arial"/>
          <w:sz w:val="18"/>
          <w:szCs w:val="18"/>
          <w:color w:val="auto"/>
        </w:rPr>
        <w:t>We will continue to establish and expand additional order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acquisition, treatment planning and manufacturing operations closer to our international customers in order to improve our operational efficiency and to provide doctors confidence in using Invisalign clear aligners to treat more patients and more often. In July 2018, we moved into new facilities in Costa Rica in order to support our expanding treatment planning as well as other support functions and, in September 2018, we opened a treatment planning facility in Madrid, Spain. In the fourth quarter of 2018, we expect to open a manufacturing facility in Ziyang, China as well as another new facility in Costa Rica to support treatment planning and administrative activities (Refer to </w:t>
      </w:r>
      <w:r>
        <w:rPr>
          <w:rFonts w:ascii="Arial" w:cs="Arial" w:eastAsia="Arial" w:hAnsi="Arial"/>
          <w:sz w:val="18"/>
          <w:szCs w:val="18"/>
          <w:i w:val="1"/>
          <w:iCs w:val="1"/>
          <w:color w:val="auto"/>
        </w:rPr>
        <w:t>Item 1A Risk Factors - “As we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continue to grow, we are subject to growth related risks, including risks related to excess or constrained capacity at our existing facilities.”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related risk factors).</w:t>
      </w:r>
    </w:p>
    <w:p>
      <w:pPr>
        <w:spacing w:after="0" w:line="138" w:lineRule="exact"/>
        <w:rPr>
          <w:rFonts w:ascii="Arial" w:cs="Arial" w:eastAsia="Arial" w:hAnsi="Arial"/>
          <w:sz w:val="18"/>
          <w:szCs w:val="18"/>
          <w:color w:val="auto"/>
        </w:rPr>
      </w:pPr>
    </w:p>
    <w:p>
      <w:pPr>
        <w:ind w:left="900" w:hanging="487"/>
        <w:spacing w:after="0" w:line="259" w:lineRule="auto"/>
        <w:tabs>
          <w:tab w:leader="none" w:pos="657"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Invisalign Experience Program. </w:t>
      </w:r>
      <w:r>
        <w:rPr>
          <w:rFonts w:ascii="Arial" w:cs="Arial" w:eastAsia="Arial" w:hAnsi="Arial"/>
          <w:sz w:val="18"/>
          <w:szCs w:val="18"/>
          <w:color w:val="auto"/>
        </w:rPr>
        <w:t>We currently have four Invisalign Experience locations in California, Pennsylvania and Maryland. We are</w:t>
      </w:r>
      <w:r>
        <w:rPr>
          <w:rFonts w:ascii="Arial" w:cs="Arial" w:eastAsia="Arial" w:hAnsi="Arial"/>
          <w:sz w:val="18"/>
          <w:szCs w:val="18"/>
          <w:i w:val="1"/>
          <w:iCs w:val="1"/>
          <w:color w:val="auto"/>
        </w:rPr>
        <w:t xml:space="preserve"> </w:t>
      </w:r>
      <w:r>
        <w:rPr>
          <w:rFonts w:ascii="Arial" w:cs="Arial" w:eastAsia="Arial" w:hAnsi="Arial"/>
          <w:sz w:val="18"/>
          <w:szCs w:val="18"/>
          <w:color w:val="auto"/>
        </w:rPr>
        <w:t>expanding the interactive brand experience program and we expect to add eight new Invisalign Experience locations in major U.S. cities in the fourth quarter of 2018. The program expansion is designed to address the rapidly-evolving consumer market for clear aligners and connects consumers interested in Invisalign treatment with Invisalign doctors in their communities.</w:t>
      </w:r>
    </w:p>
    <w:p>
      <w:pPr>
        <w:spacing w:after="0" w:line="132" w:lineRule="exact"/>
        <w:rPr>
          <w:rFonts w:ascii="Arial" w:cs="Arial" w:eastAsia="Arial" w:hAnsi="Arial"/>
          <w:sz w:val="18"/>
          <w:szCs w:val="18"/>
          <w:color w:val="auto"/>
        </w:rPr>
      </w:pPr>
    </w:p>
    <w:p>
      <w:pPr>
        <w:ind w:left="660" w:hanging="247"/>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expect expenses to increase in fiscal year 2018 due in part to:</w:t>
      </w:r>
    </w:p>
    <w:p>
      <w:pPr>
        <w:spacing w:after="0" w:line="171" w:lineRule="exact"/>
        <w:rPr>
          <w:rFonts w:ascii="Arial" w:cs="Arial" w:eastAsia="Arial" w:hAnsi="Arial"/>
          <w:sz w:val="18"/>
          <w:szCs w:val="18"/>
          <w:i w:val="1"/>
          <w:iCs w:val="1"/>
          <w:color w:val="auto"/>
        </w:rPr>
      </w:pPr>
    </w:p>
    <w:p>
      <w:pPr>
        <w:ind w:left="1300" w:hanging="239"/>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Investments in international expansion in new country markets;</w:t>
      </w:r>
    </w:p>
    <w:p>
      <w:pPr>
        <w:spacing w:after="0" w:line="171" w:lineRule="exact"/>
        <w:rPr>
          <w:rFonts w:ascii="Arial" w:cs="Arial" w:eastAsia="Arial" w:hAnsi="Arial"/>
          <w:sz w:val="18"/>
          <w:szCs w:val="18"/>
          <w:color w:val="auto"/>
        </w:rPr>
      </w:pPr>
    </w:p>
    <w:p>
      <w:pPr>
        <w:ind w:left="1300" w:hanging="239"/>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Product and technology innovation to enhance product efficiency and operational productivity;</w:t>
      </w:r>
    </w:p>
    <w:p>
      <w:pPr>
        <w:spacing w:after="0" w:line="171" w:lineRule="exact"/>
        <w:rPr>
          <w:rFonts w:ascii="Arial" w:cs="Arial" w:eastAsia="Arial" w:hAnsi="Arial"/>
          <w:sz w:val="18"/>
          <w:szCs w:val="18"/>
          <w:color w:val="auto"/>
        </w:rPr>
      </w:pPr>
    </w:p>
    <w:p>
      <w:pPr>
        <w:ind w:left="1300" w:hanging="239"/>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Investments in manufacturing capacity and facilities to enhance our regional capabilities;</w:t>
      </w:r>
    </w:p>
    <w:p>
      <w:pPr>
        <w:spacing w:after="0" w:line="171" w:lineRule="exact"/>
        <w:rPr>
          <w:rFonts w:ascii="Arial" w:cs="Arial" w:eastAsia="Arial" w:hAnsi="Arial"/>
          <w:sz w:val="18"/>
          <w:szCs w:val="18"/>
          <w:color w:val="auto"/>
        </w:rPr>
      </w:pPr>
    </w:p>
    <w:p>
      <w:pPr>
        <w:ind w:left="1300" w:hanging="239"/>
        <w:spacing w:after="0"/>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Increases in legal expenses primarily related to the continued protection of our intellectual property rights, including our patents; and</w:t>
      </w:r>
    </w:p>
    <w:p>
      <w:pPr>
        <w:spacing w:after="0" w:line="182" w:lineRule="exact"/>
        <w:rPr>
          <w:rFonts w:ascii="Arial" w:cs="Arial" w:eastAsia="Arial" w:hAnsi="Arial"/>
          <w:sz w:val="17"/>
          <w:szCs w:val="17"/>
          <w:color w:val="auto"/>
        </w:rPr>
      </w:pPr>
    </w:p>
    <w:p>
      <w:pPr>
        <w:ind w:left="1300" w:hanging="239"/>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Increases in sales, marketing, advertising and customer support resources.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believe that these investments will position us to increase our revenues and continue to grow our market share.</w:t>
      </w:r>
    </w:p>
    <w:p>
      <w:pPr>
        <w:spacing w:after="0" w:line="171" w:lineRule="exact"/>
        <w:rPr>
          <w:sz w:val="20"/>
          <w:szCs w:val="20"/>
          <w:color w:val="auto"/>
        </w:rPr>
      </w:pPr>
    </w:p>
    <w:p>
      <w:pPr>
        <w:ind w:left="660" w:hanging="247"/>
        <w:spacing w:after="0"/>
        <w:tabs>
          <w:tab w:leader="none" w:pos="660" w:val="left"/>
        </w:tabs>
        <w:numPr>
          <w:ilvl w:val="1"/>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Stock Repurchases:</w:t>
      </w:r>
    </w:p>
    <w:p>
      <w:pPr>
        <w:spacing w:after="0" w:line="171" w:lineRule="exact"/>
        <w:rPr>
          <w:rFonts w:ascii="Arial" w:cs="Arial" w:eastAsia="Arial" w:hAnsi="Arial"/>
          <w:sz w:val="18"/>
          <w:szCs w:val="18"/>
          <w:i w:val="1"/>
          <w:iCs w:val="1"/>
          <w:color w:val="auto"/>
        </w:rPr>
      </w:pPr>
    </w:p>
    <w:p>
      <w:pPr>
        <w:ind w:left="1300" w:right="20" w:hanging="239"/>
        <w:spacing w:after="0" w:line="277" w:lineRule="auto"/>
        <w:tabs>
          <w:tab w:leader="none" w:pos="1300" w:val="left"/>
        </w:tabs>
        <w:numPr>
          <w:ilvl w:val="2"/>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April 2016 Repurchase Program. </w:t>
      </w:r>
      <w:r>
        <w:rPr>
          <w:rFonts w:ascii="Arial" w:cs="Arial" w:eastAsia="Arial" w:hAnsi="Arial"/>
          <w:sz w:val="18"/>
          <w:szCs w:val="18"/>
          <w:color w:val="auto"/>
        </w:rPr>
        <w:t>In July 2018, we repurchased $100.0 million of our common stock on the open market, completing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April 2016 Repurchase Program.</w:t>
      </w:r>
    </w:p>
    <w:p>
      <w:pPr>
        <w:spacing w:after="0" w:line="116" w:lineRule="exact"/>
        <w:rPr>
          <w:rFonts w:ascii="Arial" w:cs="Arial" w:eastAsia="Arial" w:hAnsi="Arial"/>
          <w:sz w:val="18"/>
          <w:szCs w:val="18"/>
          <w:i w:val="1"/>
          <w:iCs w:val="1"/>
          <w:color w:val="auto"/>
        </w:rPr>
      </w:pPr>
    </w:p>
    <w:p>
      <w:pPr>
        <w:jc w:val="both"/>
        <w:ind w:left="1300" w:hanging="239"/>
        <w:spacing w:after="0" w:line="279" w:lineRule="auto"/>
        <w:tabs>
          <w:tab w:leader="none" w:pos="1300" w:val="left"/>
        </w:tabs>
        <w:numPr>
          <w:ilvl w:val="2"/>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May 2018 Repurchase Program. </w:t>
      </w:r>
      <w:r>
        <w:rPr>
          <w:rFonts w:ascii="Arial" w:cs="Arial" w:eastAsia="Arial" w:hAnsi="Arial"/>
          <w:sz w:val="17"/>
          <w:szCs w:val="17"/>
          <w:color w:val="auto"/>
        </w:rPr>
        <w:t>In May 2018, we announced that our Board of Directors had authorized a plan to repurchase up to $600.0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our common stock. In August 2018, we repurchased $50.0 million of our common stock on the open market. As of September 30, 2018, we have $550.0 million remaining under the May 2018 Repurchase Program (</w:t>
      </w:r>
      <w:r>
        <w:rPr>
          <w:rFonts w:ascii="Arial" w:cs="Arial" w:eastAsia="Arial" w:hAnsi="Arial"/>
          <w:sz w:val="17"/>
          <w:szCs w:val="17"/>
          <w:i w:val="1"/>
          <w:iCs w:val="1"/>
          <w:color w:val="auto"/>
        </w:rPr>
        <w:t>Refer to Note 11 “Common 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Repurchase Programs” of the Notes to Condensed Consolidated Financial Statements </w:t>
      </w:r>
      <w:r>
        <w:rPr>
          <w:rFonts w:ascii="Arial" w:cs="Arial" w:eastAsia="Arial" w:hAnsi="Arial"/>
          <w:sz w:val="17"/>
          <w:szCs w:val="17"/>
          <w:color w:val="auto"/>
        </w:rPr>
        <w:t>for details on our stock repurchase programs).</w:t>
      </w:r>
    </w:p>
    <w:p>
      <w:pPr>
        <w:spacing w:after="0" w:line="117" w:lineRule="exact"/>
        <w:rPr>
          <w:rFonts w:ascii="Arial" w:cs="Arial" w:eastAsia="Arial" w:hAnsi="Arial"/>
          <w:sz w:val="17"/>
          <w:szCs w:val="17"/>
          <w:color w:val="auto"/>
        </w:rPr>
      </w:pPr>
    </w:p>
    <w:p>
      <w:pPr>
        <w:jc w:val="both"/>
        <w:ind w:left="660" w:hanging="260"/>
        <w:spacing w:after="0" w:line="272"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U.S. Tax Cuts and Jobs Act. </w:t>
      </w:r>
      <w:r>
        <w:rPr>
          <w:rFonts w:ascii="Arial" w:cs="Arial" w:eastAsia="Arial" w:hAnsi="Arial"/>
          <w:sz w:val="17"/>
          <w:szCs w:val="17"/>
          <w:color w:val="auto"/>
        </w:rPr>
        <w:t>The U.S. Tax Cuts and Jobs Act (the “TCJA”) was enacted into law on December 22, 2017 and impacted our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tax rate. The TCJA made significant changes to the Internal Revenue Code, including, but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We recorded a provisional one-time transition tax liability of $73.9 million in the fourth quarter of 2017 and an additional $3.3 million during the nine months ended September 30, 2018. As we complete our analysis of the TJCA, we may make further adjustments to the provisional amounts, which may impact our provision for income taxes in the period(s) in which the adjustments are made.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660" w:hanging="260"/>
        <w:spacing w:after="0" w:line="270"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SmileDirectClub. </w:t>
      </w:r>
      <w:r>
        <w:rPr>
          <w:rFonts w:ascii="Arial" w:cs="Arial" w:eastAsia="Arial" w:hAnsi="Arial"/>
          <w:sz w:val="17"/>
          <w:szCs w:val="17"/>
          <w:color w:val="auto"/>
        </w:rPr>
        <w:t>On April 5, 2018, SDC Financial LLC, SmileDirectClub LLC, and the Members of SDC Financial LLC other than Align</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(collectively, the "SDC Entities") initiated proceedings that seek, among other forms of relief, to preliminarily and permanently enjoin all activities related to the Invisalign Experience program, require Align to close the existing Invisalign locations, prohibit Align from opening any additional locations, and allow the SDC Entities to exercise a right to repurchase all of Align's SDC Financial LLC membership interests for a purchase price equal to the current capital account balance. On June 29, 2018, the Chancery Court for Davidson County, Tennessee, denied the SDC Entities’ request for a temporary injunction to prevent Align from opening additional Invisalign locations. Align continues to dispute the allegations that it has breached its obligations to the SDC Entities under applicable law and will oppose and vigorously defend itself at the arbitration proceedings currently scheduled for December 2018. This dispute does not impact Align’s existing supply agreement with SDC which remains in place through December 2019 and includes a minimum volume commitment. We are currently unable to predict the outcome of this dispute and therefore cannot determine the likelihood of loss, if any, nor estimate a range of possible loss.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Net Revenues by Reportable Segment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group our operations into two reportable segments: Clear Aligner segment and Scanner segment.</w:t>
      </w:r>
    </w:p>
    <w:p>
      <w:pPr>
        <w:spacing w:after="0" w:line="225" w:lineRule="exact"/>
        <w:rPr>
          <w:sz w:val="20"/>
          <w:szCs w:val="20"/>
          <w:color w:val="auto"/>
        </w:rPr>
      </w:pPr>
    </w:p>
    <w:p>
      <w:pPr>
        <w:ind w:left="660" w:hanging="247"/>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Clear Aligner segment consists of Comprehensive Products, Non-Comprehensive Products and Non-Case revenues as defined below:</w:t>
      </w:r>
    </w:p>
    <w:p>
      <w:pPr>
        <w:spacing w:after="0" w:line="182"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Comprehensive Products include, but not limited to, Invisalign Comprehensive, Invisalign Full, Invisalign Teen, Invisalign Assist and Invisalign First.</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Non-Comprehensive Products include, but not limited to, Invisalign Express, Invisalign Lite and Invisalign Go in addition to revenues from the sale of aligners to SmileDirectClub (“SDC”) under our supply agreement.</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Non-Case includes, but not limited to, Vivera retainers along with our training and ancillary products for treating malocclusion.</w:t>
      </w:r>
    </w:p>
    <w:p>
      <w:pPr>
        <w:spacing w:after="0" w:line="225"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Scanner segment consists of intraoral scanning systems and additional services available with the intraoral scanners that provide digital alternatives to the traditional cast models. This segment includes our iTero scanner and OrthoCAD services.</w:t>
      </w:r>
    </w:p>
    <w:p>
      <w:pPr>
        <w:spacing w:after="0" w:line="170" w:lineRule="exact"/>
        <w:rPr>
          <w:sz w:val="20"/>
          <w:szCs w:val="20"/>
          <w:color w:val="auto"/>
        </w:rPr>
      </w:pPr>
    </w:p>
    <w:p>
      <w:pPr>
        <w:ind w:left="60" w:firstLine="324"/>
        <w:spacing w:after="0" w:line="277" w:lineRule="auto"/>
        <w:rPr>
          <w:sz w:val="20"/>
          <w:szCs w:val="20"/>
          <w:color w:val="auto"/>
        </w:rPr>
      </w:pPr>
      <w:r>
        <w:rPr>
          <w:rFonts w:ascii="Arial" w:cs="Arial" w:eastAsia="Arial" w:hAnsi="Arial"/>
          <w:sz w:val="18"/>
          <w:szCs w:val="18"/>
          <w:color w:val="auto"/>
        </w:rPr>
        <w:t>Effective in the first quarter of 2018, Americas region includes North America and LATAM. International region includes EMEA and APAC. Historical data has been recasted to reflect the change.</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Net revenues for our Clear Aligner and Scanner segments by region for the three and nine months ended September 30, 2018 and 2017 are as follows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left="36"/>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6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ind w:right="236"/>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214"/>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254"/>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32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ind w:left="320"/>
              <w:spacing w:after="0"/>
              <w:rPr>
                <w:sz w:val="20"/>
                <w:szCs w:val="20"/>
                <w:color w:val="auto"/>
              </w:rPr>
            </w:pPr>
            <w:r>
              <w:rPr>
                <w:rFonts w:ascii="Arial" w:cs="Arial" w:eastAsia="Arial" w:hAnsi="Arial"/>
                <w:sz w:val="14"/>
                <w:szCs w:val="14"/>
                <w:b w:val="1"/>
                <w:bCs w:val="1"/>
                <w:color w:val="auto"/>
              </w:rPr>
              <w:t>Change</w:t>
            </w:r>
          </w:p>
        </w:tc>
        <w:tc>
          <w:tcPr>
            <w:tcW w:w="2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3260" w:type="dxa"/>
            <w:vAlign w:val="bottom"/>
          </w:tcPr>
          <w:p>
            <w:pPr>
              <w:ind w:left="40"/>
              <w:spacing w:after="0"/>
              <w:rPr>
                <w:sz w:val="20"/>
                <w:szCs w:val="20"/>
                <w:color w:val="auto"/>
              </w:rPr>
            </w:pPr>
            <w:r>
              <w:rPr>
                <w:rFonts w:ascii="Arial" w:cs="Arial" w:eastAsia="Arial" w:hAnsi="Arial"/>
                <w:sz w:val="18"/>
                <w:szCs w:val="18"/>
                <w:color w:val="auto"/>
              </w:rPr>
              <w:t>Clear Aligner revenues:</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Americas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31.7</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3260" w:type="dxa"/>
            <w:vAlign w:val="bottom"/>
          </w:tcPr>
          <w:p>
            <w:pPr>
              <w:ind w:left="38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172.2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6"/>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rPr>
              <w:t>48.7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496.9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334.2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162.7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Non-case</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7"/>
        </w:trPr>
        <w:tc>
          <w:tcPr>
            <w:tcW w:w="3260" w:type="dxa"/>
            <w:vAlign w:val="bottom"/>
          </w:tcPr>
          <w:p>
            <w:pPr>
              <w:ind w:left="40"/>
              <w:spacing w:after="0"/>
              <w:rPr>
                <w:sz w:val="20"/>
                <w:szCs w:val="20"/>
                <w:color w:val="auto"/>
              </w:rPr>
            </w:pPr>
            <w:r>
              <w:rPr>
                <w:rFonts w:ascii="Arial" w:cs="Arial" w:eastAsia="Arial" w:hAnsi="Arial"/>
                <w:sz w:val="18"/>
                <w:szCs w:val="18"/>
                <w:color w:val="auto"/>
              </w:rPr>
              <w:t>Total Clear Aligner net revenues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427.1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341.6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85.5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6"/>
              </w:rPr>
              <w:t>1,245.8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945.0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300.8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Scanner net revenues</w:t>
            </w: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34.5</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107.0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79.6</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57"/>
        </w:trPr>
        <w:tc>
          <w:tcPr>
            <w:tcW w:w="3260" w:type="dxa"/>
            <w:vAlign w:val="bottom"/>
          </w:tcPr>
          <w:p>
            <w:pPr>
              <w:ind w:left="40"/>
              <w:spacing w:after="0"/>
              <w:rPr>
                <w:sz w:val="20"/>
                <w:szCs w:val="20"/>
                <w:color w:val="auto"/>
              </w:rPr>
            </w:pPr>
            <w:r>
              <w:rPr>
                <w:rFonts w:ascii="Arial" w:cs="Arial" w:eastAsia="Arial" w:hAnsi="Arial"/>
                <w:sz w:val="18"/>
                <w:szCs w:val="18"/>
                <w:color w:val="auto"/>
              </w:rPr>
              <w:t>Total net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505.3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385.3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120.0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6"/>
              </w:rPr>
              <w:t>1,432.5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1,052.1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380.4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Clear Aligner Case Volume by Region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Case volume data which represents Clear Aligner case shipments by region for the three and nine months ended September 30, 2018 and 2017 is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3"/>
          </w:tcPr>
          <w:p>
            <w:pPr>
              <w:jc w:val="right"/>
              <w:ind w:right="1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tcPr>
          <w:p>
            <w:pPr>
              <w:jc w:val="right"/>
              <w:ind w:right="177"/>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17"/>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vMerge w:val="restart"/>
            <w:shd w:val="clear" w:color="auto" w:fill="CCEEFF"/>
          </w:tcPr>
          <w:p>
            <w:pPr>
              <w:ind w:left="40"/>
              <w:spacing w:after="0"/>
              <w:rPr>
                <w:sz w:val="20"/>
                <w:szCs w:val="20"/>
                <w:color w:val="auto"/>
              </w:rPr>
            </w:pPr>
            <w:r>
              <w:rPr>
                <w:rFonts w:ascii="Arial" w:cs="Arial" w:eastAsia="Arial" w:hAnsi="Arial"/>
                <w:sz w:val="18"/>
                <w:szCs w:val="18"/>
                <w:b w:val="1"/>
                <w:bCs w:val="1"/>
                <w:color w:val="auto"/>
              </w:rPr>
              <w:t>Region</w:t>
            </w:r>
          </w:p>
        </w:tc>
        <w:tc>
          <w:tcPr>
            <w:tcW w:w="800" w:type="dxa"/>
            <w:vAlign w:val="bottom"/>
            <w:vMerge w:val="restart"/>
            <w:shd w:val="clear" w:color="auto" w:fill="CCEEFF"/>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97"/>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ind w:right="234"/>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19"/>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57"/>
              <w:spacing w:after="0" w:line="153"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2"/>
            <w:shd w:val="clear" w:color="auto" w:fill="CCEEFF"/>
          </w:tcPr>
          <w:p>
            <w:pPr>
              <w:jc w:val="right"/>
              <w:ind w:right="40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8"/>
        </w:trPr>
        <w:tc>
          <w:tcPr>
            <w:tcW w:w="3280" w:type="dxa"/>
            <w:vAlign w:val="bottom"/>
            <w:vMerge w:val="continue"/>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4"/>
                <w:szCs w:val="14"/>
                <w:b w:val="1"/>
                <w:bCs w:val="1"/>
                <w:color w:val="auto"/>
              </w:rPr>
              <w:t>Change</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4"/>
                <w:szCs w:val="14"/>
                <w:b w:val="1"/>
                <w:bCs w:val="1"/>
                <w:color w:val="auto"/>
              </w:rPr>
              <w:t>Change</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7"/>
        </w:trPr>
        <w:tc>
          <w:tcPr>
            <w:tcW w:w="3280" w:type="dxa"/>
            <w:vAlign w:val="bottom"/>
          </w:tcPr>
          <w:p>
            <w:pPr>
              <w:ind w:left="380"/>
              <w:spacing w:after="0"/>
              <w:rPr>
                <w:sz w:val="20"/>
                <w:szCs w:val="20"/>
                <w:color w:val="auto"/>
              </w:rPr>
            </w:pPr>
            <w:r>
              <w:rPr>
                <w:rFonts w:ascii="Arial" w:cs="Arial" w:eastAsia="Arial" w:hAnsi="Arial"/>
                <w:sz w:val="18"/>
                <w:szCs w:val="18"/>
                <w:color w:val="auto"/>
              </w:rPr>
              <w:t>Americas</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205.8</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20"/>
                <w:szCs w:val="20"/>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38.8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580.3</w:t>
            </w:r>
          </w:p>
        </w:tc>
        <w:tc>
          <w:tcPr>
            <w:tcW w:w="1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8"/>
                <w:szCs w:val="18"/>
                <w:color w:val="auto"/>
              </w:rPr>
              <w:t>461.3</w:t>
            </w:r>
          </w:p>
        </w:tc>
        <w:tc>
          <w:tcPr>
            <w:tcW w:w="120" w:type="dxa"/>
            <w:vAlign w:val="bottom"/>
          </w:tcPr>
          <w:p>
            <w:pPr>
              <w:spacing w:after="0"/>
              <w:rPr>
                <w:sz w:val="20"/>
                <w:szCs w:val="20"/>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119.0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128.7</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40.3</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355.6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245.4</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57"/>
        </w:trPr>
        <w:tc>
          <w:tcPr>
            <w:tcW w:w="3280" w:type="dxa"/>
            <w:vAlign w:val="bottom"/>
          </w:tcPr>
          <w:p>
            <w:pPr>
              <w:ind w:left="40"/>
              <w:spacing w:after="0"/>
              <w:rPr>
                <w:sz w:val="20"/>
                <w:szCs w:val="20"/>
                <w:color w:val="auto"/>
              </w:rPr>
            </w:pPr>
            <w:r>
              <w:rPr>
                <w:rFonts w:ascii="Arial" w:cs="Arial" w:eastAsia="Arial" w:hAnsi="Arial"/>
                <w:sz w:val="18"/>
                <w:szCs w:val="18"/>
                <w:color w:val="auto"/>
              </w:rPr>
              <w:t>Total case volume</w:t>
            </w:r>
          </w:p>
        </w:tc>
        <w:tc>
          <w:tcPr>
            <w:tcW w:w="8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334.6</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255.4</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79.2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935.9</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706.7</w:t>
            </w:r>
          </w:p>
        </w:tc>
        <w:tc>
          <w:tcPr>
            <w:tcW w:w="12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229.1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nine months ended September 30, 2018, total net revenues increased by $120.0 million and $380.4 million as compared to the same periods in 2017, primarily as a result of Clear Aligner case and scanner volume growth across all regions.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Americas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the three months ended September 30, 2018, Americas net revenues increased by $31.7 million as compared to the same period in 2017, primarily due to case volume growth across all channels and products, which increased net revenues by $45.8 million. This increase was offset in part by lower average selling prices (“ASP”), which reduced net revenues by $14.1 million. The ASP decline was primarily a result of higher promotional discounts, which reduced revenues by $21.2 million. Additionally, unfavorable foreign exchange rates and increased additional aligner deferrals collectively reduced net revenues by $3.7 million. These factors were partially offset by higher prices on the new products introduced in July 2018 and a favorable product mix shift driven by decreased SDC revenues which carry a lower ASP, which collectively increased net revenues by $10.2 million.</w:t>
      </w:r>
    </w:p>
    <w:p>
      <w:pPr>
        <w:spacing w:after="0" w:line="17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the nine months ended September 30, 2018, Americas net revenues increased by $121.1 million as compared to the same period in 2017, primarily due to case volume growth across all channels and products, which increased net revenues by $142.2 million. This increase was offset in part by lower ASP, which reduced net revenues by $21.1 million. The ASP decline was the result of higher promotional discounts, which reduced net revenues by $34.2 million, partially offset by higher prices from the new products introduced in July 2018, which increased net revenues by $11.2 million.</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International</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For the three months ended September 30, 2018, International net revenues increased by $48.7 million as compared to the same period in 2017, primarily driven by case volume growth across all channels and products which increased net revenues by $56.3 million. This increase was offset in part by lower ASP, which reduced net revenues by $7.6 million. This reduction in ASP was primarily due to increased additional aligner deferrals, which reduced net revenues by $6.0 million, in addition to unfavorable exchange rates and higher promotional discounts, which collectively reduced net revenues by $5.4 million. These factors were partially offset by higher prices from the new products introduced in July 2018 which increased net revenues by $5.9 million.</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nine months ended September 30, 2018, International net revenues increased by $162.7 million as compared to the same period in 2017, primarily driven by case volume growth across all channels and products which increased net revenues by $150.0 million. Additionally, higher ASP contributed $12.7 million to net revenues. This ASP increase was primarily due to the favorable foreign exchange rates of $25.3 million and $15.3 million related to higher prices on our new products effective July 2018, partially offset by increased aligner deferrals of $16.9 million and $11.1 million related to higher promotional discounts.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 - Non-Case</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the three and nine months ended September 30, 2018, non-case net revenues, consisting of training fees and ancillary product revenues, increased by $5.1 million and $17.0 million, respectively, compared to the same periods in 2017, primarily due to increased Vivera volume across all regions.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For the three months ended September 30, 2018, scanner and services net revenues increased by $34.5 million as compared to the same period in 2017. This increase is primarily due to an increase in the number of scanners recognized, which increased revenues by $29.0 million. Additionally, a larger scanner install base resulted in higher computer-aided design/computer-aided manufacturing (“CAD/CAM”) services, which along with other factors, collectively increased net revenues by $8.1 million. These factors were partially offset by a decrease in scanner ASP, which reduced net revenues by $2.6 million.</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nine months ended September 30, 2018, scanner and services net revenues increased by $79.6 million as compared to the same period in 2017. This increase is primarily due to an increase in the number of scanners recognized, which increased revenues by $65.1 million. Additionally, a larger scanner install base resulted in higher CAD/CAM services, which along with other factors, collectively increased net revenues by $20.3 million. These factors were partially offset by a decrease in scanner ASP, which reduced net revenues by $5.8 million.</w:t>
      </w: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net revenues and gross profit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5"/>
          </w:tcPr>
          <w:p>
            <w:pPr>
              <w:jc w:val="center"/>
              <w:ind w:left="653"/>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5"/>
          </w:tcPr>
          <w:p>
            <w:pPr>
              <w:ind w:left="80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2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3"/>
              <w:spacing w:after="0"/>
              <w:rPr>
                <w:sz w:val="20"/>
                <w:szCs w:val="20"/>
                <w:color w:val="auto"/>
              </w:rPr>
            </w:pPr>
            <w:r>
              <w:rPr>
                <w:rFonts w:ascii="Arial" w:cs="Arial" w:eastAsia="Arial" w:hAnsi="Arial"/>
                <w:sz w:val="14"/>
                <w:szCs w:val="14"/>
                <w:b w:val="1"/>
                <w:bCs w:val="1"/>
                <w:color w:val="auto"/>
                <w:w w:val="97"/>
              </w:rPr>
              <w:t>Change</w:t>
            </w:r>
          </w:p>
        </w:tc>
      </w:tr>
      <w:tr>
        <w:trPr>
          <w:trHeight w:val="183"/>
        </w:trPr>
        <w:tc>
          <w:tcPr>
            <w:tcW w:w="4580" w:type="dxa"/>
            <w:vAlign w:val="bottom"/>
            <w:gridSpan w:val="5"/>
          </w:tcPr>
          <w:p>
            <w:pPr>
              <w:ind w:left="40"/>
              <w:spacing w:after="0" w:line="182" w:lineRule="exact"/>
              <w:rPr>
                <w:sz w:val="20"/>
                <w:szCs w:val="20"/>
                <w:color w:val="auto"/>
              </w:rPr>
            </w:pPr>
            <w:r>
              <w:rPr>
                <w:rFonts w:ascii="Arial" w:cs="Arial" w:eastAsia="Arial" w:hAnsi="Arial"/>
                <w:sz w:val="18"/>
                <w:szCs w:val="18"/>
                <w:b w:val="1"/>
                <w:bCs w:val="1"/>
                <w:color w:val="auto"/>
              </w:rPr>
              <w:t>Clear Aligner</w:t>
            </w: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61"/>
        </w:trPr>
        <w:tc>
          <w:tcPr>
            <w:tcW w:w="4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2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Cost of net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87.5</w:t>
            </w: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24.7%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22.1%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23.7%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22.0%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321.8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950.4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737.0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213.3</w:t>
            </w: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i w:val="1"/>
                <w:iCs w:val="1"/>
                <w:color w:val="auto"/>
              </w:rPr>
              <w:t>Gross margin %</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75.3%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77.9%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76.3%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i w:val="1"/>
                <w:iCs w:val="1"/>
                <w:color w:val="auto"/>
              </w:rPr>
              <w:t>78.0%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3"/>
        </w:trPr>
        <w:tc>
          <w:tcPr>
            <w:tcW w:w="4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Scanner</w:t>
            </w: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6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Cost of net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27.2</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 of net segment revenues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114.4</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52.4</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Gross margin %</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03"/>
        </w:trPr>
        <w:tc>
          <w:tcPr>
            <w:tcW w:w="4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Total cost of net revenues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133.5</w:t>
            </w:r>
          </w:p>
        </w:tc>
        <w:tc>
          <w:tcPr>
            <w:tcW w:w="120" w:type="dxa"/>
            <w:vAlign w:val="bottom"/>
          </w:tcPr>
          <w:p>
            <w:pPr>
              <w:spacing w:after="0"/>
              <w:rPr>
                <w:sz w:val="17"/>
                <w:szCs w:val="17"/>
                <w:color w:val="auto"/>
              </w:rPr>
            </w:pPr>
          </w:p>
        </w:tc>
        <w:tc>
          <w:tcPr>
            <w:tcW w:w="260" w:type="dxa"/>
            <w:vAlign w:val="bottom"/>
          </w:tcPr>
          <w:p>
            <w:pPr>
              <w:jc w:val="right"/>
              <w:ind w:right="53"/>
              <w:spacing w:after="0" w:line="202" w:lineRule="exact"/>
              <w:rPr>
                <w:sz w:val="20"/>
                <w:szCs w:val="20"/>
                <w:color w:val="auto"/>
              </w:rPr>
            </w:pPr>
            <w:r>
              <w:rPr>
                <w:rFonts w:ascii="Arial" w:cs="Arial" w:eastAsia="Arial" w:hAnsi="Arial"/>
                <w:sz w:val="18"/>
                <w:szCs w:val="18"/>
                <w:color w:val="auto"/>
                <w:w w:val="99"/>
              </w:rPr>
              <w:t>$</w:t>
            </w:r>
          </w:p>
        </w:tc>
        <w:tc>
          <w:tcPr>
            <w:tcW w:w="8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92.8</w:t>
            </w:r>
          </w:p>
        </w:tc>
        <w:tc>
          <w:tcPr>
            <w:tcW w:w="120" w:type="dxa"/>
            <w:vAlign w:val="bottom"/>
          </w:tcPr>
          <w:p>
            <w:pPr>
              <w:spacing w:after="0"/>
              <w:rPr>
                <w:sz w:val="17"/>
                <w:szCs w:val="17"/>
                <w:color w:val="auto"/>
              </w:rPr>
            </w:pP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40.7</w:t>
            </w:r>
          </w:p>
        </w:tc>
        <w:tc>
          <w:tcPr>
            <w:tcW w:w="120" w:type="dxa"/>
            <w:vAlign w:val="bottom"/>
          </w:tcPr>
          <w:p>
            <w:pPr>
              <w:spacing w:after="0"/>
              <w:rPr>
                <w:sz w:val="17"/>
                <w:szCs w:val="17"/>
                <w:color w:val="auto"/>
              </w:rPr>
            </w:pP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367.7</w:t>
            </w:r>
          </w:p>
        </w:tc>
        <w:tc>
          <w:tcPr>
            <w:tcW w:w="120" w:type="dxa"/>
            <w:vAlign w:val="bottom"/>
          </w:tcPr>
          <w:p>
            <w:pPr>
              <w:spacing w:after="0"/>
              <w:rPr>
                <w:sz w:val="17"/>
                <w:szCs w:val="17"/>
                <w:color w:val="auto"/>
              </w:rPr>
            </w:pPr>
          </w:p>
        </w:tc>
        <w:tc>
          <w:tcPr>
            <w:tcW w:w="2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253.1</w:t>
            </w:r>
          </w:p>
        </w:tc>
        <w:tc>
          <w:tcPr>
            <w:tcW w:w="1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114.6</w:t>
            </w:r>
          </w:p>
        </w:tc>
      </w:tr>
      <w:tr>
        <w:trPr>
          <w:trHeight w:val="48"/>
        </w:trPr>
        <w:tc>
          <w:tcPr>
            <w:tcW w:w="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2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4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 of 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gridSpan w:val="5"/>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371.8</w:t>
            </w:r>
          </w:p>
        </w:tc>
        <w:tc>
          <w:tcPr>
            <w:tcW w:w="12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292.5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1,064.8</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1"/>
              <w:spacing w:after="0"/>
              <w:rPr>
                <w:sz w:val="20"/>
                <w:szCs w:val="20"/>
                <w:color w:val="auto"/>
              </w:rPr>
            </w:pPr>
            <w:r>
              <w:rPr>
                <w:rFonts w:ascii="Arial" w:cs="Arial" w:eastAsia="Arial" w:hAnsi="Arial"/>
                <w:sz w:val="18"/>
                <w:szCs w:val="18"/>
                <w:color w:val="auto"/>
              </w:rPr>
              <w:t>799.0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265.7</w:t>
            </w: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4580" w:type="dxa"/>
            <w:vAlign w:val="bottom"/>
            <w:gridSpan w:val="5"/>
            <w:shd w:val="clear" w:color="auto" w:fill="CCEEFF"/>
          </w:tcPr>
          <w:p>
            <w:pPr>
              <w:ind w:left="40"/>
              <w:spacing w:after="0"/>
              <w:rPr>
                <w:sz w:val="20"/>
                <w:szCs w:val="20"/>
                <w:color w:val="auto"/>
              </w:rPr>
            </w:pPr>
            <w:r>
              <w:rPr>
                <w:rFonts w:ascii="Arial" w:cs="Arial" w:eastAsia="Arial" w:hAnsi="Arial"/>
                <w:sz w:val="18"/>
                <w:szCs w:val="18"/>
                <w:i w:val="1"/>
                <w:iCs w:val="1"/>
                <w:color w:val="auto"/>
              </w:rPr>
              <w:t>Gross margin %</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73.6%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75.9%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74.3%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75.9%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net revenues for our Clear Aligner and Scanner segments includes personnel-related costs including payroll and stock-based compensation for staff involved in the production process, the cost of materials, packaging, shipping costs, depreciation on capital equipment and facilities used in the production process, amortization of acquired intangible assets and training costs.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September 30, 2018, our gross margin percentage decreased as compared to the same period in 2017 primarily due to higher manufacturing spend driven by operational expansion activities and lower ASP.</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 nine months ended September 30, 2018, our gross margin percentage decreased as compared to the same period in 2017 primarily due to higher manufacturing spend driven by operational expansion activities.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nine months ended September 30, 2018, gross margin increased compared to the same periods in 2017 primarily driven by manufacturing efficiencies offset in part by a lower ASP.</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180" w:type="dxa"/>
            <w:vAlign w:val="bottom"/>
            <w:gridSpan w:val="6"/>
          </w:tcPr>
          <w:p>
            <w:pPr>
              <w:ind w:left="88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5"/>
          </w:tcPr>
          <w:p>
            <w:pPr>
              <w:ind w:left="70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50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   213.9</w:t>
            </w:r>
          </w:p>
        </w:tc>
        <w:tc>
          <w:tcPr>
            <w:tcW w:w="12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44.3</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625.6</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483.6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141.9</w:t>
            </w:r>
          </w:p>
        </w:tc>
      </w:tr>
      <w:tr>
        <w:trPr>
          <w:trHeight w:val="27"/>
        </w:trPr>
        <w:tc>
          <w:tcPr>
            <w:tcW w:w="5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of net revenues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42.3%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44.0%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46.0%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50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2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Selling, general and administrative expense includes personnel-related costs including payroll, commissions and stock-based compensation for our sales force, marketing and administration in addition to media and advertising expenses, clinical education, trade shows and industry events, product marketing, outside service costs, legal costs, equipment and maintenance costs, depreciation and amortization expense and allocations of corporate overhead expenses including facilities and Information Technology (“IT”).</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September 30, 2018, selling, general and administrative expense increased compared to the same period in 2017 primarily due to higher compensation related costs of $26.5 million mainly from increased headcount resulting in higher salaries expense, incentive bonuses and fringe benefits. We also incurred higher expenses from advertising and marketing of $8.1 million, equipment, software and maintenance costs of $5.0 million and $4.9 million of legal and outside service costs.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nine months ended September 30, 2018, selling, general and administrative expense increased compared to the same period in 2017 primarily due to higher compensation related costs of $82.7 million mainly from increased headcount resulting in higher salaries expense, incentive bonuses and fringe benefits. We also incurred higher expenses from advertising and marketing of $24.6 million and equipment, software and maintenance costs of $19.1 million and $13.7 million of legal and outside service costs.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gridSpan w:val="6"/>
          </w:tcPr>
          <w:p>
            <w:pPr>
              <w:ind w:left="66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gridSpan w:val="5"/>
          </w:tcPr>
          <w:p>
            <w:pPr>
              <w:ind w:left="68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92"/>
        </w:trPr>
        <w:tc>
          <w:tcPr>
            <w:tcW w:w="5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50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76"/>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Change</w:t>
            </w: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21.7</w:t>
            </w:r>
          </w:p>
        </w:tc>
      </w:tr>
      <w:tr>
        <w:trPr>
          <w:trHeight w:val="27"/>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 of net revenues</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5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1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Research and development expense includes the personnel-related costs including payroll and stock-based compensation and outside consulting expenses associated with the research and development of new products and enhancements to existing products and allocations of corporate overhead expenses including facilities and IT.</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For the three and nine months ended September 30, 2018, research and development expense increased compared to the same periods in 2017 primarily due to higher compensation costs mainly from increased headcount resulting in higher salaries expense, incentive bonuses and fringe benefits.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from operations (in millions):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60" w:type="dxa"/>
            <w:vAlign w:val="bottom"/>
            <w:gridSpan w:val="5"/>
          </w:tcPr>
          <w:p>
            <w:pPr>
              <w:jc w:val="center"/>
              <w:ind w:left="654"/>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5"/>
          </w:tcPr>
          <w:p>
            <w:pPr>
              <w:ind w:left="680"/>
              <w:spacing w:after="0"/>
              <w:rPr>
                <w:sz w:val="20"/>
                <w:szCs w:val="20"/>
                <w:color w:val="auto"/>
              </w:rPr>
            </w:pPr>
            <w:r>
              <w:rPr>
                <w:rFonts w:ascii="Arial" w:cs="Arial" w:eastAsia="Arial" w:hAnsi="Arial"/>
                <w:sz w:val="14"/>
                <w:szCs w:val="14"/>
                <w:b w:val="1"/>
                <w:bCs w:val="1"/>
                <w:color w:val="auto"/>
                <w:w w:val="96"/>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2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53"/>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4"/>
              <w:spacing w:after="0"/>
              <w:rPr>
                <w:sz w:val="20"/>
                <w:szCs w:val="20"/>
                <w:color w:val="auto"/>
              </w:rPr>
            </w:pPr>
            <w:r>
              <w:rPr>
                <w:rFonts w:ascii="Arial" w:cs="Arial" w:eastAsia="Arial" w:hAnsi="Arial"/>
                <w:sz w:val="14"/>
                <w:szCs w:val="14"/>
                <w:b w:val="1"/>
                <w:bCs w:val="1"/>
                <w:color w:val="auto"/>
                <w:w w:val="97"/>
              </w:rPr>
              <w:t>Change</w:t>
            </w:r>
          </w:p>
        </w:tc>
      </w:tr>
      <w:tr>
        <w:trPr>
          <w:trHeight w:val="196"/>
        </w:trPr>
        <w:tc>
          <w:tcPr>
            <w:tcW w:w="4680" w:type="dxa"/>
            <w:vAlign w:val="bottom"/>
            <w:gridSpan w:val="5"/>
          </w:tcPr>
          <w:p>
            <w:pPr>
              <w:ind w:left="20"/>
              <w:spacing w:after="0" w:line="196" w:lineRule="exact"/>
              <w:rPr>
                <w:sz w:val="20"/>
                <w:szCs w:val="20"/>
                <w:color w:val="auto"/>
              </w:rPr>
            </w:pPr>
            <w:r>
              <w:rPr>
                <w:rFonts w:ascii="Arial" w:cs="Arial" w:eastAsia="Arial" w:hAnsi="Arial"/>
                <w:sz w:val="18"/>
                <w:szCs w:val="18"/>
                <w:b w:val="1"/>
                <w:bCs w:val="1"/>
                <w:color w:val="auto"/>
              </w:rPr>
              <w:t>Clear Aligner</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2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50"/>
        </w:trPr>
        <w:tc>
          <w:tcPr>
            <w:tcW w:w="46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534.4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131.1</w:t>
            </w:r>
          </w:p>
        </w:tc>
      </w:tr>
      <w:tr>
        <w:trPr>
          <w:trHeight w:val="243"/>
        </w:trPr>
        <w:tc>
          <w:tcPr>
            <w:tcW w:w="4680" w:type="dxa"/>
            <w:vAlign w:val="bottom"/>
            <w:gridSpan w:val="5"/>
          </w:tcPr>
          <w:p>
            <w:pPr>
              <w:ind w:left="20"/>
              <w:spacing w:after="0"/>
              <w:rPr>
                <w:sz w:val="20"/>
                <w:szCs w:val="20"/>
                <w:color w:val="auto"/>
              </w:rPr>
            </w:pPr>
            <w:r>
              <w:rPr>
                <w:rFonts w:ascii="Arial" w:cs="Arial" w:eastAsia="Arial" w:hAnsi="Arial"/>
                <w:sz w:val="18"/>
                <w:szCs w:val="18"/>
                <w:i w:val="1"/>
                <w:iCs w:val="1"/>
                <w:color w:val="auto"/>
              </w:rPr>
              <w:t>Operating margin %</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i w:val="1"/>
                <w:iCs w:val="1"/>
                <w:color w:val="auto"/>
              </w:rPr>
              <w:t>42.8%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45.3%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42.9%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i w:val="1"/>
                <w:iCs w:val="1"/>
                <w:color w:val="auto"/>
              </w:rPr>
              <w:t>42.7%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7"/>
              </w:rPr>
              <w:t>Scanner</w:t>
            </w:r>
          </w:p>
        </w:tc>
        <w:tc>
          <w:tcPr>
            <w:tcW w:w="4020" w:type="dxa"/>
            <w:vAlign w:val="bottom"/>
            <w:tcBorders>
              <w:bottom w:val="single" w:sz="8" w:color="CCEEFF"/>
            </w:tcBorders>
            <w:gridSpan w:val="3"/>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gridSpan w:val="5"/>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4"/>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18.0</w:t>
            </w:r>
          </w:p>
        </w:tc>
        <w:tc>
          <w:tcPr>
            <w:tcW w:w="2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37.0</w:t>
            </w: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6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03"/>
        </w:trPr>
        <w:tc>
          <w:tcPr>
            <w:tcW w:w="4680" w:type="dxa"/>
            <w:vAlign w:val="bottom"/>
            <w:gridSpan w:val="5"/>
          </w:tcPr>
          <w:p>
            <w:pPr>
              <w:ind w:left="20"/>
              <w:spacing w:after="0" w:line="202" w:lineRule="exact"/>
              <w:rPr>
                <w:sz w:val="20"/>
                <w:szCs w:val="20"/>
                <w:color w:val="auto"/>
              </w:rPr>
            </w:pPr>
            <w:r>
              <w:rPr>
                <w:rFonts w:ascii="Arial" w:cs="Arial" w:eastAsia="Arial" w:hAnsi="Arial"/>
                <w:sz w:val="17"/>
                <w:szCs w:val="17"/>
                <w:b w:val="1"/>
                <w:bCs w:val="1"/>
                <w:color w:val="auto"/>
              </w:rPr>
              <w:t xml:space="preserve">Total income from operations </w:t>
            </w:r>
            <w:r>
              <w:rPr>
                <w:rFonts w:ascii="Arial" w:cs="Arial" w:eastAsia="Arial" w:hAnsi="Arial"/>
                <w:sz w:val="23"/>
                <w:szCs w:val="23"/>
                <w:color w:val="auto"/>
                <w:vertAlign w:val="superscript"/>
              </w:rPr>
              <w:t>1</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125.2</w:t>
            </w:r>
          </w:p>
        </w:tc>
        <w:tc>
          <w:tcPr>
            <w:tcW w:w="120" w:type="dxa"/>
            <w:vAlign w:val="bottom"/>
          </w:tcPr>
          <w:p>
            <w:pPr>
              <w:spacing w:after="0"/>
              <w:rPr>
                <w:sz w:val="17"/>
                <w:szCs w:val="17"/>
                <w:color w:val="auto"/>
              </w:rPr>
            </w:pPr>
          </w:p>
        </w:tc>
        <w:tc>
          <w:tcPr>
            <w:tcW w:w="240" w:type="dxa"/>
            <w:vAlign w:val="bottom"/>
          </w:tcPr>
          <w:p>
            <w:pPr>
              <w:jc w:val="right"/>
              <w:ind w:right="54"/>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3"/>
              <w:spacing w:after="0" w:line="202" w:lineRule="exact"/>
              <w:rPr>
                <w:sz w:val="20"/>
                <w:szCs w:val="20"/>
                <w:color w:val="auto"/>
              </w:rPr>
            </w:pPr>
            <w:r>
              <w:rPr>
                <w:rFonts w:ascii="Arial" w:cs="Arial" w:eastAsia="Arial" w:hAnsi="Arial"/>
                <w:sz w:val="18"/>
                <w:szCs w:val="18"/>
                <w:color w:val="auto"/>
              </w:rPr>
              <w:t>98.8</w:t>
            </w:r>
          </w:p>
        </w:tc>
        <w:tc>
          <w:tcPr>
            <w:tcW w:w="10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26.4</w:t>
            </w:r>
          </w:p>
        </w:tc>
        <w:tc>
          <w:tcPr>
            <w:tcW w:w="200" w:type="dxa"/>
            <w:vAlign w:val="bottom"/>
          </w:tcPr>
          <w:p>
            <w:pPr>
              <w:spacing w:after="0"/>
              <w:rPr>
                <w:sz w:val="17"/>
                <w:szCs w:val="17"/>
                <w:color w:val="auto"/>
              </w:rPr>
            </w:pP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346.1</w:t>
            </w:r>
          </w:p>
        </w:tc>
        <w:tc>
          <w:tcPr>
            <w:tcW w:w="100" w:type="dxa"/>
            <w:vAlign w:val="bottom"/>
          </w:tcPr>
          <w:p>
            <w:pPr>
              <w:spacing w:after="0"/>
              <w:rPr>
                <w:sz w:val="17"/>
                <w:szCs w:val="17"/>
                <w:color w:val="auto"/>
              </w:rPr>
            </w:pPr>
          </w:p>
        </w:tc>
        <w:tc>
          <w:tcPr>
            <w:tcW w:w="2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ind w:right="93"/>
              <w:spacing w:after="0" w:line="202" w:lineRule="exact"/>
              <w:rPr>
                <w:sz w:val="20"/>
                <w:szCs w:val="20"/>
                <w:color w:val="auto"/>
              </w:rPr>
            </w:pPr>
            <w:r>
              <w:rPr>
                <w:rFonts w:ascii="Arial" w:cs="Arial" w:eastAsia="Arial" w:hAnsi="Arial"/>
                <w:sz w:val="18"/>
                <w:szCs w:val="18"/>
                <w:color w:val="auto"/>
              </w:rPr>
              <w:t>244.0</w:t>
            </w:r>
          </w:p>
        </w:tc>
        <w:tc>
          <w:tcPr>
            <w:tcW w:w="12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102.1</w:t>
            </w:r>
          </w:p>
        </w:tc>
      </w:tr>
      <w:tr>
        <w:trPr>
          <w:trHeight w:val="48"/>
        </w:trPr>
        <w:tc>
          <w:tcPr>
            <w:tcW w:w="2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2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243"/>
        </w:trPr>
        <w:tc>
          <w:tcPr>
            <w:tcW w:w="4680" w:type="dxa"/>
            <w:vAlign w:val="bottom"/>
            <w:gridSpan w:val="5"/>
            <w:shd w:val="clear" w:color="auto" w:fill="CCEEFF"/>
          </w:tcPr>
          <w:p>
            <w:pPr>
              <w:ind w:left="20"/>
              <w:spacing w:after="0"/>
              <w:rPr>
                <w:sz w:val="20"/>
                <w:szCs w:val="20"/>
                <w:color w:val="auto"/>
              </w:rPr>
            </w:pPr>
            <w:r>
              <w:rPr>
                <w:rFonts w:ascii="Arial" w:cs="Arial" w:eastAsia="Arial" w:hAnsi="Arial"/>
                <w:sz w:val="18"/>
                <w:szCs w:val="18"/>
                <w:i w:val="1"/>
                <w:iCs w:val="1"/>
                <w:color w:val="auto"/>
              </w:rPr>
              <w:t>Operating margin %</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23.2%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and percentages are based on actual values. Certain tables may not sum or recalculate due to rounding.</w:t>
      </w:r>
    </w:p>
    <w:p>
      <w:pPr>
        <w:spacing w:after="0" w:line="194" w:lineRule="exact"/>
        <w:rPr>
          <w:sz w:val="20"/>
          <w:szCs w:val="20"/>
          <w:color w:val="auto"/>
        </w:rPr>
      </w:pPr>
    </w:p>
    <w:p>
      <w:pPr>
        <w:ind w:left="180" w:right="20" w:hanging="91"/>
        <w:spacing w:after="0" w:line="217" w:lineRule="auto"/>
        <w:tabs>
          <w:tab w:leader="none" w:pos="180" w:val="left"/>
        </w:tabs>
        <w:numPr>
          <w:ilvl w:val="0"/>
          <w:numId w:val="23"/>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 xml:space="preserve">Refer to Note 14 “Segments and Geographical Information” of the Notes to Condensed Consolidated Financial Statements </w:t>
      </w:r>
      <w:r>
        <w:rPr>
          <w:rFonts w:ascii="Arial" w:cs="Arial" w:eastAsia="Arial" w:hAnsi="Arial"/>
          <w:sz w:val="16"/>
          <w:szCs w:val="16"/>
          <w:color w:val="auto"/>
        </w:rPr>
        <w:t>for details on unallocated corporate expenses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reconciliation to Consolidated Income from Operations.</w:t>
      </w:r>
    </w:p>
    <w:p>
      <w:pPr>
        <w:spacing w:after="0" w:line="1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Clear Aligner</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three months ended September 30, 2018, our operating margin percentage decreased compared to the same period in 2017 due to higher manufacturing spend driven by operational expansion activities and lower ASP.</w:t>
      </w:r>
    </w:p>
    <w:p>
      <w:pPr>
        <w:spacing w:after="0" w:line="170"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For the nine months ended September 30, 2018, our operating margin percentage increased compared to the same period in 2017 as we leveraged our operating expenses on higher Clear Aligner revenues partially offset by higher manufacturing spend driven by operational expansion activities.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Scanner</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For the three and nine months ended September 30, 2018, our operating margin percentage increased compared to the same periods in 2017 due to leveraged spend of operating expenses on higher Scanner revenues and manufacturing efficiencies partially offset by a lower ASP.</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w w:val="93"/>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gridSpan w:val="6"/>
          </w:tcPr>
          <w:p>
            <w:pPr>
              <w:jc w:val="center"/>
              <w:ind w:right="10"/>
              <w:spacing w:after="0"/>
              <w:rPr>
                <w:sz w:val="20"/>
                <w:szCs w:val="20"/>
                <w:color w:val="auto"/>
              </w:rPr>
            </w:pPr>
            <w:r>
              <w:rPr>
                <w:rFonts w:ascii="Arial" w:cs="Arial" w:eastAsia="Arial" w:hAnsi="Arial"/>
                <w:sz w:val="14"/>
                <w:szCs w:val="14"/>
                <w:b w:val="1"/>
                <w:bCs w:val="1"/>
                <w:color w:val="auto"/>
                <w:w w:val="93"/>
              </w:rPr>
              <w:t>Nine Months Ended</w:t>
            </w:r>
          </w:p>
        </w:tc>
        <w:tc>
          <w:tcPr>
            <w:tcW w:w="740" w:type="dxa"/>
            <w:vAlign w:val="bottom"/>
          </w:tcPr>
          <w:p>
            <w:pPr>
              <w:spacing w:after="0"/>
              <w:rPr>
                <w:sz w:val="14"/>
                <w:szCs w:val="14"/>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52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ind w:right="119"/>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4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9"/>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40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1.8</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includes interest income earned on cash, cash equivalents and investment balances.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nine months ended September 30, 2018, interest income increased compared to the same periods in 2017 mainly due to higher interest rates.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6"/>
          </w:tcPr>
          <w:p>
            <w:pPr>
              <w:jc w:val="center"/>
              <w:ind w:left="442"/>
              <w:spacing w:after="0"/>
              <w:rPr>
                <w:sz w:val="20"/>
                <w:szCs w:val="20"/>
                <w:color w:val="auto"/>
              </w:rPr>
            </w:pPr>
            <w:r>
              <w:rPr>
                <w:rFonts w:ascii="Arial" w:cs="Arial" w:eastAsia="Arial" w:hAnsi="Arial"/>
                <w:sz w:val="14"/>
                <w:szCs w:val="14"/>
                <w:b w:val="1"/>
                <w:bCs w:val="1"/>
                <w:color w:val="auto"/>
                <w:w w:val="93"/>
              </w:rPr>
              <w:t>Nine Months Ended</w:t>
            </w:r>
          </w:p>
        </w:tc>
        <w:tc>
          <w:tcPr>
            <w:tcW w:w="740" w:type="dxa"/>
            <w:vAlign w:val="bottom"/>
          </w:tcPr>
          <w:p>
            <w:pPr>
              <w:spacing w:after="0"/>
              <w:rPr>
                <w:sz w:val="14"/>
                <w:szCs w:val="14"/>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5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42"/>
              <w:spacing w:after="0"/>
              <w:rPr>
                <w:sz w:val="20"/>
                <w:szCs w:val="20"/>
                <w:color w:val="auto"/>
              </w:rPr>
            </w:pPr>
            <w:r>
              <w:rPr>
                <w:rFonts w:ascii="Arial" w:cs="Arial" w:eastAsia="Arial" w:hAnsi="Arial"/>
                <w:sz w:val="14"/>
                <w:szCs w:val="14"/>
                <w:b w:val="1"/>
                <w:bCs w:val="1"/>
                <w:color w:val="auto"/>
              </w:rPr>
              <w:t>2018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Change</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42"/>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center"/>
              <w:ind w:right="119"/>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income (expense), net, includes foreign exchange gains and losses, gains and losses on foreign currency forward contracts, interest expense and other miscellaneous charges.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September 30, 2018, other income (expense), net decreased compared to the same period in 2017 mainly due to higher foreign exchange gains in the prior year period.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nine months ended September 30, 2018, other income (expense), net decreased compared to the same period in 2017 mainly due to foreign exchange losses partially offset by gains on foreign currency forward contracts.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Equity in losses of investee, net of tax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40" w:type="dxa"/>
            <w:vAlign w:val="bottom"/>
            <w:gridSpan w:val="6"/>
          </w:tcPr>
          <w:p>
            <w:pPr>
              <w:jc w:val="right"/>
              <w:ind w:right="30"/>
              <w:spacing w:after="0"/>
              <w:rPr>
                <w:sz w:val="20"/>
                <w:szCs w:val="20"/>
                <w:color w:val="auto"/>
              </w:rPr>
            </w:pPr>
            <w:r>
              <w:rPr>
                <w:rFonts w:ascii="Arial" w:cs="Arial" w:eastAsia="Arial" w:hAnsi="Arial"/>
                <w:sz w:val="14"/>
                <w:szCs w:val="14"/>
                <w:b w:val="1"/>
                <w:bCs w:val="1"/>
                <w:color w:val="auto"/>
                <w:w w:val="93"/>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gridSpan w:val="6"/>
          </w:tcPr>
          <w:p>
            <w:pPr>
              <w:jc w:val="center"/>
              <w:ind w:right="399"/>
              <w:spacing w:after="0"/>
              <w:rPr>
                <w:sz w:val="20"/>
                <w:szCs w:val="20"/>
                <w:color w:val="auto"/>
              </w:rPr>
            </w:pPr>
            <w:r>
              <w:rPr>
                <w:rFonts w:ascii="Arial" w:cs="Arial" w:eastAsia="Arial" w:hAnsi="Arial"/>
                <w:sz w:val="14"/>
                <w:szCs w:val="14"/>
                <w:b w:val="1"/>
                <w:bCs w:val="1"/>
                <w:color w:val="auto"/>
                <w:w w:val="93"/>
              </w:rPr>
              <w:t>Nine Months Ended</w:t>
            </w:r>
          </w:p>
        </w:tc>
        <w:tc>
          <w:tcPr>
            <w:tcW w:w="360" w:type="dxa"/>
            <w:vAlign w:val="bottom"/>
          </w:tcPr>
          <w:p>
            <w:pPr>
              <w:spacing w:after="0"/>
              <w:rPr>
                <w:sz w:val="14"/>
                <w:szCs w:val="14"/>
                <w:color w:val="auto"/>
              </w:rPr>
            </w:pPr>
          </w:p>
        </w:tc>
      </w:tr>
      <w:tr>
        <w:trPr>
          <w:trHeight w:val="192"/>
        </w:trPr>
        <w:tc>
          <w:tcPr>
            <w:tcW w:w="52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r>
      <w:tr>
        <w:trPr>
          <w:trHeight w:val="264"/>
        </w:trPr>
        <w:tc>
          <w:tcPr>
            <w:tcW w:w="52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center"/>
              <w:ind w:right="119"/>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7"/>
              </w:rPr>
              <w:t>Change</w:t>
            </w:r>
          </w:p>
        </w:tc>
        <w:tc>
          <w:tcPr>
            <w:tcW w:w="360" w:type="dxa"/>
            <w:vAlign w:val="bottom"/>
            <w:tcBorders>
              <w:bottom w:val="single" w:sz="8" w:color="auto"/>
            </w:tcBorders>
            <w:shd w:val="clear" w:color="auto" w:fill="CCEEFF"/>
          </w:tcPr>
          <w:p>
            <w:pPr>
              <w:spacing w:after="0"/>
              <w:rPr>
                <w:sz w:val="22"/>
                <w:szCs w:val="22"/>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 losses of investee, net of tax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9"/>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40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1.7</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2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September 30, 2018, equity in losses of investee, net of tax decreased slightly compared to the same period in 2017 due to lower losses attributable from our equity method investments.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nine months ended September 30, 2018, equity in losses of investee, net of tax increased compared to the same period in 2017 due to higher losses attributable from our equity method investments including a higher proportional share of the losses due to our additional investment made in the third quarter of 2017 (</w:t>
      </w:r>
      <w:r>
        <w:rPr>
          <w:rFonts w:ascii="Arial" w:cs="Arial" w:eastAsia="Arial" w:hAnsi="Arial"/>
          <w:sz w:val="18"/>
          <w:szCs w:val="18"/>
          <w:i w:val="1"/>
          <w:iCs w:val="1"/>
          <w:color w:val="auto"/>
        </w:rPr>
        <w:t>Refer to Note 4 “Equity Method Investments” of the Notes to Condensed Consolidated Financial Statements</w:t>
      </w:r>
      <w:r>
        <w:rPr>
          <w:rFonts w:ascii="Arial" w:cs="Arial" w:eastAsia="Arial" w:hAnsi="Arial"/>
          <w:sz w:val="18"/>
          <w:szCs w:val="18"/>
          <w:color w:val="auto"/>
        </w:rPr>
        <w:t xml:space="preserve"> for details on equity method investments).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Provision for income taxes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6"/>
          </w:tcPr>
          <w:p>
            <w:pPr>
              <w:ind w:left="64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5"/>
          </w:tcPr>
          <w:p>
            <w:pPr>
              <w:ind w:left="70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70"/>
        </w:trPr>
        <w:tc>
          <w:tcPr>
            <w:tcW w:w="5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9"/>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Change</w:t>
            </w:r>
          </w:p>
        </w:tc>
        <w:tc>
          <w:tcPr>
            <w:tcW w:w="2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56"/>
              <w:spacing w:after="0"/>
              <w:rPr>
                <w:sz w:val="20"/>
                <w:szCs w:val="20"/>
                <w:color w:val="auto"/>
              </w:rPr>
            </w:pPr>
            <w:r>
              <w:rPr>
                <w:rFonts w:ascii="Arial" w:cs="Arial" w:eastAsia="Arial" w:hAnsi="Arial"/>
                <w:sz w:val="14"/>
                <w:szCs w:val="14"/>
                <w:b w:val="1"/>
                <w:bCs w:val="1"/>
                <w:color w:val="auto"/>
              </w:rPr>
              <w:t>2017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4"/>
                <w:szCs w:val="14"/>
                <w:b w:val="1"/>
                <w:bCs w:val="1"/>
                <w:color w:val="auto"/>
                <w:w w:val="97"/>
              </w:rPr>
              <w:t>Change</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8.7</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rates</w:t>
            </w: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w w:val="93"/>
              </w:rPr>
              <w:t>19.4%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w w:val="93"/>
              </w:rPr>
              <w:t>17.9%</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w w:val="97"/>
              </w:rPr>
              <w:t>10.2%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w w:val="93"/>
              </w:rPr>
              <w:t>10.5%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7"/>
        </w:trPr>
        <w:tc>
          <w:tcPr>
            <w:tcW w:w="5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Changes and percentages are based on actual values. Certain tables may not sum or recalculate due to rounding.</w:t>
      </w:r>
    </w:p>
    <w:p>
      <w:pPr>
        <w:spacing w:after="0" w:line="1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September 30, 2018 and 2017, provision for income taxes was $24.6 million and $18.3 million, respectively, representing effective tax rates of 19.4% and 17.9%, respectively. For the nine months ended September 30, 2018 and 2017, provision for income taxes was $35.2 million and $26.5 million, respectively, representing effective tax rates of 10.2% and 10.5%, respectively. As a result of the enactment of the TCJA, the U.S. federal statutory tax rate decreased from 35% to 21% effective January 1, 2018.</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August 21, 2018, the Internal Revenue Service (“IRS”) issued Notice 2018-68, which provides interpretative guidance on the application of the new executive compensation deduction limits enacted under the TCJA. Based upon our assessment of this new guidance, for the three and nine months ended September 30, 2018, we reversed $20.2 million of previously recognized tax benefits associated with officers’ stock-based compensation deductions.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in effective tax rate for the three months ended September 30, 2018 compared to the same period in 2017 is primarily attributable to the unfavorable tax impact from IRS Notice 2018-68 related to limitations on officers’ compensation deductions as described above and reduced tax benefits from foreign earnings being taxed at a lower tax rate due to the decrease in corporate tax rate from 35% to 21%, partially offset by the recognition of tax benefits related to a statute of limitations expiration.</w:t>
      </w:r>
    </w:p>
    <w:p>
      <w:pPr>
        <w:spacing w:after="0" w:line="18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decrease in effective tax rate for the nine months ended September 30, 2018 compared to the same period in 2017 is mainly driven by the decrease in corporate tax rate from 35% to 21% pursuant to the enactment of the TCJA, the recognition of tax benefits related to a statute of limitations expiration and the increase in excess tax benefits related to stock-based compensation, offset in part by the unfavorable tax impact of the TCJA including non-deductible officers’ compensation under IRS Notice 2018-68 described above and reduced tax benefits from foreign earnings being taxed at a lower 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our assessment of the impact of IRS Notice 2018-68 mentioned above, we reversed $20.2 million of previously recognized tax benefits associated with officers’ stock-based compensation deductions which resulted in a tax expense accrual of $14.7 million for the three months ended September 30, 2018. For the nine months ended September 30, 2018, the excess tax benefits we recognized in our provision for income taxes related to stock-based compensation was $25.2 million.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and nine months ended September 30, 2018, a statute of limitations expired. As a result, we recorded approximately $29.0 million of previously unrecognized tax benefits and reduced our accrual for interest by approximately $2.9 million.</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June 2017, the Costa Rica Ministry of Foreign Trade, an agency of the Government of Costa Rica, granted an extension of certain income tax incentives for an additional twelve year period. Under these incentives, all of the income in Costa Rica is subject to a reduced tax rate. In order to receive the benefit of these incentives, we must hire specified numbers of employees and maintain certain minimum levels of fixed asset investment in Costa Rica. If we do not fulfill these conditions for any reason, our incentive could lapse, and our income in Costa Rica would be subject to taxation at higher rates which could have a negative impact on our operating results. The Costa Rica corporate income tax rate that would apply, absent the incentives, is 30% for 2018 and 2017. For the three and nine months ended September 30, 2018, the reduction in income taxes due to the reduced tax rate was minimal (</w:t>
      </w:r>
      <w:r>
        <w:rPr>
          <w:rFonts w:ascii="Arial" w:cs="Arial" w:eastAsia="Arial" w:hAnsi="Arial"/>
          <w:sz w:val="16"/>
          <w:szCs w:val="16"/>
          <w:i w:val="1"/>
          <w:iCs w:val="1"/>
          <w:color w:val="auto"/>
        </w:rPr>
        <w:t>Refer to Note 12</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Income Taxes" of the Notes to Condensed Consolidated Financial Statements </w:t>
      </w:r>
      <w:r>
        <w:rPr>
          <w:rFonts w:ascii="Arial" w:cs="Arial" w:eastAsia="Arial" w:hAnsi="Arial"/>
          <w:sz w:val="16"/>
          <w:szCs w:val="16"/>
          <w:color w:val="auto"/>
        </w:rPr>
        <w:t>for details on income taxes).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fund our operations from product sales. As of September 30, 2018 and December 31, 2017, we had the following cash and cash equivalents, and short-term and long-term marketable securities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26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420,860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449,511</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Marketable securities, short-term</w:t>
            </w:r>
          </w:p>
        </w:tc>
        <w:tc>
          <w:tcPr>
            <w:tcW w:w="20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184,297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272,031</w:t>
            </w:r>
          </w:p>
        </w:tc>
      </w:tr>
      <w:tr>
        <w:trPr>
          <w:trHeight w:val="27"/>
        </w:trPr>
        <w:tc>
          <w:tcPr>
            <w:tcW w:w="8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 long-term</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8,091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39,948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613,248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761,490</w:t>
            </w:r>
          </w:p>
        </w:tc>
      </w:tr>
      <w:tr>
        <w:trPr>
          <w:trHeight w:val="27"/>
        </w:trPr>
        <w:tc>
          <w:tcPr>
            <w:tcW w:w="8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30, 2018, we had $613.2 million in cash, cash equivalents and short-term and long-term marketable securities. Cash equivalents and marketable securities are comprised of money market funds and highly liquid debt instruments which primarily include commercial paper, corporate bonds, U.S. government agency bonds, U.S. government treasury bonds and certificates of deposit.</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September 30, 2018, approximately $385.2 million of cash, cash equivalents and short-term and long-term marketable securities was held by our foreign subsidiaries. The TCJA enacted into law on December 22, 2017 included a one-time transition tax on the mandatory deemed repatriation of foreign earnings. Under this provision, we recorded a provisional amount of liability for this deemed repatriation of $73.9 million in the fourth quarter of 2017 and an additional $3.3 million during the nine months ended September 30, 2018, which will be paid over the next eight years. We repatriated $200.0 million to the U.S. during the nine months ended September 30, 2018 and we may further repatriate funds in the future to invest in market expansion opportunities, provide additional working capital, and have greater flexibility to fund our stock repurchase programs (</w:t>
      </w:r>
      <w:r>
        <w:rPr>
          <w:rFonts w:ascii="Arial" w:cs="Arial" w:eastAsia="Arial" w:hAnsi="Arial"/>
          <w:sz w:val="17"/>
          <w:szCs w:val="17"/>
          <w:i w:val="1"/>
          <w:iCs w:val="1"/>
          <w:color w:val="auto"/>
        </w:rPr>
        <w:t>Refer to Note 12 "Accounting for Income Taxes" of the Notes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Condensed Consolidated Financial Statements </w:t>
      </w:r>
      <w:r>
        <w:rPr>
          <w:rFonts w:ascii="Arial" w:cs="Arial" w:eastAsia="Arial" w:hAnsi="Arial"/>
          <w:sz w:val="17"/>
          <w:szCs w:val="17"/>
          <w:color w:val="auto"/>
        </w:rPr>
        <w:t>for details).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Cash flows (in thousands):</w:t>
      </w:r>
    </w:p>
    <w:p>
      <w:pPr>
        <w:spacing w:after="0" w:line="163"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36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20" w:type="dxa"/>
            <w:vAlign w:val="bottom"/>
            <w:tcBorders>
              <w:top w:val="single" w:sz="8" w:color="auto"/>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Net cash flow provided by (used in):</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
        </w:trPr>
        <w:tc>
          <w:tcPr>
            <w:tcW w:w="8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313,386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276,213</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(231,784)</w:t>
            </w: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(315,151)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(79,036)</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4,806</w:t>
            </w:r>
          </w:p>
        </w:tc>
      </w:tr>
      <w:tr>
        <w:trPr>
          <w:trHeight w:val="27"/>
        </w:trPr>
        <w:tc>
          <w:tcPr>
            <w:tcW w:w="8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cash equivalents, and restricted cash</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(29,801)</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Operating Activities</w:t>
      </w:r>
    </w:p>
    <w:p>
      <w:pPr>
        <w:spacing w:after="0" w:line="1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nine months ended September 30, 2018, cash flows from operations of $313.4 million resulted primarily from our net income of approximately $302.8 million as well as the following:</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Significant non-cash activities</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Stock-based compensation was $51.9 million related to equity incentive compensation granted to employees and directors;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Depreciation and amortization of $38.2 million related to our property, plant and equipment and intangible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Equity in losses of investee of $6.6 million.</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changes in working capital</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of $94.1 million in deferred revenues corresponding to the increase in case shipments;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of $89.8 million in accounts receivable which is primarily a result of the increase in net revenues;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Increase of $47.8 million in prepaid expenses and other assets due to timing of payments and activities including higher VAT receivables.</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Investing Activities</w:t>
      </w:r>
    </w:p>
    <w:p>
      <w:pPr>
        <w:spacing w:after="0" w:line="1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investing activities was $24.0 million for the nine months ended September 30, 2018 primarily consisted of property and plant and equipment purchases of $169.0 million, purchases of marketable securities of $150.0 million and purchases of investments in privately held companies of $5.0 million. These outflows were partially offset by maturities and sales of marketable securities of $269.4 million and loan repayment from equity investee of $30.0 million.</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remainder of 2018, we expect to invest an additional $50.0 million to $55.0 million in capital expenditures primarily related to additional manufacturing capacity to support our international expansion. Although we believe our current investment portfolio has little risk of impairment, we cannot predict future market conditions or market liquidity and can provide no assurance that our investment portfolio will remain unimpaired.</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Financing Activities</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cash used in financing activities was $315.2 million for the nine months ended September 30, 2018 primarily consisted of common stock repurchases of $250.0 million and payroll taxes paid for vesting of restricted stock units through share withholdings of $81.8 million. These outflows were offset in part by $16.6 million proceeds from the issuance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2018, we repurchased on the open market approximately 0.4 million shares of our common stock at an average price of $252.24 per share, including commissions, for an aggregate purchase price of approximately $100.0 million. In July 2018, we repurchased on the open market approximately 0.3 million shares of our common stock at an average price of $350.08 per share, including commissions, for an aggregate purchase price of approximately $100.0 million, completing the April 2016 Repurchase Program. In August 2018, we repurchased on the open market approximately 0.1 million shares of our common stock at an average price of $356.54 per share, including commissions, for an aggregate purchase price of approximately $50.0 million. As of September 30, 2018, we had $550.0 million remaining under the May 2018 Repurchase Program (</w:t>
      </w:r>
      <w:r>
        <w:rPr>
          <w:rFonts w:ascii="Arial" w:cs="Arial" w:eastAsia="Arial" w:hAnsi="Arial"/>
          <w:sz w:val="16"/>
          <w:szCs w:val="16"/>
          <w:i w:val="1"/>
          <w:iCs w:val="1"/>
          <w:color w:val="auto"/>
        </w:rPr>
        <w:t>Refer to Note 11 “Common Stock Repurchase Programs”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the Notes to Condensed Consolidated Financial Statements </w:t>
      </w:r>
      <w:r>
        <w:rPr>
          <w:rFonts w:ascii="Arial" w:cs="Arial" w:eastAsia="Arial" w:hAnsi="Arial"/>
          <w:sz w:val="16"/>
          <w:szCs w:val="16"/>
          <w:color w:val="auto"/>
        </w:rPr>
        <w:t>for details on our stock repurchase programs).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contractual obligations have not significantly changed since December 31, 2017 as disclosed in our Annual Report on Form 10-K, other than obligations described in the Form 10-Q herein. We believe that our current cash, cash equivalents and short-term marketable securities combined with our existing borrowing capacity will be sufficient to fund our operations for at least the next 12 months. If we are unable to generate adequate operating cash flows and need more funds beyond our available liquid investments and those available under our credit facility, we may need to suspend our stock repurchase programs or seek additional sources of capital through equity or debt financing, collaborative or other arrangements with other companies, bank financing and other sources in order to realize our objectives and to continue our operations. There can be no assurance that we will be able to obtain additional debt or equity financing on terms acceptable to us, or at all. If adequate funds are not available, we may need to make business decisions that could adversely affect our operating results such as modifications to our pricing policy, business structure or operations. Accordingly, the failure to obtain sufficient funds on acceptable terms when needed could have a material adverse effect on our business,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September 30, 2018, we had no off-balance sheet arrangements that have, or are reasonably likely to have, a current or future material effect on our consolidated financial condition, results of operations, liquidity, capital expenditures or capital resources other than certain items disclosed in Note 9 “Commitments and Contingencies” of the Notes to Consolidated Financial Statements included in our Annual Report on Form 10-K.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Management’s discussion and analysis of our financial condition and results of operations is based upon our Condensed Consolidated Financial Statements, which have been prepared in accordance with accounting principles generally accepted in the United States of America. The preparation of condensed consolidated financial statements requires management to make estimates and judgments that affect the reported amounts of assets and liabilities, revenues and expenses and disclosures at the date of the financial statements. We evaluate our estimates on an on-going basis, including those related to revenue recognition, stock-based compensation, goodwill and finite-lived assets and related impairment, and income taxes. We use authoritative pronouncements, historical experience and other assumptions as the basis for making estimates. Actual results could differ from those estimates.</w:t>
      </w:r>
    </w:p>
    <w:p>
      <w:pPr>
        <w:spacing w:after="0" w:line="16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Other than the adoption of the new revenue recognition accounting standard (“ASC 606”) on January 1, 2018 and updates on investments in privately held companies policy, there have been no material changes to our critical accounting policies and estimates from the information provided in the “Critical Accounting Policies and Estimates” section of our Management’s Discussion and Analysis of Financial Condition and Results of Operations included in our Annual Report on Form 10-K for the year ended December 31, 2017. Significant changes to the Revenue Recognition policy and Investments in Privately Held Companies policy are discussed in Note 1 “Summary of Significant Accounting Policies” of the Notes to Condensed Consolidated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1 “Summary of Significant Accounting Policies” of the Notes to Condensed Consolidated Financial Statements for a discussion of recent accounting pronouncements.</w:t>
      </w:r>
    </w:p>
    <w:p>
      <w:pPr>
        <w:spacing w:after="0" w:line="19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normal course of business, we are exposed to foreign currency exchange rate and interest rate risks that could impact our financial position and results of operations.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Changes in interest rates could impact our anticipated interest income on our cash equivalents and investments in marketable securities. Our cash equivalents and investments are fixed-rate short-term and long-term securities. Fixed-rate securities may have their fair market value adversely impacted due to a rise in interest rates, and, as a result, our future investment income may fall short of expectations due to changes in interest rates or we may suffer losses in principal if forced to sell securities which have declined in market value due to changes in interest rates. As of September 30, 2018, we had approximately $192.4 million invested in available-for-sale marketable securities. An immediate 10% change in interest rates would not have a material adverse impact on our future operating results and cash flows.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do not enter into investments for trading or speculative purposes and have not used any derivative financial instruments to manage our interest rate risk exposure. We do not have material interest bearing liabilities as of September 30, 2018, and, therefore, we are not subject to risks from immediate interest rate increases.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Currency Rate Risk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our international business activities, our financial results could be affected by factors such as changes in foreign currency exchange rates or economic conditions in foreign markets, and there is no assurance that exchange rate fluctuations will not harm our business in the future. We generally sell our products in the local currency of the respective countries. This provides some natural hedging because most of the subsidiaries’ operating expenses are generally denominated in their local currencies as discussed further below. Regardless of this natural hedging, our results of operations may be adversely impacted by exchange rate fluctuations.</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March 2018, we started entering into foreign currency forward contracts to minimize the short-term impact of foreign currency exchange rate fluctuations on cash and certain trade and intercompany receivables and payables. These forward contracts are not designated as hedging instruments and do not subject us to material balance sheet risk due to fluctuations in foreign currency exchange rates. The gains and losses on these forward contracts are intended to offset the gains and losses in the underlying foreign currency denominated monetary assets and liabilities being economically hedged. These instruments are marked to market through earnings every period and generally are one month in original maturity. We do not enter into foreign currency forward contracts for trading or speculative purposes. As our international operations grow, we will continue to reassess our approach to managing the risks relating to fluctuations in currency rates. It is difficult to predict the impact forward contracts could have on our results of operations. The fair value of foreign exchange forward contracts outstanding as of September 30, 2018 was not material.</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Although we will continue to monitor our exposure to currency fluctuations, and, where appropriate, may use forward contracts to minimize the effect of these fluctuations, the impact of an aggregate change of 10% in foreign currency exchange rates relative to the U.S. dollar on our results of operations and financial position could be material.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our Chief Financial Officer, we have evaluated the effectiveness of the design and operation of our disclosure controls and procedures (as defined in Rules 13a-15(e) and 15d-15(e) under the Exchange Act) as of the end of the period covered by this Quarterly Report on Form 10-Q. Based upon that evaluation, our Chief Executive Officer and our Chief Financial Officer have concluded that our disclosure controls and procedures are effective as of September 30, 2018, to provide reasonable assurance that information required to be disclosed by us in the reports that we file or submit under the Exchange Act is accumulated and communicated to our management, including our Chief Executive Officer and our Chief Financial Officer, as appropriate, to allow timely decisions regarding required disclosure, and that such information is recorded, processed, summarized and reported within the time periods specified in the Securities and Exchange Commission rules and forms.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30, 2018 that have materially affected, or are reasonably likely to materially affect, our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Patent Infringement Lawsuit</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November 14, 2017, Align filed six patent infringement lawsuits asserting 26 patents against 3Shape A/S, a Danish corporation, and a related U.S. corporate entity, asserting that 3Shape’s Trios intraoral scanning system and Dental System software infringe Align patents. Align filed two Section 337 complaints with the U.S. International Trade Commission (“ITC”) alleging that 3Shape violates U.S. trade laws by selling for importation and importing its infringing Trios intraoral scanning system and Dental System software. Align’s ITC complaints seek cease and desist orders and exclusion orders prohibiting the importation of 3Shape’s Trios scanning system and Dental System software products into the U.S. Align also filed four separate complaints in the United States District Court for the District of Delaware alleging patent infringement by 3Shape’s Trios intraoral scanning system and Dental System software. All of these district court complaints seek monetary damages and injunctive relief against further infringement.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SDC Dispute</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On April 5, 2018, SDC Financial LLC, SmileDirectClub LLC, and the Members of SDC Financial LLC other than Align (collectively, the "SDC Entities") initiated proceedings that seek, among other forms of relief, to preliminarily and permanently enjoin all activities related to the Invisalign Experience program, require Align to close the existing Invisalign locations, prohibit Align from opening any additional locations, and allow the SDC Entities to exercise a right to repurchase all of Align's SDC Financial LLC membership interests for a purchase price equal to the current capital account balance. On June 29, 2018, the Chancery Court for Davidson County, Tennessee, denied the SDC Entities’ request for a temporary injunction to prevent Align from opening additional Invisalign locations. Align continues to dispute the allegations that it has breached its obligations to the SDC Entities under applicable law and will oppose and vigorously defend itself at the arbitration proceedings currently scheduled for December 2018. This dispute does not impact Align’s existing supply agreement with SDC which remains in place through December 2019 and includes a minimum volume commitment. We are currently unable to predict the outcome of this dispute and therefore cannot determine the likelihood of loss, if any, nor estimate a range of possible loss.</w:t>
      </w:r>
    </w:p>
    <w:p>
      <w:pPr>
        <w:spacing w:after="0" w:line="11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course of Align’s operations, Align is involved in a variety of claims, suits, investigations, and proceedings, including actions with respect to intellectual property claims, patent infringement claims, government investigations, labor and employment claims, breach of contract claims, tax, and other matters. Regardless of the outcome, these proceedings can have an adverse impact on us because of defense costs, diversion of management resources, and other factors. Although the results of complex legal proceedings are difficult to predict and Align’s view of these matters may change in the future as litigation and events related thereto unfold; Align currently does not believe that these matters, individually or in the aggregate, will materially affect Align’s financial position, results of operations or cash flows (</w:t>
      </w:r>
      <w:r>
        <w:rPr>
          <w:rFonts w:ascii="Arial" w:cs="Arial" w:eastAsia="Arial" w:hAnsi="Arial"/>
          <w:sz w:val="18"/>
          <w:szCs w:val="18"/>
          <w:i w:val="1"/>
          <w:iCs w:val="1"/>
          <w:color w:val="auto"/>
        </w:rPr>
        <w:t>Refer to Note 8 “Legal Proceedings” of the Notes to the Condensed Consolidated Financial Statement</w:t>
      </w:r>
      <w:r>
        <w:rPr>
          <w:rFonts w:ascii="Arial" w:cs="Arial" w:eastAsia="Arial" w:hAnsi="Arial"/>
          <w:sz w:val="18"/>
          <w:szCs w:val="18"/>
          <w:color w:val="auto"/>
        </w:rPr>
        <w:t>s for details on legal proceedings).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4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the sale of the Invisalign System for the vast majority of our net revenues, and any decline in sales of Invisalign treatment for any reason, or a decline in average selling prices would adversely affect net revenues, gross margin and net income.</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expect that net revenues from the sale of the Invisalign System, primarily our comprehensive products, will continue to account for the vast majority of our total net revenues for the foreseeable future. Continued and widespread market acceptance of Invisalign by orthodontists, GPs and consumers is critical to our future success. If orthodontists and GPs experience a reduction in consumer demand for orthodontic services, if consumers prove unwilling to adopt Invisalign as rapidly as we anticipate or in the volume that we anticipate, if orthodontists or GPs choose to use a competitive product rather than Invisalign or if the average selling price of our product declines for any reason, including as a result of a shift in product mix towards lower priced products, our operating results would be harmed.</w:t>
      </w:r>
    </w:p>
    <w:p>
      <w:pPr>
        <w:spacing w:after="0" w:line="193"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Competition in the markets for our products is intense and we expect aggressive competition from existing competitors and other companies that may introduce new technologies in the future.</w:t>
      </w:r>
    </w:p>
    <w:p>
      <w:pPr>
        <w:spacing w:after="0" w:line="10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Currently, our products compete directly against products manufactured and distributed by various companies, both within and outside the U.S. In addition, as a result of the expiration of certain key patents owned by us, which began in 2017, competitors such as Danaher Corporation, Dentsply Sirona Inc., Straumann AG, 3M, 3Shape, Henry Schein, Great Lakes and Angel Align as well as new entrants into the clear aligner market such as start-ups, began offering an orthodontic system more similar to ours. Several of these competitors will likely have greater resources as well as the ability to leverage their existing channels in the dental market to compete directly with us, and, therefore, our share of the clear aligner market could decline which would likely have a material adverse effect on our business, results of operation and financial condition. In addition, corresponding foreign patents started to expire in 2018 which will likely result in increased competition in some of the markets outside the U.S. Large consumer product companies may also enter the orthodontic supply market. Furthermore, we also face competition from companies that now offer clear aligner therapy directly to the consumer eliminating the need for the consumer to visit a dental office. In addition, we may also face competition in the future from new companies that may introduce new technologies. We may be unable to compete with these competitors and one or more of these competitors may render our technology obsolete or economically unattractive. If we are unable to compete effectively with existing products or respond effectively to any products developed by new or existing competitors, our business could be harmed. Increased competition has resulted in the past and may in the future result in volume discounting and price reductions, reduced gross margins, reduced profitability and loss of market share, and reduce dental professionals’ efforts and commitment to expand their use of our products, any of which could have a material adverse effect on our net revenues, volume growth, net income and stock price. We cannot assure that we will be able to compete successfully against our current or future competitors or that competitive pressures will not have a material adverse effect on our business, results of operations and financial condition.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We are dependent on our international operations, which exposes us to foreign operational, political and other risks that may harm our business.</w:t>
      </w:r>
    </w:p>
    <w:p>
      <w:pPr>
        <w:spacing w:after="0" w:line="1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key production steps are performed in operations located outside of the U.S. Technicians use a sophisticated, internally developed computer-modeling program to prepare digital treatment plans, which are then transmitted electronically to our aligner fabrication facilities. These digital files form the basis of the ClinCheck treatment plan and are used to manufacture aligner molds and aligners. Our digital treatment planning is performed in multiple international locations including, San Jose, Costa Rica, Chengdu, China, Cologne, Germany, and in September 2018 we opened a facility in Madrid, Spain. In July 2018, we moved into a new facility in Costa Rica in order to support our expanding treatment planning as well as other support functions, and we expect to add a second facility during the fourth quarter of 2018. We conduct our aligner fabrication in Juarez, Mexico and during 2018, we expanded our Mexico operations by adding an additional facility. In the fourth quarter of 2018, we expect to open another aligner manufacturing facility in Ziyang, China. We will continue to establish treatment planning and aligner fabrication facilities closer to our international customers in order to improve our operational efficiency. In addition to the research and development efforts conducted in our North America facilities, we also carry out research and development in Moscow, Russia. In addition, we have operations in Israel where we design and assemble wands, and our intraoral scanner is manufactured. Our reliance on international operations exposes us to risks and uncertainties that may affect our business or results of operation, including:</w:t>
      </w:r>
    </w:p>
    <w:p>
      <w:pPr>
        <w:spacing w:after="0" w:line="173" w:lineRule="exact"/>
        <w:rPr>
          <w:sz w:val="20"/>
          <w:szCs w:val="20"/>
          <w:color w:val="auto"/>
        </w:rPr>
      </w:pPr>
    </w:p>
    <w:p>
      <w:pPr>
        <w:ind w:left="660" w:right="20" w:hanging="247"/>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hiring and retaining employees generally, as well as difficulties in hiring and retaining employees with the necessary skills to perform the more technical aspects of our operations;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managing international operations, including any travel restrictions to or from our facilities;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import and export controls, license requirements and restrictions;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controlling production volume and quality of the manufacturing process;</w:t>
      </w:r>
    </w:p>
    <w:p>
      <w:pPr>
        <w:spacing w:after="0" w:line="171" w:lineRule="exact"/>
        <w:rPr>
          <w:rFonts w:ascii="Arial" w:cs="Arial" w:eastAsia="Arial" w:hAnsi="Arial"/>
          <w:sz w:val="18"/>
          <w:szCs w:val="18"/>
          <w:color w:val="auto"/>
        </w:rPr>
      </w:pPr>
    </w:p>
    <w:p>
      <w:pPr>
        <w:jc w:val="both"/>
        <w:ind w:left="660" w:hanging="247"/>
        <w:spacing w:after="0" w:line="297"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political, social and economic instability, including increased levels of violence in Juarez, Mexico or the Middle East. We cannot predict the effect on us of any future armed conflict, political instability or violence in these regions. In addition, some of our employees in Israel are obligated to perform annual reserve duty in the Israeli military and are subject to being called for additional active duty under emergency circumstances.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w:t>
      </w:r>
    </w:p>
    <w:p>
      <w:pPr>
        <w:spacing w:after="0" w:line="104" w:lineRule="exact"/>
        <w:rPr>
          <w:rFonts w:ascii="Arial" w:cs="Arial" w:eastAsia="Arial" w:hAnsi="Arial"/>
          <w:sz w:val="16"/>
          <w:szCs w:val="16"/>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acts of terrorism and acts of war;</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geopolitical instability and the responses to it, such as the possibility of additional sanctions against China and Russia which continue to bring uncertainty to these regions;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interruptions and limitations in telecommunication services;</w:t>
      </w:r>
    </w:p>
    <w:p>
      <w:pPr>
        <w:spacing w:after="0" w:line="171"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or material transportation delays or disruption, including as a result of customs clearance, increased levels of violence, acts of terrorism, acts of war or health epidemics restricting travel to and from our international locations or as a result of natural disasters, such as earthquakes or volcanic eruptions;</w:t>
      </w:r>
    </w:p>
    <w:p>
      <w:pPr>
        <w:spacing w:after="0" w:line="127"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burdens of complying with a wide variety of local country and regional laws, including the risks associated with the Foreign Corrupt Practices Act and local anti-bribery compliance;</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trade restrictions and changes in tariffs;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adverse tax consequences.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any of these risks materialize in the future, we could experience production delays and lost or delayed revenue.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earn an increasingly larger portion of our total revenues from international sales and face risks attendant to those operations.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earn an increasingly larger portion of our total revenues from international sales generated through our foreign direct and indirect operations. Since our growth strategy depends in part on our ability to further penetrate markets outside the U.S. and increase the localization of our products and services, we expect to continue to increase our sales and presence outside the U.S., particularly in the high-growth markets. Our international operations are subject to risks that are customarily encountered in non-U.S. operations, including:</w:t>
      </w:r>
    </w:p>
    <w:p>
      <w:pPr>
        <w:spacing w:after="0" w:line="187" w:lineRule="exact"/>
        <w:rPr>
          <w:sz w:val="20"/>
          <w:szCs w:val="20"/>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local political and economic instability;</w:t>
      </w:r>
    </w:p>
    <w:p>
      <w:pPr>
        <w:spacing w:after="0" w:line="225" w:lineRule="exact"/>
        <w:rPr>
          <w:rFonts w:ascii="Arial" w:cs="Arial" w:eastAsia="Arial" w:hAnsi="Arial"/>
          <w:sz w:val="18"/>
          <w:szCs w:val="18"/>
          <w:color w:val="auto"/>
        </w:rPr>
      </w:pPr>
    </w:p>
    <w:p>
      <w:pPr>
        <w:jc w:val="both"/>
        <w:ind w:left="660" w:hanging="247"/>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engagement of activities by our employees, contractors, partners and agents, especially in countries with developing economies, that are prohibited by international and local trade and labor laws and other laws prohibiting corrupt payments to government officials, including the Foreign Corrupt Practices Act, the United Kingdom (“UK”) Bribery Act of 2010 and export control laws, in spite of our policies and procedures designed to ensure compliance with these laws;</w:t>
      </w:r>
    </w:p>
    <w:p>
      <w:pPr>
        <w:spacing w:after="0" w:line="186"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currency exchange rates;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expense of developing, testing and making localized versions of our products.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Any of these factors, either individually or in combination, could materially impact our international operations and adversely affect our business as a whole.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face risks related to our international sales, including the need to obtain necessary foreign regulatory clearance or approvals.</w:t>
      </w:r>
    </w:p>
    <w:p>
      <w:pPr>
        <w:spacing w:after="0" w:line="15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We currently sell our products outside of North America. As a result, we are subject to foreign regulatory requirements that vary widely from country to country. The time required to obtain clearances or approvals required by other countries may be longer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than that required for FDA clearance or approval, and requirements for such approvals may differ from FDA requirements. We may be unable to obtain regulatory approvals in one or more of the other countries in which we do business or in which we may do business in the future. We may also incur significant costs in attempting to obtain and maintain foreign regulatory approvals. If we experience delays in receipt of approvals to market our products outside of the U.S., or if we fail to receive these approvals, we may be unable to market our products or enhancements in international markets in a timely manner, if at all, which could materially impact our international operations and adversely affect our business as a whole.</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5"/>
          <w:szCs w:val="15"/>
          <w:b w:val="1"/>
          <w:bCs w:val="1"/>
          <w:i w:val="1"/>
          <w:iCs w:val="1"/>
          <w:color w:val="auto"/>
        </w:rPr>
        <w:t>Demand for our products may not increase as rapidly as we anticipate due to a variety of factors including a weakness in general economic conditions.</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Consumer spending habits are affected by, among other things, prevailing economic conditions, levels of employment, salaries and wage rates, gas prices, consumer confidence and consumer perception of economic conditions. A general slowdown in the U.S. economy and certain international economies or an uncertain economic outlook would adversely affect consumer spending habits which may, among other things, result in a decrease in the number of overall orthodontic case starts, reduced patient traffic in dentists’ offices, reduction in consumer spending on elective or higher value procedures or a reduction in the demand for dental services generally, each of which would have a material adverse effect on our sales and operating results. Weakness in the global economy results in a challenging environment for selling dental technologies and dentists may postpone investments in capital equipment, such as intraoral scanners. In addition, Invisalign treatment, which currently accounts for the vast majority of our net revenues, represents a significant change from traditional orthodontic treatment, and customers and consumers may be reluctant to accept it or may not find it preferable to traditional treatment. We have generally received positive feedback from orthodontists, GPs and consumers regarding Invisalign treatment as both an alternative to braces and as a clinical method for the treatment of malocclusion, but a number of dental professionals believe that the Invisalign treatment is appropriate for only a limited percentage of their patients. Increased market acceptance of all of our products will depend in part upon the recommendations of dental professionals, as well as other factors including effectiveness, safety, ease of use, reliability, aesthetics, and price compared to competing products.</w:t>
      </w:r>
    </w:p>
    <w:p>
      <w:pPr>
        <w:spacing w:after="0" w:line="16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future success may depend on our ability to develop, successfully introduce and achieve market acceptance of new products.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future success may depend on our ability to develop, manufacture, market and obtain regulatory approval or clearance of new products. There can be no assurance that we will be able to successfully develop, sell and achieve market acceptance of these and other new products and applications and enhanced versions of our existing product or software. The extent of, and rate at which, market acceptance and penetration are achieved by new or future products is a function of many variables, which include, among other things, our ability to:</w:t>
      </w:r>
    </w:p>
    <w:p>
      <w:pPr>
        <w:spacing w:after="0" w:line="187" w:lineRule="exact"/>
        <w:rPr>
          <w:sz w:val="20"/>
          <w:szCs w:val="20"/>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correctly identify customer needs and preferences and predict future needs and preferences;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 functionality and features that address customer requirements;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ensure compatibility of our computer operating systems and hardware configurations with those of our customers;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allocate our research and development funding to products with higher growth prospects;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anticipate and respond to our competitors’ development of new products and technological innovations;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differentiate our offerings from our competitors’ offerings;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innovate and develop new technologies and applications;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third-party reimbursement of procedures using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adequate intellectual property rights;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encourage customers to adopt new technologies.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fail to accurately predict customer needs and preferences or fail to produce viable technologies, we may invest heavily in research and development of products that do not lead to significant revenue. Even if we successfully innovate and develop new products and produce enhancements, we may incur substantial costs in doing so and our profitability may suffer. In addition, even if our new products are successfully introduced, it is unlikely that they will rapidly gain market share and acceptance primarily due to the relatively long period of time it takes to successfully treat a patient with Invisalign. Since it typically takes approximately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12 to 24 months to treat a patient, our customers may be unwilling to rapidly adopt our new products until they successfully complete at least one case or until more historical clinical results are available.</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ability to market and sell new products may also be subject to government regulation, including approval or clearance by the FDA and foreign government agencies. Any failure in our ability to successfully develop and introduce or achieve market acceptance of our new products or enhanced versions of existing products could have a material adverse effect on our operating results and could cause our net revenues to decline.</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The frequency of use of the Invisalign System by orthodontists or GPs may not increase at the rate that we anticipate or at all.</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One of our key objectives is to continue to increase utilization, or the adoption and frequency of use, of the Invisalign System by new and existing customers. If utilization of the Invisalign System by our existing and newly trained orthodontists or GPs does not occur or does not occur as quickly as we anticipate, our operating results could be harmed.</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We may experience declines in average selling prices of our products which may decrease our net revenues.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volume-based discount programs to our doctors. In addition, we sell a number of products at different list prices. If we change the volume-based discount programs affecting our average selling prices; if we introduce any price reductions or consumer rebate programs; if we expand our discount programs in the future or participation in these programs increases; or if our product mix shifts to lower priced products or to products that have a higher percentage of deferred revenue, our average selling prices would be adversely affected and our net revenues, gross profit, gross margin and net income may be reduced.</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are exposed to fluctuations in currency exchange rates, which could negatively affect our financial condition and results of operations.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Although the U.S. dollar is our reporting currency, a portion of our net revenues and net income are generated in foreign currencies. Net revenues and net income generated by subsidiaries operating outside of the U.S. are translated into U.S. dollars using exchange rates effective during the respective period and are affected by changes in exchange rates. As a result, negative movements in currency exchange rates against the U.S. dollar will adversely affect our net revenues and net income in our consolidated financial statements. The exchange rate between the U.S. dollar and foreign currencies has fluctuated substantially in recent years and may continue to fluctuate substantially in the future. As a result, we enter into currency forward contract transactions in an effort to cover some of our exposure to foreign currency exchange fluctuations. These transactions may not operate to fully or effectively hedge our exposure to currency fluctuations, and, under certain circumstances, these transactions could have an adverse effect on our financial condition.</w:t>
      </w:r>
    </w:p>
    <w:p>
      <w:pPr>
        <w:spacing w:after="0" w:line="167"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As we continue to grow, we are subject to growth related risks, including risks related to excess or constrained capacity at our existing facilities.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subject to growth related risks, including excess or constrained capacity and pressure on our internal systems and personnel. In order to manage current operations and future growth effectively, we will need to continue to implement and improve our operational, financial and management information systems and to hire, train, motivate, manage and retain employees. We may be unable to manage such growth effectively. Any such failure could have a material adverse impact on our business, operations and prospects. We are establishing additional order acquisition, treatment planning and manufacturing facilities closer to our international customers in order to improve our operational efficiency and provide doctors with a better experience to further improve their confidence in using Invisalign to treat more patients, more often. Our ability to plan, construct and equip additional order acquisition, treatment planning and manufacturing facilities is subject to significant risk and uncertainty, including risks inherent in the establishment of a facility, such as hiring and retaining employees and delays and cost overruns as a result of a number of factors, any of which may be out of our control. If the transition into these additional facilities is significantly delayed or demand for our product exceeds our current expectations, we may not be able to fulfill orders timely, which may negatively impact our financial results and overall business. In addition, because we cannot immediately adapt our production capacity and related cost structures to changing market conditions, our facility capacity may at times exceed or fall short of our production requirements. In addition, if product demand decreases or we fail to forecast demand accurately, we could be required to write off inventory or record excess capacity charges, which would lower our gross margin. Production of our intraoral scanners may also be limited by capacity constraints due to a variety of factors, including our dependency on third party vendors for key components in addition to limited production yields. Any or all of these problems could result in the loss of customers, provide an opportunity for competing products to gain market acceptance and otherwise harm our business and financial results</w:t>
      </w:r>
      <w:r>
        <w:rPr>
          <w:rFonts w:ascii="Arial" w:cs="Arial" w:eastAsia="Arial" w:hAnsi="Arial"/>
          <w:sz w:val="16"/>
          <w:szCs w:val="16"/>
          <w:b w:val="1"/>
          <w:bCs w:val="1"/>
          <w:i w:val="1"/>
          <w:iCs w:val="1"/>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leasing retail space subject to long-term and non-cancelable leases. We may be unable to renew leases at the end of their terms. If we close a leased retail space, we remain obligated under the applicable lease.</w:t>
      </w:r>
    </w:p>
    <w:p>
      <w:pPr>
        <w:spacing w:after="0" w:line="103" w:lineRule="exact"/>
        <w:rPr>
          <w:sz w:val="20"/>
          <w:szCs w:val="20"/>
          <w:color w:val="auto"/>
        </w:rPr>
      </w:pPr>
    </w:p>
    <w:p>
      <w:pPr>
        <w:jc w:val="both"/>
        <w:ind w:firstLine="216"/>
        <w:spacing w:after="0" w:line="270" w:lineRule="auto"/>
        <w:rPr>
          <w:sz w:val="20"/>
          <w:szCs w:val="20"/>
          <w:color w:val="auto"/>
        </w:rPr>
      </w:pPr>
      <w:r>
        <w:rPr>
          <w:rFonts w:ascii="Arial" w:cs="Arial" w:eastAsia="Arial" w:hAnsi="Arial"/>
          <w:sz w:val="17"/>
          <w:szCs w:val="17"/>
          <w:color w:val="auto"/>
        </w:rPr>
        <w:t>We have recently increased the number of retail locations leased by us as we continue to expand our Invisalign Experience locations program. We do not own any of our retail store locations. We currently lease the majority of our Invisalign Experience locations under long-term, non-cancelable leases, which usually have initial terms ranging from three and ten years. We believe that the majority of the leases we enter into in the future will likely be long-term and non-cancelable. Generally, our leases are “net” leases, which require us to pay our proportionate share of the cost of insurance, taxes, maintenance and utilities. If we determine that it is no longer economical to operate a retail store subject to a lease and decide to, or are otherwise required to, close it for any reason, we may remain obligated under the applicable lease for, among other things, payment of the base rent for the balance of the lease term. In addition, as each of our leases expire, we may be unable to negotiate renewals, either on commercially acceptable terms or at all, which could cause us to close retail spaces in desirable locations. Our inability to secure desirable retail space or favorable lease terms could impact our ability to grow our Invisalign Experience program as desired. Likewise, our obligation to continue making lease payments in respect of leases for closed retail spaces could have a material adverse effect on our business, financial condition and results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If we fail to sustain or increase profitability or revenue growth in future periods, the market price for our common stock may decline.</w:t>
      </w:r>
    </w:p>
    <w:p>
      <w:pPr>
        <w:spacing w:after="0" w:line="1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to sustain or increase profitability in future periods, we will need to continue to increase our net revenues, while controlling our expenses. Because our business is evolving, it is difficult to predict our future operating results or levels of growth, and we have not in the past and may not in the future be able to sustain our historical growth rates. If we do not increase profitability or revenue growth or otherwise meet the expectations of securities analysts or investors, the market price of our common stock will likely decline.</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financial results have fluctuated in the past and may fluctuate in the future which may cause volatility in our stock price.</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operating results have fluctuated in the past and we expect our future quarterly and annual operating results to fluctuate as we focus on increasing doctor and consumer demand for our products. These fluctuations could cause our stock price to decline or significantly fluctuate. Some of the factors that could cause our operating results to fluctuate include:</w:t>
      </w:r>
    </w:p>
    <w:p>
      <w:pPr>
        <w:spacing w:after="0" w:line="181" w:lineRule="exact"/>
        <w:rPr>
          <w:sz w:val="20"/>
          <w:szCs w:val="20"/>
          <w:color w:val="auto"/>
        </w:rPr>
      </w:pPr>
    </w:p>
    <w:p>
      <w:pPr>
        <w:ind w:left="660" w:hanging="247"/>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limited visibility into and difficulty predicting from quarter to quarter, the level of activity in our customers’ practices including limited visibility into the number of aligners purchased by SmileDirectClub, LLC (“SDC”) under the supply agreement;</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weakness in consumer spending as a result of a slowdown in the global, U.S. or other economies;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relationships with our distributors or dental service organizations;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timing of receipt of Invisalign case product orders during a given quarter which, given our cycle time and the delay between case receipts and case shipments, could have an impact on which quarter revenues can be recognized;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currency exchange rates against the U.S. dollar;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product mix;</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scale production of our iTero Element scanner to meet customer demand;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participation in our customer rebate or discount programs increases, our average selling price will be adversely affected;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seasonal fluctuations in the number of doctors in their offices and their availability to take appointments;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 of or changes to our marketing programs from quarter to quarter;</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reliance on our contract manufacturers for the production of sub-assemblies for our intraoral scanners;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timing of industry tradeshows;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timing of when revenues are recognized, including as a result of the introduction of new products or promotions, modifications to our terms and conditions or as a result of changes to critical accounting estimates or new accounting pronouncements;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unanticipated delays in production caused by insufficient capacity or availability of raw materials;</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disruptions in the manufacturing process, including unexpected turnover in the labor force or the introduction of new production processes, power outages or natural or other disasters beyond our control;</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development and marketing of directly competitive products by existing and new competitors;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to our business as a result of our agreement to manufacture clear aligners for SDC, including market acceptance of the SDC business model and product, possible adverse customer reaction and negative publicity about us and our products;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impairments in the value of our investments in SDC and other privately held companies could be material;</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major changes in available technology or the preferences of customers may cause our current product offerings to become less competitive or obsolete;</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aggressive price competition from competitors;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and expenditures in connection with litigation;</w:t>
      </w:r>
    </w:p>
    <w:p>
      <w:pPr>
        <w:spacing w:after="0" w:line="171" w:lineRule="exact"/>
        <w:rPr>
          <w:rFonts w:ascii="Arial" w:cs="Arial" w:eastAsia="Arial" w:hAnsi="Arial"/>
          <w:sz w:val="18"/>
          <w:szCs w:val="18"/>
          <w:color w:val="auto"/>
        </w:rPr>
      </w:pPr>
    </w:p>
    <w:p>
      <w:pPr>
        <w:ind w:left="660" w:right="20" w:hanging="247"/>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of new product introductions by us and our competitors, as well as customer order deferrals in anticipation of enhancements or new products;</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unanticipated delays in our receipt of patient records made through an intraoral scanner for any reason;</w:t>
      </w:r>
    </w:p>
    <w:p>
      <w:pPr>
        <w:spacing w:after="0" w:line="171"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to our business due to political, economic or other social instability, including the impact of an epidemic any of which results in changes in consumer spending habits, consumers unable or unwilling to visit the orthodontist or general practitioners office, as well as any impact on workforce absenteeism;</w:t>
      </w:r>
    </w:p>
    <w:p>
      <w:pPr>
        <w:spacing w:after="0" w:line="127"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inaccurate forecasting of net revenues, production and other operating costs,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investments in research and development to develop new products and enhancements;</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standards, policies and estimates including changes made by our equity investee;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successfully hedge against a portion of our foreign currency-denominated assets and liabilities.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To respond to these and other factors, we may need to make business decisions that could adversely affect our operating results such as modifications to our pricing policy, business structure or operations. Most of our expenses, such as employee compensation and lease payment obligations, are relatively fixed in the short term. Moreover, our expense levels are based, in part, on our expectations regarding future revenue levels. As a result, if our net revenues for a particular period fall below our expectations, whether caused by changes in consumer spending, consumer preferences, weakness in the U.S. or global economies, changes in customer behavior related to advertising and prescribing our product or other factors, we may be unable to adjust spending quickly enough to offset any shortfall in net revenues. Due to these and other factors, we believe that quarter-to-quarter comparisons of our operating results may not be meaningful. You should not rely on our results for any one quarter as an indication of our future performance.</w:t>
      </w:r>
    </w:p>
    <w:p>
      <w:pPr>
        <w:spacing w:after="0" w:line="16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A disruption in the operations of our primary freight carrier or higher shipping costs could cause a decline in our net revenues or a reduction in our earnings.</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are dependent on commercial freight carriers, primarily UPS, to deliver our products to our customers. If the operations of these carriers are disrupted for any reason, we may be unable to deliver our products to our customers on a timely basis. If we cannot deliver our products in an efficient and timely manner, our customers may reduce their orders from us and our net revenues and gross margin could materially decline. In a rising fuel cost environment, our freight costs will increase. If freight costs materially increase and we are unable to pass that increase along to our customers for any reason or otherwise offset such increases in our cost of net revenues, our gross margin and financial results could be adversely affected.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265"/>
        <w:spacing w:after="0" w:line="277" w:lineRule="auto"/>
        <w:rPr>
          <w:sz w:val="20"/>
          <w:szCs w:val="20"/>
          <w:color w:val="auto"/>
        </w:rPr>
      </w:pPr>
      <w:r>
        <w:rPr>
          <w:rFonts w:ascii="Arial" w:cs="Arial" w:eastAsia="Arial" w:hAnsi="Arial"/>
          <w:sz w:val="18"/>
          <w:szCs w:val="18"/>
          <w:b w:val="1"/>
          <w:bCs w:val="1"/>
          <w:i w:val="1"/>
          <w:iCs w:val="1"/>
          <w:color w:val="auto"/>
        </w:rPr>
        <w:t>If we are unable to accurately predict our volume growth, and fail to hire a sufficient number of technicians in advance of such demand, the delivery time of our products could be delayed which could adversely affect our results of operations.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Treatment planning is a key step leading to our manufacturing process which relies on sophisticated computer technology requiring new technicians to undergo a relatively long training process. Training production technicians takes approximately 90 to 120 days. As a result, if we are unable to accurately predict our volume growth, we may not have a sufficient number of trained technicians to deliver our products within the time frame our customers expect. Such a delay could cause us to lose existing customers or fail to attract new customers. This could cause a decline in our net revenues and net income and could adversely affect our results of operations.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Our headquarters, digital dental modeling processes, and other manufacturing processes are principally located in regions that are subject to earthquakes and other natural disasters.</w:t>
      </w:r>
    </w:p>
    <w:p>
      <w:pPr>
        <w:spacing w:after="0" w:line="10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digital dental modeling is primarily processed in our facility located in San Jose, Costa Rica. The operations team in Costa Rica creates ClinCheck treatment plans using sophisticated computer software. In addition, our customer facing operations are located in Costa Rica. Our aligner molds and finished aligners are fabricated in Juarez, Mexico. Both locations in Costa Rica and Mexico are in earthquake zones and may be subject to other natural disasters. If there is a major earthquake or any other natural disaster in a region where one of these facilities is located, our ability to create ClinCheck treatment plans, respond to customer inquiries or manufacture and ship our aligners could be compromised which could result in our customers experiencing a significant delay in receiving their completed aligners and a decrease in service levels for a period of time. In addition, our corporate headquarters in California is located in the San Francisco Bay Area. An earthquake or other natural disaster in this region could result in a disruption in our operations. Any such business interruption could materially and adversely affect our business, financial condition and results of operations.</w:t>
      </w:r>
    </w:p>
    <w:p>
      <w:pPr>
        <w:spacing w:after="0" w:line="166"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are critical to our business. System integration and implementation issues and system security risks could disrupt our operations, which could have a material adverse impact on our business and operating results.</w:t>
      </w:r>
    </w:p>
    <w:p>
      <w:pPr>
        <w:spacing w:after="0" w:line="10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rely on the efficient and uninterrupted operation of complex information technology systems. All information technology systems are vulnerable to damage or interruption from a variety of sources. As our business has grown in size and complexity, the growth has placed, and will continue to place, significant demands on our information technology systems. To effectively manage this growth, our information systems and applications require an ongoing commitment of significant resources to maintain, protect and enhance existing systems and develop new systems to keep pace with continuing changes in information processing technology, evolving industry and regulatory standards and changing customer preferences. We are in a multi-year, company-wide program to transform certain business processes, extend established processes and/or implement additional functionality in our enterprise resource planning (“ERP”) software system which entails certain risks, including difficulties with changes in business processes that could disrupt our operations, such as our ability to track orders and timely ship products, manage our supply chain and aggregate financial and operational data.</w:t>
      </w:r>
    </w:p>
    <w:p>
      <w:pPr>
        <w:spacing w:after="0" w:line="16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System upgrades and enhancements require significant expenditures and allocation of valuable employee resources. Delays in integration or disruptions to our business from implementation of these new or upgraded systems could have a material adverse impact on our financial condition and operating results.</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we continuously upgrade our customer facing software applications, specifically the ClinCheck and MyAligntech software. Software applications frequently contain errors or defects, especially when they are first introduced or when new versions are released. The discovery of a defect or error or the incompatibility with the computer operating system and hardware configurations of customers in a new upgraded version or the failure of our primary information systems may result in the following consequences, among others: loss of revenues or delay in market acceptance, damage to our reputation or increased service costs, any of which could have a material adverse effect on our business, financial condition or results of operations.</w:t>
      </w:r>
    </w:p>
    <w:p>
      <w:pPr>
        <w:spacing w:after="0" w:line="173" w:lineRule="exact"/>
        <w:rPr>
          <w:sz w:val="20"/>
          <w:szCs w:val="20"/>
          <w:color w:val="auto"/>
        </w:rPr>
      </w:pPr>
    </w:p>
    <w:p>
      <w:pPr>
        <w:jc w:val="both"/>
        <w:ind w:firstLine="383"/>
        <w:spacing w:after="0" w:line="270" w:lineRule="auto"/>
        <w:rPr>
          <w:sz w:val="20"/>
          <w:szCs w:val="20"/>
          <w:color w:val="auto"/>
        </w:rPr>
      </w:pPr>
      <w:r>
        <w:rPr>
          <w:rFonts w:ascii="Arial" w:cs="Arial" w:eastAsia="Arial" w:hAnsi="Arial"/>
          <w:sz w:val="17"/>
          <w:szCs w:val="17"/>
          <w:color w:val="auto"/>
        </w:rPr>
        <w:t>If the information we rely upon to run our businesses were to be found to be inaccurate or unreliable, if we fail to properly maintain our information systems and data integrity, or if we fail to develop new capabilities to meet our business needs in a timely manner, we could have operational disruptions, have customer disputes, lose our ability to produce timely and accurate reports, have regulatory or other legal problems, have increases in operating and administrative expenses, lose existing customers, have difficulty in attracting new customers or in implementing our growth strategies, or suffer other adverse consequences. In addition, experienced computer programmers and hackers may be able to penetrate our network security or our cloud-based software servers hosted by third party and misappropriate our confidential information or that of third parties, create system disruptions or cause shutdowns. Furthermore, sophisticated hardware and operating system software and applications that we either internally develop or procure from third parties which we depend upon may contain defects in design and manufacture, including “bugs” and other problems that can unexpectedly interfere with the operation of the system. The costs to eliminate or alleviate security problems,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viruses and bugs could be significant, and the efforts to address these problems could result in interruptions that may have a material adverse impact on our operations, net revenues and operating results.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our business requires the secure transmission of confidential information over public networks. Because of the confidential health information we store and transmit, security breaches could expose us to a risk of regulatory action, litigation, possible liability and loss. We have experienced such breaches in the past and our security measures may be inadequate to prevent security breaches, and our business operations and profitability would be adversely affected by, among other things, loss of customers and potential criminal and civil sanctions if they are not prevented.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There can be no assurance that our process of improving existing systems, developing new systems to support our expanding operations, integrating new systems, protecting confidential patient information, and improving service levels will not be delayed or that additional systems issues will not arise in the future. Failure to adequately protect and maintain the integrity of our information systems and data may result in a material adverse effect on our financial position, results of operations and cash flows.</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the security of our customer and patient information is compromised, patient care could suffer, and we could be liable for related damages, and our reputation could be impaired.</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retain confidential customer and patient information in our processing centers. Therefore, it is critical that our facilities and infrastructure remain secure and are also perceived by the marketplace and our customers to be secure. Despite the implementation of security measures, we have experienced such breaches in the past and our infrastructure may be vulnerable to physical break-ins, computer viruses, programming errors or other technical malfunctions, hacking or phishing attacks by third parties, employee error or malfeasance or similar disruptive problems. If we fail to meet our customer and patient’s expectations regarding the security of healthcare information, we could be liable for damages and our reputation and competition position could be impaired. Affected parties could initiate legal or regulatory action against us, which could cause us to incur significant expense and liability or result in orders forcing us to modify our business practices. Concerns over our privacy practices could adversely affect others’ perception of us and deter customers, advertisers and partners from using our products. In addition, patient care could suffer, and we could be liable if our systems fail to deliver correct information in a timely manner. Our insurance may not protect us from this risk.</w:t>
      </w:r>
    </w:p>
    <w:p>
      <w:pPr>
        <w:spacing w:after="0" w:line="18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also subject to several federal, state and foreign laws and regulations, including ones relating to privacy, data protection, content regulation, and consumer protection. These laws and regulations are constantly evolving and may be interpreted, applied, created or amended in a manner that could adversely affect our business.</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we must comply with numerous data protection requirements that span from individual state and national laws in the U.S. to multinational requirements in the EU. In the EU, Align must comply with the General Data Protection Regulation (“GDPR”), which became effective on May 25, 2018 and serves as a harmonization of European data-privacy laws. We believe we have designed our product and service offerings to be compliant with the requirements of applicable data protection laws and regulations. Maintaining systems that are compliant with these laws and regulations is costly and could require complex changes in the way we do business or provide services to our customers and their patients. Additionally, our success may be dependent on the success of healthcare providers in managing data protection requirements.</w:t>
      </w:r>
    </w:p>
    <w:p>
      <w:pPr>
        <w:spacing w:after="0" w:line="178"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Our success depends in part on our proprietary technology, and if we are unable to successfully enforce our intellectual property rights, our competitive position may be harmed. Litigating claims of this type is costly and could distract our management and cause a decline in our results of operations and stock price.</w:t>
      </w:r>
    </w:p>
    <w:p>
      <w:pPr>
        <w:spacing w:after="0" w:line="1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success will depend in part on our ability to maintain existing intellectual property and to obtain and maintain further intellectual property protection for our products, both in the U.S. and in other countries. Our inability to do so could harm our competitive position. As of September 30, 2018, we had 434 active U.S. patents, 402 active foreign patents, and 461 pending global patent applications.</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intend to rely on our portfolio of issued and pending patent applications in the U.S. and in other countries to protect a large part of our intellectual property and our competitive position; however, our currently pending or future patent filings may not result in the issuance of patents. Additionally, any patents issued to us may be challenged, invalidated, held unenforceable, circumvented, or may not be sufficiently broad to prevent third parties from producing competing products similar in design to our products. In addition, any protection afforded by foreign patents may be more limited than that provided under U.S. patents and intellectual property laws. Certain of our key patents began to expire in 2017, which may result in increased competition or less expensive alternatives to our products. We also rely on protection of our copyrights, trade secrets, know-how and proprietary information. We generally enter into confidentiality agreements with our employees, consultants and our collaborative partners upon commencement of a relationship with us; however, these agreements may not provide meaningful protection against the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unauthorized use or disclosure of our trade secrets or other confidential information, and adequate remedies may not exist if unauthorized use or disclosure were to occur. Our inability to maintain the proprietary nature of our technology through patents, copyrights or trade secrets would impair our competitive advantages and could have a material adverse effect on our operating results, financial condition and future growth prospects. In particular, a failure to protect our proprietary rights might allow competitors to copy our technology, which could adversely affect our pricing and market share. In addition, in an effort to protect our intellectual property we have in the past been and may in the future be involved in litigation. The potential effects on our business operations resulting from litigation that we may participate in the future, whether or not ultimately determined in our favor or settled by us, are costly and divert the efforts and attention of our management and technical personnel from normal business operations.</w:t>
      </w:r>
    </w:p>
    <w:p>
      <w:pPr>
        <w:spacing w:after="0" w:line="17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Litigation, interferences, oppositions, re-exams, inter partes reviews, post grant reviews or other proceedings are, have been and may in the future be necessary in some instances to determine the validity and scope of certain of our proprietary rights, and in other instances to determine the validity, scope or non-infringement of certain patent rights claimed by third parties to be pertinent to the manufacture, use or sale of our products. Litigation, interference, oppositions, re-exams, inter partes reviews, post grant reviews, administrative challenges or other similar types of proceedings are unpredictable and may be protracted, expensive and distracting to management. The outcome of such proceedings could adversely affect the validity and scope of our patent or other proprietary rights, hinder our ability to manufacture and market our products, require us to seek a license for the infringed product or technology or result in the assessment of significant monetary damages. An unfavorable ruling could include monetary damages or, in cases where injunctive relief is sought, an injunction prohibiting us from selling our products. Any of these results from our litigation could adversely affect our results of operations and stock price.</w:t>
      </w:r>
    </w:p>
    <w:p>
      <w:pPr>
        <w:spacing w:after="0" w:line="166"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b w:val="1"/>
          <w:bCs w:val="1"/>
          <w:i w:val="1"/>
          <w:iCs w:val="1"/>
          <w:color w:val="auto"/>
        </w:rPr>
        <w:t>While we believe we currently have adequate internal control over financial reporting, we are required to assess our internal control over financial reporting on an annual basis and any future adverse results from such assessment could result in a loss of investor confidence in our financial reports and have an adverse effect on our stock price.</w:t>
      </w:r>
    </w:p>
    <w:p>
      <w:pPr>
        <w:spacing w:after="0" w:line="11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Pursuant to the Sarbanes-Oxley Act of 2002 and the rules and regulations promulgated by the SEC, we are required to furnish in our Form 10-K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the effectiveness of our internal controls in future periods is subject to the risk that our controls may become inadequate because of changes in conditions including our transition of further business operations into our ERP software system, and, as a result, the degree of compliance of our internal control over financial reporting with the existing policies or procedures may become ineffective.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 If we are unable to assert that our internal control over financial reporting is effective in any future period (or if our auditors are unable to express an opinion on the effectiveness of our internal controls or conclude that our internal controls are ineffective), we could lose investor confidence in the accuracy and completeness of our financial reports, which could have an adverse effect on our stock price.</w:t>
      </w:r>
    </w:p>
    <w:p>
      <w:pPr>
        <w:spacing w:after="0" w:line="21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If we lose our key personnel or are unable to attract and retain key personnel, we may be unable to pursue business opportunities or develop our products.</w:t>
      </w:r>
    </w:p>
    <w:p>
      <w:pPr>
        <w:spacing w:after="0" w:line="10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highly dependent on the key employees in our clinical engineering, technology development, sales, training and marketing personnel and management teams. The loss of the services provided by those individuals may significantly delay or prevent the achievement of our product development and other business objectives and could harm our business. Our future success will also depend on our ability to identify, recruit, train and retain additional qualified personnel, including orthodontists and production technicians in our treat facilities. Few orthodontists are accustomed to working in a manufacturing environment since they are generally trained to work in private practices, universities and other research institutions. Thus, we may be unable to attract and retain personnel with the advanced qualifications necessary for the further development of our business. Furthermore, we may not be successful in retaining our key personnel or their services. If we are unable to attract and retain key personnel, our business could be materially harmed.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284"/>
        <w:spacing w:after="0" w:line="277" w:lineRule="auto"/>
        <w:rPr>
          <w:sz w:val="20"/>
          <w:szCs w:val="20"/>
          <w:color w:val="auto"/>
        </w:rPr>
      </w:pPr>
      <w:r>
        <w:rPr>
          <w:rFonts w:ascii="Arial" w:cs="Arial" w:eastAsia="Arial" w:hAnsi="Arial"/>
          <w:sz w:val="18"/>
          <w:szCs w:val="18"/>
          <w:b w:val="1"/>
          <w:bCs w:val="1"/>
          <w:i w:val="1"/>
          <w:iCs w:val="1"/>
          <w:color w:val="auto"/>
        </w:rPr>
        <w:t>If we infringe the patents or proprietary rights of other parties or are subject to a patent infringement claim, our ability to grow our business may be severely limited.</w:t>
      </w:r>
    </w:p>
    <w:p>
      <w:pPr>
        <w:spacing w:after="0" w:line="10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Extensive litigation over patents and other intellectual property rights is common in the medical device industry. We have been sued for infringement of third party’s patents in the past and we may be the subject of patent or other litigation in the future. From time to time, we have received and may in the future receive letters from third parties drawing our attention to their patent rights. While we do not believe that we infringe upon any valid and enforceable rights that have been brought to our attention, there may be other more pertinent rights of which we are presently unaware. The defense and prosecution of intellectual property suits, interference proceedings and related legal and administrative proceedings could result in substantial expense to us and significant diversion of effort by our technical and management personnel. An adverse determination of any litigation or interference proceeding to which we may become a party could subject us to significant liabilities. An adverse determination of this nature could also put our patents at risk of being invalidated or interpreted narrowly or require us to seek licenses from third parties. Licenses may not be available on commercially reasonable terms or at all, in which event, our business would be materially adversely affected.</w:t>
      </w:r>
    </w:p>
    <w:p>
      <w:pPr>
        <w:spacing w:after="0" w:line="182"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b w:val="1"/>
          <w:bCs w:val="1"/>
          <w:i w:val="1"/>
          <w:iCs w:val="1"/>
          <w:color w:val="auto"/>
        </w:rPr>
        <w:t>We maintain single supply relationships for certain of our key machines and materials technologies, and our business and operating results could be harmed if supply is restricted or ends or the price of raw materials used in our manufacturing process increases.</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highly dependent on manufacturers of specialized scanning equipment, rapid prototyping machines, resin and other advanced materials, as well as the optics, electronic and other mechanical components of our intraoral scanners. We maintain single supply relationships for many of these machines and materials technologies. In particular, our CT scanning and stereolithography equipment used in our aligner manufacturing and many of the critical components for the optics of our scanners are provided by single suppliers. We are also committed to purchasing the vast majority of our resin and polymer, the primary raw materials used in our manufacturing process for clear aligners, from a single source. If these or other suppliers encounter financial, operating or other difficulties or if our relationship with them changes, we might not be able to quickly establish or qualify replacement sources of supply and could face production interruptions, delays and inefficiencies. In addition, technology changes by our vendors could disrupt access to required manufacturing capacity or require expensive, time consuming development efforts to adapt and integrate new equipment or processes. Our growth may exceed the capacity of one or more of these manufacturers to produce the needed equipment and materials in sufficient quantities to support our growth. Conversely, in order to secure supplies for production of products, we sometimes enter into non-cancelable minimum purchase commitments with vendors, which could impact our ability to adjust our inventory to reflect declining market demands. If demand for our products is less than we expect, we may experience additional excess and obsolete inventories and be forced to incur additional charges and our profitability may suffer. In the event of technology changes, delivery delays, or shortages of or increases in price for these items, our business and growth prospects may be harmed.</w:t>
      </w:r>
    </w:p>
    <w:p>
      <w:pPr>
        <w:spacing w:after="0" w:line="175"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We depend on a single contract manufacturer and supplier of parts used in our iTero scanner and any disruption in this relationship may cause us to fail to meet the demands of our customers and damage our customer relationships.</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third party manufacturer to supply key sub-assemblies for our iTero Element scanner. As a result, if this third party manufacturer fails to deliver its components, if we lose its services or if we fail to negotiate acceptable terms, we may be unable to deliver our products in a timely manner and our business may be harmed. Any difficulties encountered by the third party manufacturer with respect to hiring personnel and maintaining acceptable manufacturing standards, controls, procedures and policies could disrupt our ability to deliver our products in a timely manner. Finding a substitute manufacturer may be expensive, time-consuming or impossible and could result in a significant interruption in the supply of our intraoral scanning products. Any failure by our contract manufacturer that results in delays in our fulfillment of customer orders may cause us to lose revenues and suffer damage to our customer relationships.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primarily rely on our direct sales force to sell our products, and any failure to maintain our direct sales force could harm our business.</w:t>
      </w:r>
    </w:p>
    <w:p>
      <w:pPr>
        <w:spacing w:after="0" w:line="16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ability to sell our products and generate revenues primarily depends upon our direct sales force within our Americas and International markets. We do not have any long-term employment contracts with the members of our direct sales force. The loss of the services provided by these key personnel may harm our business. If we are unable to retain our direct sales force personnel or replace them with individuals of equivalent technical expertise and qualifications, or if we are unable to successfully instill such technical expertise or if we fail to establish and maintain strong relationships with our customers within a relatively short period of time, our net revenues and our ability to maintain market share could be materially harmed. In addition, due to our large and fragmented customer base, we may not be able to provide all of our customers with product support immediately upon the launch of a new product. As a result, adoption of new products by our customers may be slower than anticipated and our ability to grow market share and increase our net revenues may be harmed.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b w:val="1"/>
          <w:bCs w:val="1"/>
          <w:i w:val="1"/>
          <w:iCs w:val="1"/>
          <w:color w:val="auto"/>
        </w:rPr>
        <w:t>If our distributor relationships are not successful, our ability to market and sell our products would be harmed and our financial performance will be adversely affected.</w:t>
      </w:r>
    </w:p>
    <w:p>
      <w:pPr>
        <w:spacing w:after="0" w:line="103"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We depend on relationships with distributors for the marketing and sales of our products in various geographic regions, and we have a limited ability to influence their efforts. Relying on distributors for our sales and marketing could harm our business for various reasons, including:</w:t>
      </w:r>
    </w:p>
    <w:p>
      <w:pPr>
        <w:spacing w:after="0" w:line="147" w:lineRule="exact"/>
        <w:rPr>
          <w:sz w:val="20"/>
          <w:szCs w:val="20"/>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agreements with distributors may terminate prematurely due to disagreements or may result in litigation between the partners;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renew existing distributor agreements on acceptable terms;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distributors may not devote sufficient resources to the sale of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distributors may be unsuccessful in marketing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existing relationships with distributors may preclude us from entering into additional future arrangements with other distributors;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negotiate future distributor agreements on acceptable terms.</w:t>
      </w:r>
    </w:p>
    <w:p>
      <w:pPr>
        <w:spacing w:after="0" w:line="171" w:lineRule="exact"/>
        <w:rPr>
          <w:sz w:val="20"/>
          <w:szCs w:val="20"/>
          <w:color w:val="auto"/>
        </w:rPr>
      </w:pPr>
    </w:p>
    <w:p>
      <w:pPr>
        <w:ind w:firstLine="216"/>
        <w:spacing w:after="0" w:line="277" w:lineRule="auto"/>
        <w:rPr>
          <w:sz w:val="20"/>
          <w:szCs w:val="20"/>
          <w:color w:val="auto"/>
        </w:rPr>
      </w:pPr>
      <w:r>
        <w:rPr>
          <w:rFonts w:ascii="Arial" w:cs="Arial" w:eastAsia="Arial" w:hAnsi="Arial"/>
          <w:sz w:val="18"/>
          <w:szCs w:val="18"/>
          <w:b w:val="1"/>
          <w:bCs w:val="1"/>
          <w:i w:val="1"/>
          <w:iCs w:val="1"/>
          <w:color w:val="auto"/>
        </w:rPr>
        <w:t>Complying with regulations enforced by the FDA and other regulatory authorities is an expensive and time-consuming process, and any failure to comply could result in substantial penalties.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products are considered medical devices and are subject to extensive regulation in the U.S. and internationally. FDA regulations are wide ranging and govern, among other things:</w:t>
      </w:r>
    </w:p>
    <w:p>
      <w:pPr>
        <w:spacing w:after="0" w:line="170" w:lineRule="exact"/>
        <w:rPr>
          <w:sz w:val="20"/>
          <w:szCs w:val="20"/>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design, development, manufacturing and testing;</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storage;</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complaint handling and corrective actions;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failure to comply with applicable regulatory requirements could result in enforcement action by the FDA or state agencies, which may include any of the following sanctions:</w:t>
      </w:r>
    </w:p>
    <w:p>
      <w:pPr>
        <w:spacing w:after="0" w:line="170" w:lineRule="exact"/>
        <w:rPr>
          <w:sz w:val="20"/>
          <w:szCs w:val="20"/>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letters, fines, injunctions, consent decrees and civil penalties;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products;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refusing our requests for 510(k) clearance or pre-market approval of new products, new intended uses, or modifications to existing products;</w:t>
      </w:r>
    </w:p>
    <w:p>
      <w:pPr>
        <w:spacing w:after="0" w:line="182" w:lineRule="exact"/>
        <w:rPr>
          <w:rFonts w:ascii="Arial" w:cs="Arial" w:eastAsia="Arial" w:hAnsi="Arial"/>
          <w:sz w:val="17"/>
          <w:szCs w:val="17"/>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withdrawing clearance or pre-market approvals that have already been granted;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any of these events were to occur, they could harm our business. We must comply with facility registration and product listing requirements of the FDA and adhere to applicable Quality System regulations. The FDA enforces its Quality System regulations through periodic unannounced inspections. Our failure to take satisfactory corrective action in response to an adverse inspection or the failure to comply with applicable manufacturing regulations could result in enforcement action, and we may be required to find alternative manufacturers, which could be a long and costly process. Any FDA enforcement action could have a material adverse effect on us.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Before we can sell a new medical device in the U.S., or market a new use of or claim for an existing product, we must obtain FDA clearance or approval unless an exemption applies. Obtaining regulatory clearances or approvals can be a lengthy and time-consuming process. Even though the devices we market have obtained the necessary clearances from the FDA, we may be unable to maintain such clearances in the future. Furthermore, we may be unable to obtain the necessary clearances for new devices that we intend to market in the future. Our inability to maintain or obtain regulatory clearances or approvals could materially harm our business.</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as part of the Dodd-Frank Wall Street Reform and Consumer Protection Act, the SEC adopted disclosure requirements regarding the use of certain minerals, known as conflict minerals, which are mined from the Democratic Republic of Congo and adjoining countries, as well as procedures regarding a manufacturer’s efforts to identify and discourage the sourcing of such minerals and metals produced from those minerals. Additional reporting obligations are being proposed by the European Union. The U.S. requirements and any additional requirements in Europe could affect the sourcing and availability of metals used in the manufacture of a limited number of parts (if any) contained in our products. For example, these disclosure requirements may decrease the number of suppliers capable of supplying our needs for certain metals, thereby negatively affecting our ability to obtain products in sufficient quantities or at competitive prices. Our material sourcing is broad based and multi-tiered, and we may be unable to conclusively verify the origins for all metals used in our products. We may suffer financial and reputational harm if customers require, and we are unable to deliver, certification that our products are conflict free. Regardless, we will incur additional costs associated with compliance with these disclosure requirements, including time-consuming and costly efforts to determine the source of any conflict minerals used in our products.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6"/>
          <w:szCs w:val="16"/>
          <w:b w:val="1"/>
          <w:bCs w:val="1"/>
          <w:i w:val="1"/>
          <w:iCs w:val="1"/>
          <w:color w:val="auto"/>
        </w:rPr>
        <w:t>If compliance with healthcare regulations becomes costly and difficult for our customers or for us, we may not be able to grow our business.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Participants in the healthcare industry are subject to extensive and frequently changing regulations under numerous laws administered by governmental entities at the federal, state and local levels, some of which are, and others of which may be, applicable to our business.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our healthcare provider customers are also subject to a wide variety of laws and regulations that could affect the nature and scope of their relationships with us. The healthcare market itself is highly regulated and subject to changing political, economic and regulatory influences. Regulations implemented pursuant to the Health Insurance Portability and Accountability Act (“HIPAA”), including regulations affecting the security and privacy of patient healthcare information held by healthcare providers and their business associates may require us to make significant and unplanned enhancements of software applications or services, result in delays or cancellations of orders, or result in the revocation of endorsement of our products and services by healthcare participants. The effect of HIPAA and newly enforced regulations on our business is difficult to predict, and there can be no assurance that we will adequately address the business risks created by HIPAA and its implementation or that we will be able to take advantage of any resulting business opportunities.</w:t>
      </w:r>
    </w:p>
    <w:p>
      <w:pPr>
        <w:spacing w:after="0" w:line="192"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b w:val="1"/>
          <w:bCs w:val="1"/>
          <w:i w:val="1"/>
          <w:iCs w:val="1"/>
          <w:color w:val="auto"/>
        </w:rPr>
        <w:t>Extensive and changing government regulation of the healthcare industry may be expensive to comply with and exposes us to the risk of substantial government penalties.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to medical device laws and regulations, numerous state and federal healthcare-related laws regulate our business, covering areas such as:</w:t>
      </w:r>
    </w:p>
    <w:p>
      <w:pPr>
        <w:spacing w:after="0" w:line="248" w:lineRule="exact"/>
        <w:rPr>
          <w:sz w:val="20"/>
          <w:szCs w:val="20"/>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storage, transmission and disclosure of medical information and healthcare records;</w:t>
      </w:r>
    </w:p>
    <w:p>
      <w:pPr>
        <w:spacing w:after="0" w:line="171" w:lineRule="exact"/>
        <w:rPr>
          <w:rFonts w:ascii="Arial" w:cs="Arial" w:eastAsia="Arial" w:hAnsi="Arial"/>
          <w:sz w:val="18"/>
          <w:szCs w:val="18"/>
          <w:color w:val="auto"/>
        </w:rPr>
      </w:pPr>
    </w:p>
    <w:p>
      <w:pPr>
        <w:ind w:left="660" w:hanging="247"/>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prohibitions against the offer, payment or receipt of remuneration to induce referrals to entities providing healthcare services or goods or to induce the order, purchase or recommendation of our products; and</w:t>
      </w:r>
    </w:p>
    <w:p>
      <w:pPr>
        <w:spacing w:after="0" w:line="116" w:lineRule="exact"/>
        <w:rPr>
          <w:rFonts w:ascii="Arial" w:cs="Arial" w:eastAsia="Arial" w:hAnsi="Arial"/>
          <w:sz w:val="18"/>
          <w:szCs w:val="18"/>
          <w:color w:val="auto"/>
        </w:rPr>
      </w:pPr>
    </w:p>
    <w:p>
      <w:pPr>
        <w:ind w:left="660" w:hanging="247"/>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marketing and advertising of our products.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Complying with these laws and regulations could be expensive and time-consuming, and could increase our operating costs or reduce or eliminate certain of our sales and marketing activities or our revenues.</w:t>
      </w:r>
    </w:p>
    <w:p>
      <w:pPr>
        <w:spacing w:after="0" w:line="170"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Our business exposes us to potential product liability claims, and we may incur substantial expenses if we are subject to product liability claims or litigation.</w:t>
      </w:r>
    </w:p>
    <w:p>
      <w:pPr>
        <w:spacing w:after="0" w:line="10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Medical devices involve an inherent risk of product liability claims and associated adverse publicity. We may be held liable if any product we develop or any product that uses or incorporates any of our technologies causes injury or is otherwise found unsuitable. Although we intend to continue to maintain product liability insurance, adequate insurance may not be available 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acceptable terms, if at all, and may not provide adequate coverage against potential liabilities. A product liability claim, regardless of its merit or eventual outcome, could result in significant legal defense costs. These costs would have the effect of increasing our expenses and diverting management’s attention away from the operation of our business, and could harm our business.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Historically, the market price for our common stock has been volatile.</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market price of our common stock could be subject to wide price fluctuations in response to various factors, many of which are beyond our control. The factors include:</w:t>
      </w:r>
    </w:p>
    <w:p>
      <w:pPr>
        <w:spacing w:after="0" w:line="170" w:lineRule="exact"/>
        <w:rPr>
          <w:sz w:val="20"/>
          <w:szCs w:val="20"/>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and liquidity;</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recommendations by the investment community or in their estimates of our net revenues or operating results;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speculation in the press or investment community concerning our business and results of operations;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strategic actions by our competitors, such as product announcements or acquisitions;</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our customers or competitors; and</w:t>
      </w:r>
    </w:p>
    <w:p>
      <w:pPr>
        <w:spacing w:after="0" w:line="171" w:lineRule="exact"/>
        <w:rPr>
          <w:rFonts w:ascii="Arial" w:cs="Arial" w:eastAsia="Arial" w:hAnsi="Arial"/>
          <w:sz w:val="18"/>
          <w:szCs w:val="18"/>
          <w:color w:val="auto"/>
        </w:rPr>
      </w:pPr>
    </w:p>
    <w:p>
      <w:pPr>
        <w:ind w:left="660" w:hanging="24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market conditions.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stock market, in general, and the market for technology and medical device companies, in particular, have experienced extreme price and volume fluctuations that have often been unrelated to or disproportionate to the operating performance of those companies. These broad market and industry factors may seriously harm the market price of our common stock, regardless of our operating performance. Historically, class action litigation is often brought against an issuing company following periods of volatility in the market price of a company’s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Future sales of significant amounts of our common stock may depress our stock price.</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large percentage of our outstanding common stock is currently owned by a small number of significant stockholders. These stockholders have sold in the past, and may sell in the future, large amounts of common stock over relatively short periods of time. Sales of substantial amounts of our common stock in the public market by our existing stockholders may adversely affect the market price of our common stock. Such sales could create public perception of difficulties or problems with our business and may depress our stock price.</w:t>
      </w:r>
    </w:p>
    <w:p>
      <w:pPr>
        <w:spacing w:after="0" w:line="1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b w:val="1"/>
          <w:bCs w:val="1"/>
          <w:i w:val="1"/>
          <w:iCs w:val="1"/>
          <w:color w:val="auto"/>
        </w:rPr>
        <w:t>We are subject to risks associated with our strategic investments. Impairments in the value of our investments and receivables could negatively impact our financial results.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invested in SDC and other privately held companies for strategic reasons and to support key business initiatives, and we may not realize a return on our strategic investments. Many of such companies generate net losses and the market for their products, services or technologies may be slow to develop. Further, valuations of privately held companies are inherently complex due to the lack of readily available market data. If we determine that our investments and receivables in SDC or investments in other privately held companies have experienced a decline in value, we may be required to record impairments which could be material and could have an adverse impact on our financial results.</w:t>
      </w:r>
    </w:p>
    <w:p>
      <w:pPr>
        <w:spacing w:after="0" w:line="188" w:lineRule="exact"/>
        <w:rPr>
          <w:sz w:val="20"/>
          <w:szCs w:val="20"/>
          <w:color w:val="auto"/>
        </w:rPr>
      </w:pPr>
    </w:p>
    <w:p>
      <w:pPr>
        <w:jc w:val="both"/>
        <w:ind w:right="20" w:firstLine="243"/>
        <w:spacing w:after="0" w:line="381" w:lineRule="auto"/>
        <w:rPr>
          <w:sz w:val="20"/>
          <w:szCs w:val="20"/>
          <w:color w:val="auto"/>
        </w:rPr>
      </w:pPr>
      <w:r>
        <w:rPr>
          <w:rFonts w:ascii="Arial" w:cs="Arial" w:eastAsia="Arial" w:hAnsi="Arial"/>
          <w:sz w:val="15"/>
          <w:szCs w:val="15"/>
          <w:b w:val="1"/>
          <w:bCs w:val="1"/>
          <w:i w:val="1"/>
          <w:iCs w:val="1"/>
          <w:color w:val="auto"/>
        </w:rPr>
        <w:t>If we are unable to maintain our corporate structure or if it is challenged by U.S. or foreign tax authorities, we may be unable to realize tax savings or we may incur additional implementation costs to establish a new corporate structure, which could materially and adversely affect our operating results.</w:t>
      </w:r>
    </w:p>
    <w:p>
      <w:pPr>
        <w:spacing w:after="0" w:line="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implemented a new international corporate structure on July 1, 2016. This corporate structure may reduce our overall effective tax rate over time through changes in the structure of our international procurement and sales operations, as well as realignment of the ownership and use of intellectual property among our wholly-owned subsidiaries.</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structure includes legal entities located in jurisdictions with income tax rates lower than the U.S. federal statutory tax rate. Such intercompany arrangements would be designed to result in income earned by such entities in accordance with arm’s-length principles and commensurate with functions performed, risks assumed and ownership of valuable corporate assets. We believe that income taxed in certain foreign jurisdictions at a lower rate relative to the U.S. federal statutory rate will have a beneficial impact on our worldwide effective tax rate over the medium to long term.</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structure is challenged by U.S. or foreign tax authorities, if changes in domestic and international and statutory tax laws negatively impact the structure, including the U.S. Tax Cuts and Jobs Act (“TCJA”) enacted into law on December 22, 2017,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do not operate our business in a manner consistent with the structure and applicable regulatory provisions, we may fail to achieve the financial and operational efficiencies that we anticipate as a result of the structure and we may incur additional implementation costs to establish a new corporate structure which could materially and adversely affect our business, financial condition and net income.</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w:t>
      </w:r>
    </w:p>
    <w:p>
      <w:pPr>
        <w:spacing w:after="0" w:line="1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prepare our consolidated financial statements in conformity with GAAP. These principles are subject to interpretation by the SEC and various bodies formed to interpret and create appropriate accounting policies. A change in these policies can have a significant effect on our reported results and may even retroactively affect previously reported transactions. Our accounting policies that recently have been, or may be affected by changes in the accounting rules relate to revenue recognition and leases.</w:t>
      </w:r>
    </w:p>
    <w:p>
      <w:pPr>
        <w:spacing w:after="0" w:line="18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b w:val="1"/>
          <w:bCs w:val="1"/>
          <w:i w:val="1"/>
          <w:iCs w:val="1"/>
          <w:color w:val="auto"/>
        </w:rPr>
        <w:t>If we fail to manage our exposure to global financial and securities market risk successfully, our operating results and financial statements could be materially impacted.</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our investment activities is to preserve principal. To achieve this objective, a majority of our marketable investments are investment grade, liquid, fixed-income securities and money market instruments denominated in U.S. dollars. If the carrying value of our investments exceeds the fair value, and the decline in fair value is deemed to be other-than-temporary, we will be required to write down the value of our investments, which could materially harm our results of operations and financial condition. Moreover, the performance of certain securities in our investment portfolio correlates with the credit condition of the U.S. financial sector. In an unstable credit environment, we might incur significant realized, unrealized or impairment losses associated with these investments.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If our goodwill or long-lived assets become impaired, we may be required to record a significant charge to earnings.</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Under Generally Accepted Accounting Principles in the United States (“GAAP”), we review our goodwill and long-lived asset group for impairment when events or changes in circumstances indicate the carrying value may not be recoverable. Additionally, goodwill is required to be tested for impairment at least annually. The qualitative and quantitative analysis used to test goodwill are dependent upon various assumptions and reflect management’s best estimates. Changes in certain assumptions including revenue growth rates, discount rates, earnings multiples and future cash flows may cause a change in circumstances indicating that the carrying value of goodwill or the asset group may be impaired. We may be required to record a significant charge to earnings in the financial statements during the period in which any impairment of goodwill or asset group are determined.</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Our effective tax rate may vary significantly from period to period.</w:t>
      </w:r>
    </w:p>
    <w:p>
      <w:pPr>
        <w:spacing w:after="0" w:line="1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Various internal and external factors may have favorable or unfavorable effects on our future effective tax rate. These factors include, but are not limited to, changes in tax laws such as the TCJA enacted into law on December 22, 2017, regulations and/or rates, new or changes to accounting pronouncements, non-deductible goodwill impairments, changing interpretations of existing tax laws or regulations, changes in the relative proportions of revenues and income before taxes in the various jurisdictions in which we operate that have differing statutory tax rates, the future levels of tax benefits of stock-based compensation, settlement of income tax audits, and changes in overall levels of pretax earnings. As a result of the adoption of Accounting Standards Update (“ASU”) 2016-09 in 2017, we anticipate our effective tax rate to vary significantly in our first quarter due to the timing of when the majority of our equity compensation vests each year. Other quarters can also be impacted depending on the timing of equity vests.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tax laws or tax rulings could negatively impact our income tax provision and net income.</w:t>
      </w:r>
    </w:p>
    <w:p>
      <w:pPr>
        <w:spacing w:after="0" w:line="15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a U.S. multinational corporation, we are subject to changing tax laws both within and outside of the U.S. Changes in tax laws or tax rulings, or changes in interpretations of existing tax laws, could affect our income tax provision and net income or require us to change the manner in which we operate our business. On December 22, 2017, the U.S. enacted significant tax reform, and certain provisions of the new law may adversely affect us. In addition, governmental tax authorities are increasingly scrutinizing the tax positions of companies. Many countries in Europe, as well as a number of other countries and organizations, have recently proposed or recommended changes to existing tax laws or have enacted new laws. For example, the Organization for Economic Cooperation and Development (“OECD”) has been working on a “Base Erosion and Profit Shifting Project,” which is focused on a number of issues, including the shifting of profits between affiliated entities in different tax jurisdictions. In 2015, the OECD issued and is expected to continue to issue, guidelines and proposals that may change various aspects of the existing framework under which our tax obligations are determined in many of the countries in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3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Following is a summary of stock repurchases for the three months ended September 30, 2018:</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Total Number of</w:t>
            </w: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Shares Repurchased</w:t>
            </w:r>
          </w:p>
        </w:tc>
        <w:tc>
          <w:tcPr>
            <w:tcW w:w="180" w:type="dxa"/>
            <w:vAlign w:val="bottom"/>
          </w:tcPr>
          <w:p>
            <w:pPr>
              <w:spacing w:after="0"/>
              <w:rPr>
                <w:sz w:val="12"/>
                <w:szCs w:val="12"/>
                <w:color w:val="auto"/>
              </w:rPr>
            </w:pPr>
          </w:p>
        </w:tc>
        <w:tc>
          <w:tcPr>
            <w:tcW w:w="17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46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Period</w:t>
            </w:r>
          </w:p>
        </w:tc>
        <w:tc>
          <w:tcPr>
            <w:tcW w:w="24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7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80" w:type="dxa"/>
            <w:vAlign w:val="bottom"/>
          </w:tcPr>
          <w:p>
            <w:pPr>
              <w:spacing w:after="0"/>
              <w:rPr>
                <w:sz w:val="12"/>
                <w:szCs w:val="12"/>
                <w:color w:val="auto"/>
              </w:rPr>
            </w:pPr>
          </w:p>
        </w:tc>
        <w:tc>
          <w:tcPr>
            <w:tcW w:w="17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Repurchased Under the</w:t>
            </w:r>
          </w:p>
        </w:tc>
        <w:tc>
          <w:tcPr>
            <w:tcW w:w="0" w:type="dxa"/>
            <w:vAlign w:val="bottom"/>
          </w:tcPr>
          <w:p>
            <w:pPr>
              <w:spacing w:after="0"/>
              <w:rPr>
                <w:sz w:val="1"/>
                <w:szCs w:val="1"/>
                <w:color w:val="auto"/>
              </w:rPr>
            </w:pPr>
          </w:p>
        </w:tc>
      </w:tr>
      <w:tr>
        <w:trPr>
          <w:trHeight w:val="192"/>
        </w:trPr>
        <w:tc>
          <w:tcPr>
            <w:tcW w:w="44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Shares Repurchased</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1"/>
              </w:rPr>
              <w:t>Paid per Share</w:t>
            </w:r>
          </w:p>
        </w:tc>
        <w:tc>
          <w:tcPr>
            <w:tcW w:w="2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Announced Program</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8"/>
                <w:szCs w:val="8"/>
                <w:b w:val="1"/>
                <w:bCs w:val="1"/>
                <w:color w:val="auto"/>
                <w:w w:val="92"/>
              </w:rPr>
              <w:t>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2018 through July 31, 2018</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285,647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350.08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285,647</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600,000,000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August 1, 2018 through August 31, 2018</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140,244</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356.54</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8"/>
                <w:szCs w:val="18"/>
                <w:color w:val="auto"/>
              </w:rPr>
              <w:t>140,244</w:t>
            </w:r>
          </w:p>
        </w:tc>
        <w:tc>
          <w:tcPr>
            <w:tcW w:w="4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9"/>
              <w:spacing w:after="0"/>
              <w:rPr>
                <w:sz w:val="20"/>
                <w:szCs w:val="20"/>
                <w:color w:val="auto"/>
              </w:rPr>
            </w:pPr>
            <w:r>
              <w:rPr>
                <w:rFonts w:ascii="Arial" w:cs="Arial" w:eastAsia="Arial" w:hAnsi="Arial"/>
                <w:sz w:val="18"/>
                <w:szCs w:val="18"/>
                <w:color w:val="auto"/>
              </w:rPr>
              <w:t>550,000,000</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September 1, 2018 through September 30, 2018</w:t>
            </w:r>
          </w:p>
        </w:tc>
        <w:tc>
          <w:tcPr>
            <w:tcW w:w="1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550,000,000</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420" w:hanging="88"/>
        <w:spacing w:after="0"/>
        <w:tabs>
          <w:tab w:leader="none" w:pos="42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i w:val="1"/>
          <w:iCs w:val="1"/>
          <w:color w:val="auto"/>
        </w:rPr>
        <w:t>Stock Repurchase Programs</w:t>
      </w:r>
    </w:p>
    <w:p>
      <w:pPr>
        <w:spacing w:after="0" w:line="147" w:lineRule="exact"/>
        <w:rPr>
          <w:rFonts w:ascii="Arial" w:cs="Arial" w:eastAsia="Arial" w:hAnsi="Arial"/>
          <w:sz w:val="22"/>
          <w:szCs w:val="22"/>
          <w:color w:val="auto"/>
          <w:vertAlign w:val="superscript"/>
        </w:rPr>
      </w:pPr>
    </w:p>
    <w:p>
      <w:pPr>
        <w:ind w:left="1300" w:right="20" w:hanging="239"/>
        <w:spacing w:after="0" w:line="277" w:lineRule="auto"/>
        <w:tabs>
          <w:tab w:leader="none" w:pos="1300" w:val="left"/>
        </w:tabs>
        <w:numPr>
          <w:ilvl w:val="1"/>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April 2016 Repurchase Program. </w:t>
      </w:r>
      <w:r>
        <w:rPr>
          <w:rFonts w:ascii="Arial" w:cs="Arial" w:eastAsia="Arial" w:hAnsi="Arial"/>
          <w:sz w:val="18"/>
          <w:szCs w:val="18"/>
          <w:color w:val="auto"/>
        </w:rPr>
        <w:t>In July 2018, we repurchased $100.0 million of our common stock on the open market, completing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April 2016 Repurchase Program.</w:t>
      </w:r>
    </w:p>
    <w:p>
      <w:pPr>
        <w:spacing w:after="0" w:line="116" w:lineRule="exact"/>
        <w:rPr>
          <w:rFonts w:ascii="Arial" w:cs="Arial" w:eastAsia="Arial" w:hAnsi="Arial"/>
          <w:sz w:val="18"/>
          <w:szCs w:val="18"/>
          <w:i w:val="1"/>
          <w:iCs w:val="1"/>
          <w:color w:val="auto"/>
        </w:rPr>
      </w:pPr>
    </w:p>
    <w:p>
      <w:pPr>
        <w:jc w:val="both"/>
        <w:ind w:left="1300" w:hanging="239"/>
        <w:spacing w:after="0" w:line="279" w:lineRule="auto"/>
        <w:tabs>
          <w:tab w:leader="none" w:pos="1300" w:val="left"/>
        </w:tabs>
        <w:numPr>
          <w:ilvl w:val="1"/>
          <w:numId w:val="37"/>
        </w:numPr>
        <w:rPr>
          <w:rFonts w:ascii="Arial" w:cs="Arial" w:eastAsia="Arial" w:hAnsi="Arial"/>
          <w:sz w:val="17"/>
          <w:szCs w:val="17"/>
          <w:color w:val="auto"/>
        </w:rPr>
      </w:pPr>
      <w:r>
        <w:rPr>
          <w:rFonts w:ascii="Arial" w:cs="Arial" w:eastAsia="Arial" w:hAnsi="Arial"/>
          <w:sz w:val="17"/>
          <w:szCs w:val="17"/>
          <w:i w:val="1"/>
          <w:iCs w:val="1"/>
          <w:color w:val="auto"/>
        </w:rPr>
        <w:t xml:space="preserve">May 2018 Repurchase Program. </w:t>
      </w:r>
      <w:r>
        <w:rPr>
          <w:rFonts w:ascii="Arial" w:cs="Arial" w:eastAsia="Arial" w:hAnsi="Arial"/>
          <w:sz w:val="17"/>
          <w:szCs w:val="17"/>
          <w:color w:val="auto"/>
        </w:rPr>
        <w:t>In May 2018, we announced that our Board of Directors had authorized a plan to repurchase up to $600.0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our common stock. In August 2018, we repurchased $50.0 million of our common stock on the open market. As of September 30, 2018, we have $550.0 million remaining under the May 2018 Repurchase Program (</w:t>
      </w:r>
      <w:r>
        <w:rPr>
          <w:rFonts w:ascii="Arial" w:cs="Arial" w:eastAsia="Arial" w:hAnsi="Arial"/>
          <w:sz w:val="17"/>
          <w:szCs w:val="17"/>
          <w:i w:val="1"/>
          <w:iCs w:val="1"/>
          <w:color w:val="auto"/>
        </w:rPr>
        <w:t>Refer to Note 11 “Common Stock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Repurchase Programs” of the Notes to Condensed Consolidated Financial Statements </w:t>
      </w:r>
      <w:r>
        <w:rPr>
          <w:rFonts w:ascii="Arial" w:cs="Arial" w:eastAsia="Arial" w:hAnsi="Arial"/>
          <w:sz w:val="17"/>
          <w:szCs w:val="17"/>
          <w:color w:val="auto"/>
        </w:rPr>
        <w:t>for details on our stock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3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7300" w:type="dxa"/>
            <w:vAlign w:val="bottom"/>
            <w:gridSpan w:val="1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912"/>
        </w:trPr>
        <w:tc>
          <w:tcPr>
            <w:tcW w:w="118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ITEM 6.</w:t>
            </w:r>
          </w:p>
        </w:tc>
        <w:tc>
          <w:tcPr>
            <w:tcW w:w="100" w:type="dxa"/>
            <w:vAlign w:val="bottom"/>
            <w:tcBorders>
              <w:top w:val="single" w:sz="8" w:color="0000EE"/>
            </w:tcBorders>
          </w:tcPr>
          <w:p>
            <w:pPr>
              <w:spacing w:after="0"/>
              <w:rPr>
                <w:sz w:val="24"/>
                <w:szCs w:val="24"/>
                <w:color w:val="auto"/>
              </w:rPr>
            </w:pPr>
          </w:p>
        </w:tc>
        <w:tc>
          <w:tcPr>
            <w:tcW w:w="6020" w:type="dxa"/>
            <w:vAlign w:val="bottom"/>
            <w:gridSpan w:val="8"/>
          </w:tcPr>
          <w:p>
            <w:pPr>
              <w:ind w:left="100"/>
              <w:spacing w:after="0"/>
              <w:rPr>
                <w:sz w:val="20"/>
                <w:szCs w:val="20"/>
                <w:color w:val="auto"/>
              </w:rPr>
            </w:pPr>
            <w:r>
              <w:rPr>
                <w:rFonts w:ascii="Arial" w:cs="Arial" w:eastAsia="Arial" w:hAnsi="Arial"/>
                <w:sz w:val="18"/>
                <w:szCs w:val="18"/>
                <w:b w:val="1"/>
                <w:bCs w:val="1"/>
                <w:color w:val="auto"/>
              </w:rPr>
              <w:t>EXHIBITS</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7260" w:type="dxa"/>
            <w:vAlign w:val="bottom"/>
            <w:gridSpan w:val="11"/>
          </w:tcPr>
          <w:p>
            <w:pPr>
              <w:ind w:left="400"/>
              <w:spacing w:after="0"/>
              <w:rPr>
                <w:sz w:val="20"/>
                <w:szCs w:val="20"/>
                <w:color w:val="auto"/>
              </w:rPr>
            </w:pPr>
            <w:r>
              <w:rPr>
                <w:rFonts w:ascii="Arial" w:cs="Arial" w:eastAsia="Arial" w:hAnsi="Arial"/>
                <w:sz w:val="18"/>
                <w:szCs w:val="18"/>
                <w:color w:val="auto"/>
              </w:rPr>
              <w:t>(a) Exhibits:</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7"/>
        </w:trPr>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9"/>
        </w:trPr>
        <w:tc>
          <w:tcPr>
            <w:tcW w:w="118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6020" w:type="dxa"/>
            <w:vAlign w:val="bottom"/>
            <w:gridSpan w:val="8"/>
          </w:tcPr>
          <w:p>
            <w:pPr>
              <w:ind w:left="2360"/>
              <w:spacing w:after="0" w:line="129" w:lineRule="exact"/>
              <w:rPr>
                <w:sz w:val="20"/>
                <w:szCs w:val="20"/>
                <w:color w:val="auto"/>
              </w:rPr>
            </w:pPr>
            <w:r>
              <w:rPr>
                <w:rFonts w:ascii="Arial" w:cs="Arial" w:eastAsia="Arial" w:hAnsi="Arial"/>
                <w:sz w:val="14"/>
                <w:szCs w:val="14"/>
                <w:b w:val="1"/>
                <w:bCs w:val="1"/>
                <w:color w:val="auto"/>
              </w:rPr>
              <w:t>Description</w:t>
            </w:r>
          </w:p>
        </w:tc>
        <w:tc>
          <w:tcPr>
            <w:tcW w:w="12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Filing</w:t>
            </w:r>
          </w:p>
        </w:tc>
        <w:tc>
          <w:tcPr>
            <w:tcW w:w="10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3"/>
              </w:rPr>
              <w:t>Number</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3"/>
              </w:rPr>
              <w:t>Filed here with</w:t>
            </w: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5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640" w:type="dxa"/>
            <w:vAlign w:val="bottom"/>
            <w:tcBorders>
              <w:bottom w:val="single" w:sz="8" w:color="CCEEFF"/>
            </w:tcBorders>
            <w:shd w:val="clear" w:color="auto" w:fill="CCEEFF"/>
          </w:tcPr>
          <w:p>
            <w:pPr>
              <w:spacing w:after="0"/>
              <w:rPr>
                <w:sz w:val="17"/>
                <w:szCs w:val="17"/>
                <w:color w:val="auto"/>
              </w:rPr>
            </w:pPr>
          </w:p>
        </w:tc>
        <w:tc>
          <w:tcPr>
            <w:tcW w:w="552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92"/>
              </w:rPr>
            </w:pPr>
            <w:hyperlink w:anchor="page61">
              <w:r>
                <w:rPr>
                  <w:rFonts w:ascii="Arial" w:cs="Arial" w:eastAsia="Arial" w:hAnsi="Arial"/>
                  <w:sz w:val="18"/>
                  <w:szCs w:val="18"/>
                  <w:color w:val="0000FF"/>
                  <w:w w:val="92"/>
                </w:rPr>
                <w:t>Certification of Chief Executive Officer pursuant to 18 U.S.C. Section 1350,</w:t>
              </w:r>
            </w:hyperlink>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7"/>
                <w:szCs w:val="17"/>
                <w:color w:val="auto"/>
              </w:rPr>
            </w:pPr>
          </w:p>
        </w:tc>
      </w:tr>
      <w:tr>
        <w:trPr>
          <w:trHeight w:val="196"/>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120" w:type="dxa"/>
            <w:vAlign w:val="bottom"/>
            <w:gridSpan w:val="9"/>
            <w:shd w:val="clear" w:color="auto" w:fill="CCEEFF"/>
          </w:tcPr>
          <w:p>
            <w:pPr>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as adopted pursuant to Section 302 of the Sarbanes-Oxley Act of 2002.</w:t>
              </w:r>
            </w:hyperlink>
          </w:p>
        </w:tc>
        <w:tc>
          <w:tcPr>
            <w:tcW w:w="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36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16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31.2</w:t>
            </w:r>
          </w:p>
        </w:tc>
        <w:tc>
          <w:tcPr>
            <w:tcW w:w="640" w:type="dxa"/>
            <w:vAlign w:val="bottom"/>
          </w:tcPr>
          <w:p>
            <w:pPr>
              <w:spacing w:after="0"/>
              <w:rPr>
                <w:sz w:val="17"/>
                <w:szCs w:val="17"/>
                <w:color w:val="auto"/>
              </w:rPr>
            </w:pPr>
          </w:p>
        </w:tc>
        <w:tc>
          <w:tcPr>
            <w:tcW w:w="6120" w:type="dxa"/>
            <w:vAlign w:val="bottom"/>
            <w:gridSpan w:val="9"/>
          </w:tcPr>
          <w:p>
            <w:pPr>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Certification of Chief Financial Officer pursuant to 18 U.S.C. Section 1350,</w:t>
              </w:r>
            </w:hyperlink>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60" w:type="dxa"/>
            <w:vAlign w:val="bottom"/>
            <w:tcBorders>
              <w:top w:val="single" w:sz="8" w:color="0000FF"/>
            </w:tcBorders>
            <w:gridSpan w:val="7"/>
          </w:tcPr>
          <w:p>
            <w:pPr>
              <w:spacing w:after="0" w:line="196" w:lineRule="exact"/>
              <w:rPr>
                <w:rFonts w:ascii="Arial" w:cs="Arial" w:eastAsia="Arial" w:hAnsi="Arial"/>
                <w:sz w:val="18"/>
                <w:szCs w:val="18"/>
                <w:color w:val="0000FF"/>
                <w:w w:val="95"/>
              </w:rPr>
            </w:pPr>
            <w:hyperlink w:anchor="page62">
              <w:r>
                <w:rPr>
                  <w:rFonts w:ascii="Arial" w:cs="Arial" w:eastAsia="Arial" w:hAnsi="Arial"/>
                  <w:sz w:val="18"/>
                  <w:szCs w:val="18"/>
                  <w:color w:val="0000FF"/>
                  <w:w w:val="95"/>
                </w:rPr>
                <w:t>as adopted pursuant to Section 302 of the Sarbanes-Oxley Act of 2002.</w:t>
              </w:r>
            </w:hyperlink>
          </w:p>
        </w:tc>
        <w:tc>
          <w:tcPr>
            <w:tcW w:w="66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360" w:type="dxa"/>
            <w:vAlign w:val="bottom"/>
            <w:tcBorders>
              <w:top w:val="single" w:sz="8" w:color="0000FF"/>
            </w:tcBorders>
          </w:tcPr>
          <w:p>
            <w:pPr>
              <w:spacing w:after="0"/>
              <w:rPr>
                <w:sz w:val="4"/>
                <w:szCs w:val="4"/>
                <w:color w:val="auto"/>
              </w:rPr>
            </w:pPr>
          </w:p>
        </w:tc>
        <w:tc>
          <w:tcPr>
            <w:tcW w:w="7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6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540" w:type="dxa"/>
            <w:vAlign w:val="bottom"/>
            <w:tcBorders>
              <w:bottom w:val="single" w:sz="8" w:color="CCEEFF"/>
            </w:tcBorders>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640" w:type="dxa"/>
            <w:vAlign w:val="bottom"/>
            <w:tcBorders>
              <w:bottom w:val="single" w:sz="8" w:color="CCEEFF"/>
            </w:tcBorders>
            <w:shd w:val="clear" w:color="auto" w:fill="CCEEFF"/>
          </w:tcPr>
          <w:p>
            <w:pPr>
              <w:spacing w:after="0"/>
              <w:rPr>
                <w:sz w:val="17"/>
                <w:szCs w:val="17"/>
                <w:color w:val="auto"/>
              </w:rPr>
            </w:pPr>
          </w:p>
        </w:tc>
        <w:tc>
          <w:tcPr>
            <w:tcW w:w="522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color w:val="0000FF"/>
                <w:w w:val="90"/>
              </w:rPr>
            </w:pPr>
            <w:hyperlink w:anchor="page63">
              <w:r>
                <w:rPr>
                  <w:rFonts w:ascii="Arial" w:cs="Arial" w:eastAsia="Arial" w:hAnsi="Arial"/>
                  <w:sz w:val="18"/>
                  <w:szCs w:val="18"/>
                  <w:color w:val="0000FF"/>
                  <w:w w:val="90"/>
                </w:rPr>
                <w:t>Certification pursuant to 18 U.S.C. Section 1350, as adopted pursuant to</w:t>
              </w:r>
            </w:hyperlink>
          </w:p>
        </w:tc>
        <w:tc>
          <w:tcPr>
            <w:tcW w:w="900" w:type="dxa"/>
            <w:vAlign w:val="bottom"/>
            <w:tcBorders>
              <w:bottom w:val="single" w:sz="8" w:color="CCEEFF"/>
            </w:tcBorders>
            <w:gridSpan w:val="3"/>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17"/>
                <w:szCs w:val="17"/>
                <w:color w:val="auto"/>
              </w:rPr>
            </w:pPr>
          </w:p>
        </w:tc>
      </w:tr>
      <w:tr>
        <w:trPr>
          <w:trHeight w:val="244"/>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120" w:type="dxa"/>
            <w:vAlign w:val="bottom"/>
            <w:gridSpan w:val="9"/>
            <w:shd w:val="clear" w:color="auto" w:fill="CCEEFF"/>
          </w:tcPr>
          <w:p>
            <w:pPr>
              <w:spacing w:after="0" w:line="196" w:lineRule="exact"/>
              <w:rPr>
                <w:rFonts w:ascii="Arial" w:cs="Arial" w:eastAsia="Arial" w:hAnsi="Arial"/>
                <w:sz w:val="18"/>
                <w:szCs w:val="18"/>
                <w:color w:val="0000FF"/>
              </w:rPr>
            </w:pPr>
            <w:hyperlink w:anchor="page63">
              <w:r>
                <w:rPr>
                  <w:rFonts w:ascii="Arial" w:cs="Arial" w:eastAsia="Arial" w:hAnsi="Arial"/>
                  <w:sz w:val="18"/>
                  <w:szCs w:val="18"/>
                  <w:color w:val="0000FF"/>
                </w:rPr>
                <w:t>Section 906 of the Sarbanes-Oxley Act of 2002.</w:t>
              </w:r>
            </w:hyperlink>
          </w:p>
        </w:tc>
        <w:tc>
          <w:tcPr>
            <w:tcW w:w="3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1180" w:type="dxa"/>
            <w:vAlign w:val="bottom"/>
            <w:tcBorders>
              <w:top w:val="single" w:sz="8" w:color="CCEEFF"/>
            </w:tcBorders>
            <w:gridSpan w:val="3"/>
          </w:tcPr>
          <w:p>
            <w:pPr>
              <w:ind w:left="40"/>
              <w:spacing w:after="0"/>
              <w:rPr>
                <w:sz w:val="20"/>
                <w:szCs w:val="20"/>
                <w:color w:val="auto"/>
              </w:rPr>
            </w:pPr>
            <w:r>
              <w:rPr>
                <w:rFonts w:ascii="Arial" w:cs="Arial" w:eastAsia="Arial" w:hAnsi="Arial"/>
                <w:sz w:val="18"/>
                <w:szCs w:val="18"/>
                <w:color w:val="auto"/>
              </w:rPr>
              <w:t>101.INS</w:t>
            </w:r>
          </w:p>
        </w:tc>
        <w:tc>
          <w:tcPr>
            <w:tcW w:w="34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XBRL Instance Document</w:t>
            </w:r>
          </w:p>
        </w:tc>
        <w:tc>
          <w:tcPr>
            <w:tcW w:w="2660" w:type="dxa"/>
            <w:vAlign w:val="bottom"/>
            <w:tcBorders>
              <w:top w:val="single" w:sz="8" w:color="CCEEFF"/>
            </w:tcBorders>
            <w:gridSpan w:val="5"/>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84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61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118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612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61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118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6120" w:type="dxa"/>
            <w:vAlign w:val="bottom"/>
            <w:gridSpan w:val="9"/>
          </w:tcPr>
          <w:p>
            <w:pPr>
              <w:spacing w:after="0"/>
              <w:rPr>
                <w:sz w:val="20"/>
                <w:szCs w:val="20"/>
                <w:color w:val="auto"/>
              </w:rPr>
            </w:pPr>
            <w:r>
              <w:rPr>
                <w:rFonts w:ascii="Arial" w:cs="Arial" w:eastAsia="Arial" w:hAnsi="Arial"/>
                <w:sz w:val="18"/>
                <w:szCs w:val="18"/>
                <w:color w:val="auto"/>
              </w:rPr>
              <w:t>XBRL Taxonomy Extension Label Linkbase Document</w:t>
            </w: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612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459"/>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120" w:type="dxa"/>
            <w:vAlign w:val="bottom"/>
            <w:gridSpan w:val="5"/>
          </w:tcPr>
          <w:p>
            <w:pPr>
              <w:ind w:left="444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ALIGN TECHNOLOGY, INC.</w:t>
      </w:r>
    </w:p>
    <w:p>
      <w:pPr>
        <w:spacing w:after="0" w:line="387" w:lineRule="exact"/>
        <w:rPr>
          <w:sz w:val="20"/>
          <w:szCs w:val="20"/>
          <w:color w:val="auto"/>
        </w:rPr>
      </w:pPr>
    </w:p>
    <w:p>
      <w:pPr>
        <w:ind w:left="40"/>
        <w:spacing w:after="0"/>
        <w:tabs>
          <w:tab w:leader="none" w:pos="5760" w:val="left"/>
          <w:tab w:leader="none" w:pos="7840" w:val="left"/>
        </w:tabs>
        <w:rPr>
          <w:sz w:val="20"/>
          <w:szCs w:val="20"/>
          <w:color w:val="auto"/>
        </w:rPr>
      </w:pPr>
      <w:r>
        <w:rPr>
          <w:rFonts w:ascii="Arial" w:cs="Arial" w:eastAsia="Arial" w:hAnsi="Arial"/>
          <w:sz w:val="18"/>
          <w:szCs w:val="18"/>
          <w:color w:val="auto"/>
        </w:rPr>
        <w:t>November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8"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Joseph M. Hogan</w:t>
      </w:r>
    </w:p>
    <w:p>
      <w:pPr>
        <w:spacing w:after="0" w:line="4"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58" w:lineRule="exact"/>
        <w:rPr>
          <w:sz w:val="20"/>
          <w:szCs w:val="20"/>
          <w:color w:val="auto"/>
        </w:rPr>
      </w:pPr>
    </w:p>
    <w:p>
      <w:pPr>
        <w:ind w:left="578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8"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John F. Morici</w:t>
      </w:r>
    </w:p>
    <w:p>
      <w:pPr>
        <w:spacing w:after="0" w:line="4"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Chief Financial Officer and Senior Vice President, Global Finance</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Joseph M. Hogan, certify that:</w:t>
      </w:r>
    </w:p>
    <w:p>
      <w:pPr>
        <w:spacing w:after="0" w:line="38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2018</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JOSEPH 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Joseph M. Hogan</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F. Morici, certify that:</w:t>
      </w:r>
    </w:p>
    <w:p>
      <w:pPr>
        <w:spacing w:after="0" w:line="387"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Align Technology, Inc.;</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2018</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 JOHN F. MORICI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40132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John F. Morici</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Chief Financial Officer and Senior Vice President, Global Finance</w:t>
      </w:r>
    </w:p>
    <w:p>
      <w:pPr>
        <w:sectPr>
          <w:pgSz w:w="11900" w:h="16838" w:orient="portrait"/>
          <w:cols w:equalWidth="0" w:num="1">
            <w:col w:w="11420"/>
          </w:cols>
          <w:pgMar w:left="240" w:top="580"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Align Technology, Inc. (the “Company”) on Form 10-Q for the period ending September 30, 2018 as filed with the Securities and Exchange Commission on the date hereof (the “Report”), I certify, pursuant to 18 U.S.C. § 1350, as adopted pursuant to § 906 of the Sarbanes-Oxley Act of 2002, that:</w:t>
      </w:r>
    </w:p>
    <w:p>
      <w:pPr>
        <w:spacing w:after="0" w:line="154"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3"/>
              </w:rPr>
              <w:t>/s/ JOSEPH M. HOGAN</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89"/>
              </w:rPr>
              <w:t>Joseph M. Hogan</w:t>
            </w:r>
          </w:p>
        </w:tc>
        <w:tc>
          <w:tcPr>
            <w:tcW w:w="0" w:type="dxa"/>
            <w:vAlign w:val="bottom"/>
          </w:tcPr>
          <w:p>
            <w:pPr>
              <w:spacing w:after="0"/>
              <w:rPr>
                <w:sz w:val="1"/>
                <w:szCs w:val="1"/>
                <w:color w:val="auto"/>
              </w:rPr>
            </w:pPr>
          </w:p>
        </w:tc>
      </w:tr>
      <w:tr>
        <w:trPr>
          <w:trHeight w:val="27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Align Technology, Inc. (the “Company”) on Form 10-Q for the period ending September 30, 2018 as filed with the Securities and Exchange Commission on the date hereof (the “Report”), I certify, pursuant to 18 U.S.C. § 1350, as adopted pursuant to § 906 of the Sarbanes-Oxley Act of 2002, that:</w:t>
      </w:r>
    </w:p>
    <w:p>
      <w:pPr>
        <w:spacing w:after="0" w:line="154"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494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640" w:type="dxa"/>
            <w:vAlign w:val="bottom"/>
          </w:tcPr>
          <w:p>
            <w:pPr>
              <w:jc w:val="center"/>
              <w:spacing w:after="0"/>
              <w:rPr>
                <w:sz w:val="20"/>
                <w:szCs w:val="20"/>
                <w:color w:val="auto"/>
              </w:rPr>
            </w:pPr>
            <w:r>
              <w:rPr>
                <w:rFonts w:ascii="Arial" w:cs="Arial" w:eastAsia="Arial" w:hAnsi="Arial"/>
                <w:sz w:val="18"/>
                <w:szCs w:val="18"/>
                <w:color w:val="auto"/>
                <w:w w:val="93"/>
              </w:rPr>
              <w:t>/s/ JOHN F. MORICI</w:t>
            </w: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3"/>
              </w:rPr>
              <w:t>John F. Morici</w:t>
            </w:r>
          </w:p>
        </w:tc>
        <w:tc>
          <w:tcPr>
            <w:tcW w:w="0" w:type="dxa"/>
            <w:vAlign w:val="bottom"/>
          </w:tcPr>
          <w:p>
            <w:pPr>
              <w:spacing w:after="0"/>
              <w:rPr>
                <w:sz w:val="1"/>
                <w:szCs w:val="1"/>
                <w:color w:val="auto"/>
              </w:rPr>
            </w:pPr>
          </w:p>
        </w:tc>
      </w:tr>
      <w:tr>
        <w:trPr>
          <w:trHeight w:val="284"/>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640" w:type="dxa"/>
            <w:vAlign w:val="bottom"/>
          </w:tcPr>
          <w:p>
            <w:pPr>
              <w:jc w:val="center"/>
              <w:spacing w:after="0"/>
              <w:rPr>
                <w:sz w:val="20"/>
                <w:szCs w:val="20"/>
                <w:color w:val="auto"/>
              </w:rPr>
            </w:pPr>
            <w:r>
              <w:rPr>
                <w:rFonts w:ascii="Arial" w:cs="Arial" w:eastAsia="Arial" w:hAnsi="Arial"/>
                <w:sz w:val="18"/>
                <w:szCs w:val="18"/>
                <w:b w:val="1"/>
                <w:bCs w:val="1"/>
                <w:color w:val="auto"/>
                <w:w w:val="90"/>
              </w:rPr>
              <w:t>Chief Financial Officer and Senior Vice President, Global Finance</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2018</w:t>
      </w:r>
    </w:p>
    <w:sectPr>
      <w:pgSz w:w="11900" w:h="16838" w:orient="portrait"/>
      <w:cols w:equalWidth="0" w:num="1">
        <w:col w:w="11420"/>
      </w:cols>
      <w:pgMar w:left="240" w:top="64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bullet"/>
      <w:start w:val="1"/>
    </w:lvl>
  </w:abstractNum>
  <w:abstractNum w:abstractNumId="7">
    <w:nsid w:val="8EDBDAB"/>
    <w:multiLevelType w:val="hybridMultilevel"/>
    <w:lvl w:ilvl="0">
      <w:lvlJc w:val="left"/>
      <w:lvlText w:val="2"/>
      <w:numFmt w:val="bullet"/>
      <w:start w:val="1"/>
    </w:lvl>
  </w:abstractNum>
  <w:abstractNum w:abstractNumId="8">
    <w:nsid w:val="79838CB2"/>
    <w:multiLevelType w:val="hybridMultilevel"/>
    <w:lvl w:ilvl="0">
      <w:lvlJc w:val="left"/>
      <w:lvlText w:val="1"/>
      <w:numFmt w:val="bullet"/>
      <w:start w:val="1"/>
    </w:lvl>
  </w:abstractNum>
  <w:abstractNum w:abstractNumId="9">
    <w:nsid w:val="4353D0CD"/>
    <w:multiLevelType w:val="hybridMultilevel"/>
    <w:lvl w:ilvl="0">
      <w:lvlJc w:val="left"/>
      <w:lvlText w:val="1"/>
      <w:numFmt w:val="bullet"/>
      <w:start w:val="1"/>
    </w:lvl>
  </w:abstractNum>
  <w:abstractNum w:abstractNumId="10">
    <w:nsid w:val="B03E0C6"/>
    <w:multiLevelType w:val="hybridMultilevel"/>
    <w:lvl w:ilvl="0">
      <w:lvlJc w:val="left"/>
      <w:lvlText w:val="•"/>
      <w:numFmt w:val="bullet"/>
      <w:start w:val="1"/>
    </w:lvl>
    <w:lvl w:ilvl="1">
      <w:lvlJc w:val="left"/>
      <w:lvlText w:val="•"/>
      <w:numFmt w:val="bullet"/>
      <w:start w:val="1"/>
    </w:lvl>
  </w:abstractNum>
  <w:abstractNum w:abstractNumId="11">
    <w:nsid w:val="189A769B"/>
    <w:multiLevelType w:val="hybridMultilevel"/>
    <w:lvl w:ilvl="0">
      <w:lvlJc w:val="left"/>
      <w:lvlText w:val="1"/>
      <w:numFmt w:val="bullet"/>
      <w:start w:val="1"/>
    </w:lvl>
  </w:abstractNum>
  <w:abstractNum w:abstractNumId="12">
    <w:nsid w:val="54E49EB4"/>
    <w:multiLevelType w:val="hybridMultilevel"/>
    <w:lvl w:ilvl="0">
      <w:lvlJc w:val="left"/>
      <w:lvlText w:val="•"/>
      <w:numFmt w:val="bullet"/>
      <w:start w:val="1"/>
    </w:lvl>
    <w:lvl w:ilvl="1">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lvl w:ilvl="1">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lvl w:ilvl="1">
      <w:lvlJc w:val="left"/>
      <w:lvlText w:val="◦"/>
      <w:numFmt w:val="bullet"/>
      <w:start w:val="1"/>
    </w:lvl>
  </w:abstractNum>
  <w:abstractNum w:abstractNumId="19">
    <w:nsid w:val="1E7FF52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lvl w:ilvl="1">
      <w:lvlJc w:val="left"/>
      <w:lvlText w:val="•"/>
      <w:numFmt w:val="bullet"/>
      <w:start w:val="1"/>
    </w:lvl>
  </w:abstractNum>
  <w:abstractNum w:abstractNumId="22">
    <w:nsid w:val="6CEAF087"/>
    <w:multiLevelType w:val="hybridMultilevel"/>
    <w:lvl w:ilvl="0">
      <w:lvlJc w:val="left"/>
      <w:lvlText w:val="1"/>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bullet"/>
      <w:start w:val="1"/>
    </w:lvl>
    <w:lvl w:ilvl="1">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2019-12-28T18:37:07Z</dcterms:created>
  <dcterms:modified xsi:type="dcterms:W3CDTF">2019-12-28T18:37:07Z</dcterms:modified>
</cp:coreProperties>
</file>