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2017</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0-32259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tbl>
      <w:tblPr>
        <w:tblLayout w:type="fixed"/>
        <w:tblInd w:w="1800" w:type="dxa"/>
        <w:tblCellMar>
          <w:top w:w="0" w:type="dxa"/>
          <w:left w:w="0" w:type="dxa"/>
          <w:bottom w:w="0" w:type="dxa"/>
          <w:right w:w="0" w:type="dxa"/>
        </w:tblCellMar>
      </w:tblPr>
      <w:tr>
        <w:trPr>
          <w:trHeight w:val="206"/>
        </w:trPr>
        <w:tc>
          <w:tcPr>
            <w:tcW w:w="5840" w:type="dxa"/>
            <w:vAlign w:val="bottom"/>
          </w:tcPr>
          <w:p>
            <w:pPr>
              <w:jc w:val="center"/>
              <w:ind w:left="185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17"/>
                <w:szCs w:val="17"/>
                <w:color w:val="auto"/>
              </w:rPr>
            </w:pPr>
          </w:p>
        </w:tc>
      </w:tr>
      <w:tr>
        <w:trPr>
          <w:trHeight w:val="337"/>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1"/>
              </w:rPr>
              <w:t>Delaware</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94-3267295</w:t>
            </w:r>
          </w:p>
        </w:tc>
      </w:tr>
      <w:tr>
        <w:trPr>
          <w:trHeight w:val="249"/>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(State or other jurisdiction of</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incorporation or organization)</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Identification Number)</w:t>
            </w:r>
          </w:p>
        </w:tc>
      </w:tr>
      <w:tr>
        <w:trPr>
          <w:trHeight w:val="289"/>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4"/>
              </w:rPr>
              <w:t>2560 Orchard Parkway</w:t>
            </w:r>
          </w:p>
        </w:tc>
        <w:tc>
          <w:tcPr>
            <w:tcW w:w="1720" w:type="dxa"/>
            <w:vAlign w:val="bottom"/>
          </w:tcPr>
          <w:p>
            <w:pPr>
              <w:spacing w:after="0"/>
              <w:rPr>
                <w:sz w:val="24"/>
                <w:szCs w:val="24"/>
                <w:color w:val="auto"/>
              </w:rPr>
            </w:pPr>
          </w:p>
        </w:tc>
      </w:tr>
      <w:tr>
        <w:trPr>
          <w:trHeight w:val="189"/>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91"/>
              </w:rPr>
              <w:t>San Jose, California 95131</w:t>
            </w:r>
          </w:p>
        </w:tc>
        <w:tc>
          <w:tcPr>
            <w:tcW w:w="1720" w:type="dxa"/>
            <w:vAlign w:val="bottom"/>
          </w:tcPr>
          <w:p>
            <w:pPr>
              <w:spacing w:after="0"/>
              <w:rPr>
                <w:sz w:val="16"/>
                <w:szCs w:val="16"/>
                <w:color w:val="auto"/>
              </w:rPr>
            </w:pPr>
          </w:p>
        </w:tc>
      </w:tr>
      <w:tr>
        <w:trPr>
          <w:trHeight w:val="210"/>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20" w:type="dxa"/>
            <w:vAlign w:val="bottom"/>
          </w:tcPr>
          <w:p>
            <w:pPr>
              <w:spacing w:after="0"/>
              <w:rPr>
                <w:sz w:val="18"/>
                <w:szCs w:val="18"/>
                <w:color w:val="auto"/>
              </w:rPr>
            </w:pPr>
          </w:p>
        </w:tc>
      </w:tr>
      <w:tr>
        <w:trPr>
          <w:trHeight w:val="33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3"/>
              </w:rPr>
              <w:t>(408) 470-1000</w:t>
            </w:r>
          </w:p>
        </w:tc>
        <w:tc>
          <w:tcPr>
            <w:tcW w:w="1720" w:type="dxa"/>
            <w:vAlign w:val="bottom"/>
          </w:tcPr>
          <w:p>
            <w:pPr>
              <w:spacing w:after="0"/>
              <w:rPr>
                <w:sz w:val="24"/>
                <w:szCs w:val="24"/>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720" w:type="dxa"/>
            <w:vAlign w:val="bottom"/>
          </w:tcPr>
          <w:p>
            <w:pPr>
              <w:spacing w:after="0"/>
              <w:rPr>
                <w:sz w:val="18"/>
                <w:szCs w:val="18"/>
                <w:color w:val="auto"/>
              </w:rPr>
            </w:pPr>
          </w:p>
        </w:tc>
      </w:tr>
      <w:tr>
        <w:trPr>
          <w:trHeight w:val="257"/>
        </w:trPr>
        <w:tc>
          <w:tcPr>
            <w:tcW w:w="5840" w:type="dxa"/>
            <w:vAlign w:val="bottom"/>
          </w:tcPr>
          <w:p>
            <w:pPr>
              <w:jc w:val="center"/>
              <w:ind w:left="193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22"/>
                <w:szCs w:val="22"/>
                <w:color w:val="auto"/>
              </w:rPr>
            </w:pPr>
          </w:p>
        </w:tc>
      </w:tr>
    </w:tbl>
    <w:p>
      <w:pPr>
        <w:spacing w:after="0" w:line="6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x</w:t>
            </w:r>
          </w:p>
        </w:tc>
        <w:tc>
          <w:tcPr>
            <w:tcW w:w="3860" w:type="dxa"/>
            <w:vAlign w:val="bottom"/>
          </w:tcPr>
          <w:p>
            <w:pPr>
              <w:spacing w:after="0"/>
              <w:rPr>
                <w:sz w:val="22"/>
                <w:szCs w:val="22"/>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Accelerated filer</w:t>
            </w:r>
          </w:p>
        </w:tc>
        <w:tc>
          <w:tcPr>
            <w:tcW w:w="13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r>
      <w:tr>
        <w:trPr>
          <w:trHeight w:val="25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o</w:t>
            </w:r>
          </w:p>
        </w:tc>
        <w:tc>
          <w:tcPr>
            <w:tcW w:w="386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680" w:type="dxa"/>
            <w:vAlign w:val="bottom"/>
          </w:tcPr>
          <w:p>
            <w:pPr>
              <w:ind w:left="800"/>
              <w:spacing w:after="0"/>
              <w:rPr>
                <w:sz w:val="20"/>
                <w:szCs w:val="20"/>
                <w:color w:val="auto"/>
              </w:rPr>
            </w:pPr>
            <w:r>
              <w:rPr>
                <w:rFonts w:ascii="Arial" w:cs="Arial" w:eastAsia="Arial" w:hAnsi="Arial"/>
                <w:sz w:val="16"/>
                <w:szCs w:val="16"/>
                <w:color w:val="auto"/>
              </w:rPr>
              <w:t>Smaller reporting company</w:t>
            </w:r>
          </w:p>
        </w:tc>
        <w:tc>
          <w:tcPr>
            <w:tcW w:w="132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Emerging growth company</w:t>
            </w:r>
          </w:p>
        </w:tc>
        <w:tc>
          <w:tcPr>
            <w:tcW w:w="132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32" w:lineRule="exact"/>
        <w:rPr>
          <w:sz w:val="24"/>
          <w:szCs w:val="24"/>
          <w:color w:val="auto"/>
        </w:rPr>
      </w:pPr>
    </w:p>
    <w:p>
      <w:pPr>
        <w:jc w:val="both"/>
        <w:ind w:left="40" w:right="12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138" w:lineRule="exact"/>
        <w:rPr>
          <w:sz w:val="24"/>
          <w:szCs w:val="24"/>
          <w:color w:val="auto"/>
        </w:rPr>
      </w:pPr>
    </w:p>
    <w:p>
      <w:pPr>
        <w:ind w:left="440" w:right="248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x The number of shares outstanding of the registrant’s Common Stock, $0.0001 par value, as of April 28, 2017 was 80,331,340.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287655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2">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196" w:lineRule="exact"/>
              <w:rPr>
                <w:rFonts w:ascii="Arial" w:cs="Arial" w:eastAsia="Arial" w:hAnsi="Arial"/>
                <w:sz w:val="18"/>
                <w:szCs w:val="18"/>
                <w:color w:val="0000FF"/>
                <w:w w:val="79"/>
              </w:rPr>
            </w:pPr>
            <w:hyperlink w:anchor="page22">
              <w:r>
                <w:rPr>
                  <w:rFonts w:ascii="Arial" w:cs="Arial" w:eastAsia="Arial" w:hAnsi="Arial"/>
                  <w:sz w:val="18"/>
                  <w:szCs w:val="18"/>
                  <w:color w:val="0000FF"/>
                  <w:w w:val="79"/>
                </w:rPr>
                <w:t>22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33">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3">
              <w:r>
                <w:rPr>
                  <w:rFonts w:ascii="Arial" w:cs="Arial" w:eastAsia="Arial" w:hAnsi="Arial"/>
                  <w:sz w:val="18"/>
                  <w:szCs w:val="18"/>
                  <w:color w:val="0000FF"/>
                  <w:w w:val="79"/>
                </w:rPr>
                <w:t>33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34">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34">
              <w:r>
                <w:rPr>
                  <w:rFonts w:ascii="Arial" w:cs="Arial" w:eastAsia="Arial" w:hAnsi="Arial"/>
                  <w:sz w:val="18"/>
                  <w:szCs w:val="18"/>
                  <w:color w:val="0000FF"/>
                  <w:w w:val="79"/>
                </w:rPr>
                <w:t>34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0">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0">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0">
              <w:r>
                <w:rPr>
                  <w:rFonts w:ascii="Arial" w:cs="Arial" w:eastAsia="Arial" w:hAnsi="Arial"/>
                  <w:sz w:val="18"/>
                  <w:szCs w:val="18"/>
                  <w:color w:val="0000FF"/>
                  <w:w w:val="79"/>
                </w:rPr>
                <w:t>50</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52">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2">
              <w:r>
                <w:rPr>
                  <w:rFonts w:ascii="Arial" w:cs="Arial" w:eastAsia="Arial" w:hAnsi="Arial"/>
                  <w:sz w:val="18"/>
                  <w:szCs w:val="18"/>
                  <w:color w:val="0000FF"/>
                  <w:w w:val="79"/>
                </w:rPr>
                <w:t>52</w:t>
              </w:r>
            </w:hyperlink>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Invisalign Assist, Invisalign Teen, Invisalign Go, Vivera, SmartForce, SmartTrack, SmartStage, Power Ridge,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310,341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238,720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74,716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58,093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235,625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180,627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151,148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112,210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15,083</w:t>
            </w:r>
          </w:p>
        </w:tc>
        <w:tc>
          <w:tcPr>
            <w:tcW w:w="0" w:type="dxa"/>
            <w:vAlign w:val="bottom"/>
          </w:tcPr>
          <w:p>
            <w:pPr>
              <w:spacing w:after="0"/>
              <w:rPr>
                <w:sz w:val="1"/>
                <w:szCs w:val="1"/>
                <w:color w:val="auto"/>
              </w:rPr>
            </w:pPr>
          </w:p>
        </w:tc>
      </w:tr>
      <w:tr>
        <w:trPr>
          <w:trHeight w:val="237"/>
        </w:trPr>
        <w:tc>
          <w:tcPr>
            <w:tcW w:w="81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173,952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127,293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53,334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before provision (benefit) for income taxes and equity</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losses of investee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52,907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12,361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69,420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net income per share:</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36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79,904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79,831</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81,320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7" w:lineRule="exact"/>
        <w:rPr>
          <w:sz w:val="20"/>
          <w:szCs w:val="20"/>
          <w:color w:val="auto"/>
        </w:rPr>
      </w:pPr>
    </w:p>
    <w:p>
      <w:pPr>
        <w:jc w:val="both"/>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change in foreign currency translation adjustment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unrealized gains on investments, net of tax</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860" w:val="left"/>
          <w:tab w:leader="none" w:pos="160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69,420</w:t>
        <w:tab/>
        <w:t>$</w:t>
      </w:r>
      <w:r>
        <w:rPr>
          <w:sz w:val="20"/>
          <w:szCs w:val="20"/>
          <w:color w:val="auto"/>
        </w:rPr>
        <w:tab/>
      </w:r>
      <w:r>
        <w:rPr>
          <w:rFonts w:ascii="Arial" w:cs="Arial" w:eastAsia="Arial" w:hAnsi="Arial"/>
          <w:sz w:val="16"/>
          <w:szCs w:val="16"/>
          <w:color w:val="auto"/>
        </w:rPr>
        <w:t>40,546</w:t>
      </w:r>
    </w:p>
    <w:p>
      <w:pPr>
        <w:spacing w:after="0" w:line="77" w:lineRule="exact"/>
        <w:rPr>
          <w:sz w:val="20"/>
          <w:szCs w:val="20"/>
          <w:color w:val="auto"/>
        </w:rPr>
      </w:pPr>
    </w:p>
    <w:p>
      <w:pPr>
        <w:ind w:left="2620" w:hanging="1578"/>
        <w:spacing w:after="0"/>
        <w:tabs>
          <w:tab w:leader="none" w:pos="2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(150)</w:t>
      </w:r>
    </w:p>
    <w:p>
      <w:pPr>
        <w:spacing w:after="0" w:line="74"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15</w:t>
      </w:r>
      <w:r>
        <w:rPr>
          <w:rFonts w:ascii="Arial" w:cs="Arial" w:eastAsia="Arial" w:hAnsi="Arial"/>
          <w:sz w:val="16"/>
          <w:szCs w:val="16"/>
          <w:color w:val="auto"/>
        </w:rPr>
        <w:t>1,152</w:t>
      </w:r>
    </w:p>
    <w:p>
      <w:pPr>
        <w:spacing w:after="0" w:line="30"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84"/>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CCEEFF"/>
            </w:tcBorders>
            <w:shd w:val="clear" w:color="auto" w:fill="CCEEFF"/>
          </w:tcPr>
          <w:p>
            <w:pPr>
              <w:spacing w:after="0"/>
              <w:rPr>
                <w:sz w:val="24"/>
                <w:szCs w:val="24"/>
                <w:color w:val="auto"/>
              </w:rPr>
            </w:pP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68,976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41,548</w:t>
            </w:r>
          </w:p>
        </w:tc>
      </w:tr>
      <w:tr>
        <w:trPr>
          <w:trHeight w:val="27"/>
        </w:trPr>
        <w:tc>
          <w:tcPr>
            <w:tcW w:w="83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284,559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250,981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Accounts receivable, net of allowance for doubtful accounts and returns of $5,253 and $4,310,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247,415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27,131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38,176</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918,167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952,978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59,783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231,692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175,167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92,447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81,998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13,320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1,459,293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1,396,151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125,631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134,332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202,895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191,407</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365,554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354,335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400,762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 and 9)</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80,324 and 79,553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850,092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864,871</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196,157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131,448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1,044,875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995,389</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1,459,293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1,396,151</w:t>
            </w:r>
          </w:p>
        </w:tc>
      </w:tr>
      <w:tr>
        <w:trPr>
          <w:trHeight w:val="27"/>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4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40,546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tax benefits from stock-based awards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Equity in losses of investee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non-cash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(20,839)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and other long-term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14,748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30,680</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(20,207)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(143,926)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87,003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128,524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Loan advance to privately held companies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(35,316)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 from share-based payment arrangements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Employees’ taxes paid upon the vesting of restricted stock units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(22,572)</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(9,106)</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(128,248)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Cash and cash equivalents,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167,714</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Cash and cash equivalents, end of the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261,027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154,418</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97"/>
        </w:trPr>
        <w:tc>
          <w:tcPr>
            <w:tcW w:w="83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8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or accrued liabilities related to property, plant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10,842</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 all adjustments, including normal recurring adjustments, necessary to state fairly our results of operations for the three months ended March 31, 2017 and 2016, our comprehensive income for the three months ended March 31, 2017 and 2016, our financial position as of March 31, 2017 and our cash flows for the three months ended March 31, 2017 and 2016. The Condensed Consolidated Balance Sheet as of December 31, 2016 was derived from the December 31, 2016 audited financial statements but does not include all disclosures required by accounting principles generally accepted in the United States of America.</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months ended March 31, 2017 are not necessarily indicative of the results that may be expected for the year ending December 31, 2017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2016.</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("GAAP") in the United States of America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long-lived assets and goodwill, equity method investments, useful lives of intangible assets and property and equipment, revenue recognition, stock-based compensation, equity losses of investee,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New Accounting Updates Recently Adopted</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w:t>
      </w:r>
      <w:r>
        <w:rPr>
          <w:rFonts w:ascii="Arial" w:cs="Arial" w:eastAsia="Arial" w:hAnsi="Arial"/>
          <w:sz w:val="17"/>
          <w:szCs w:val="17"/>
          <w:i w:val="1"/>
          <w:iCs w:val="1"/>
          <w:color w:val="auto"/>
        </w:rPr>
        <w:t>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Employee Share-Based Payment Accounting</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252525"/>
        </w:rPr>
        <w:t>(Topic 718)</w:t>
      </w:r>
      <w:r>
        <w:rPr>
          <w:rFonts w:ascii="Arial" w:cs="Arial" w:eastAsia="Arial" w:hAnsi="Arial"/>
          <w:sz w:val="17"/>
          <w:szCs w:val="17"/>
          <w:i w:val="1"/>
          <w:iCs w:val="1"/>
          <w:color w:val="252525"/>
        </w:rPr>
        <w:t>.</w:t>
      </w:r>
      <w:r>
        <w:rPr>
          <w:rFonts w:ascii="Arial" w:cs="Arial" w:eastAsia="Arial" w:hAnsi="Arial"/>
          <w:sz w:val="17"/>
          <w:szCs w:val="17"/>
          <w:i w:val="1"/>
          <w:iCs w:val="1"/>
          <w:color w:val="auto"/>
        </w:rPr>
        <w:t xml:space="preserve"> </w:t>
      </w:r>
      <w:r>
        <w:rPr>
          <w:rFonts w:ascii="Arial" w:cs="Arial" w:eastAsia="Arial" w:hAnsi="Arial"/>
          <w:sz w:val="17"/>
          <w:szCs w:val="17"/>
          <w:color w:val="252525"/>
        </w:rPr>
        <w:t>We adopted the standard in the first quarter of fiscal year 2017. With this adoption, excess tax</w:t>
      </w:r>
      <w:r>
        <w:rPr>
          <w:rFonts w:ascii="Arial" w:cs="Arial" w:eastAsia="Arial" w:hAnsi="Arial"/>
          <w:sz w:val="17"/>
          <w:szCs w:val="17"/>
          <w:i w:val="1"/>
          <w:iCs w:val="1"/>
          <w:color w:val="auto"/>
        </w:rPr>
        <w:t xml:space="preserve"> </w:t>
      </w:r>
      <w:r>
        <w:rPr>
          <w:rFonts w:ascii="Arial" w:cs="Arial" w:eastAsia="Arial" w:hAnsi="Arial"/>
          <w:sz w:val="17"/>
          <w:szCs w:val="17"/>
          <w:color w:val="252525"/>
        </w:rPr>
        <w:t>benefits related to stock-based compensation expense are reflected in our condensed consolidated statement of operations as a component of the provision for income taxes instead of additional paid-in capital in our condensed consolidated balance sheet. For the three months ended March 31, 2017, we recognized excess tax benefits of $21.3 million in our provision for income taxes. Excess tax benefits from share-based payment arrangements are classified as an operating activity in our condensed consolidated statement of cash flows in the same manner as other cash flows related to income taxes. We have elected to apply the standard on a prospective basis. In addition, we elected to continue to estimate expected forfeitures rather than as they occur to determine the amount of compensation cost to be recognized in each period.</w:t>
      </w:r>
    </w:p>
    <w:p>
      <w:pPr>
        <w:spacing w:after="0" w:line="1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(Topic 740) which requires entities to recognize the income tax consequences of an intra-entity transfer of an asset other than inventory when the transfer occurs. We early adopted the standard in the first quarter of fiscal year 2017 by applying the modified retrospective approach. For the three months ended March 31, 2017, we recognized a $1.3 million decrease to retained earnings as a cumulative-effect adjustment.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 Recent Accounting Updates Not Yet Effective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May 2014, the FASB released ASU 2014-9,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goods or services. The new standard defines a five step process to achieve this core principle and, in doing so, it is possible more judgment and estimates may be required within the revenue recognition process than required under existing GAAP including identifying performance obligations in the contract, estimating the amount of variable consideration to include in the transaction price and allocating the transaction price to each separate performance obligation. In addition, the new standard requires that reporting companies disclose the nature, amount, timing, and uncertainty of revenue and cash flows arising from contracts with customers. We are required to adopt this standard starting in the first quarter of fiscal year 2018 using either of two methods: (i) retrospective to each prior reporting period presented with the option to elect certain practical expedients as defined within the standard; or (ii) retrospective with the cumulative effect of initially applying the standard recognized at the date of initial application and providing certain additional disclosures as defined per the standard. We plan to adopt the standard in the first quarter of fiscal year 2018 by applying the full retrospective method. Our ability to adopt using the full retrospective method is dependent on the completion of our analysis of information necessary to restate prior period financial statements. We are continuing to assess the impact of the adoption of this update on our consolidated financial statements and related disclosures.</w:t>
      </w:r>
    </w:p>
    <w:p>
      <w:pPr>
        <w:spacing w:after="0" w:line="1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April 2016, the FASB released </w:t>
      </w:r>
      <w:r>
        <w:rPr>
          <w:rFonts w:ascii="Arial" w:cs="Arial" w:eastAsia="Arial" w:hAnsi="Arial"/>
          <w:sz w:val="18"/>
          <w:szCs w:val="18"/>
          <w:color w:val="252525"/>
        </w:rPr>
        <w:t>ASU 2016-10,</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clarify the following two aspects of Topic 606: identifying performance obligations and the licensing implementation guidance,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In May 2016, the FASB released </w:t>
      </w:r>
      <w:r>
        <w:rPr>
          <w:rFonts w:ascii="Arial" w:cs="Arial" w:eastAsia="Arial" w:hAnsi="Arial"/>
          <w:sz w:val="17"/>
          <w:szCs w:val="17"/>
          <w:color w:val="252525"/>
        </w:rPr>
        <w:t>ASU 2016-12,</w:t>
      </w:r>
      <w:r>
        <w:rPr>
          <w:rFonts w:ascii="Arial" w:cs="Arial" w:eastAsia="Arial" w:hAnsi="Arial"/>
          <w:sz w:val="17"/>
          <w:szCs w:val="17"/>
          <w:color w:val="auto"/>
        </w:rPr>
        <w:t xml:space="preserve">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to address certain issues in the Topic 606 guidance on assessing the collectability, presentation of sales taxes, non-cash consideration, and completed contracts and contract modifications at transition. The ASU provides narrow-scope improvements and practical expedients to the ASU 2014-9 issued in May 2014. The effective date and the transition requirement of the amendments in this update are the same as the effective date and transition requirements of Topic 606.</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December 2016, the FASB released </w:t>
      </w:r>
      <w:r>
        <w:rPr>
          <w:rFonts w:ascii="Arial" w:cs="Arial" w:eastAsia="Arial" w:hAnsi="Arial"/>
          <w:sz w:val="18"/>
          <w:szCs w:val="18"/>
          <w:color w:val="252525"/>
        </w:rPr>
        <w:t>ASU 2016-20,</w:t>
      </w:r>
      <w:r>
        <w:rPr>
          <w:rFonts w:ascii="Arial" w:cs="Arial" w:eastAsia="Arial" w:hAnsi="Arial"/>
          <w:sz w:val="18"/>
          <w:szCs w:val="18"/>
          <w:color w:val="auto"/>
        </w:rPr>
        <w:t xml:space="preserve">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to clarify certain aspects of guidance in the Topic 606 including its scope, disclosure requirements and contract cost accounting, while retaining the principles for those areas of the ASU 2014-9 issued in May 2014. The effective date and the transition requirement of the amendments in this update are the same as the effective date and transition requirements of Topic 606.</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(Topic 842). The FASB issued this update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Early adoption of the standard is permitted. We plan to adopt the standard in the first quarter of fiscal year 2019 by electing practical expedients available in the standard. While we are currently evaluating the impact of the adoption of this guidance on our consolidated financial statements, we expect the adoption will have a material increase in the assets and liabilities of our consolidated balance sheet.</w:t>
      </w:r>
    </w:p>
    <w:p>
      <w:pPr>
        <w:spacing w:after="0" w:line="17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52525"/>
        </w:rPr>
        <w:t>In June 2016, the FASB issued ASU 2016-13, “</w:t>
      </w:r>
      <w:r>
        <w:rPr>
          <w:rFonts w:ascii="Arial" w:cs="Arial" w:eastAsia="Arial" w:hAnsi="Arial"/>
          <w:sz w:val="16"/>
          <w:szCs w:val="16"/>
          <w:i w:val="1"/>
          <w:iCs w:val="1"/>
          <w:color w:val="252525"/>
        </w:rPr>
        <w:t>Financial Instruments - Credit Losses</w:t>
      </w:r>
      <w:r>
        <w:rPr>
          <w:rFonts w:ascii="Arial" w:cs="Arial" w:eastAsia="Arial" w:hAnsi="Arial"/>
          <w:sz w:val="16"/>
          <w:szCs w:val="16"/>
          <w:color w:val="252525"/>
        </w:rPr>
        <w:t>” (Topic 326)</w:t>
      </w:r>
      <w:r>
        <w:rPr>
          <w:rFonts w:ascii="Arial" w:cs="Arial" w:eastAsia="Arial" w:hAnsi="Arial"/>
          <w:sz w:val="16"/>
          <w:szCs w:val="16"/>
          <w:i w:val="1"/>
          <w:iCs w:val="1"/>
          <w:color w:val="252525"/>
        </w:rPr>
        <w:t>.</w:t>
      </w:r>
      <w:r>
        <w:rPr>
          <w:rFonts w:ascii="Arial" w:cs="Arial" w:eastAsia="Arial" w:hAnsi="Arial"/>
          <w:sz w:val="16"/>
          <w:szCs w:val="16"/>
          <w:color w:val="252525"/>
        </w:rPr>
        <w:t xml:space="preserve"> </w:t>
      </w:r>
      <w:r>
        <w:rPr>
          <w:rFonts w:ascii="Arial" w:cs="Arial" w:eastAsia="Arial" w:hAnsi="Arial"/>
          <w:sz w:val="16"/>
          <w:szCs w:val="16"/>
          <w:color w:val="000000"/>
        </w:rPr>
        <w:t>The FASB issued this update to provide financial</w:t>
      </w:r>
      <w:r>
        <w:rPr>
          <w:rFonts w:ascii="Arial" w:cs="Arial" w:eastAsia="Arial" w:hAnsi="Arial"/>
          <w:sz w:val="16"/>
          <w:szCs w:val="16"/>
          <w:color w:val="252525"/>
        </w:rPr>
        <w:t xml:space="preserve"> </w:t>
      </w:r>
      <w:r>
        <w:rPr>
          <w:rFonts w:ascii="Arial" w:cs="Arial" w:eastAsia="Arial" w:hAnsi="Arial"/>
          <w:sz w:val="16"/>
          <w:szCs w:val="16"/>
          <w:color w:val="000000"/>
        </w:rPr>
        <w:t xml:space="preserve">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6"/>
          <w:szCs w:val="16"/>
          <w:color w:val="252525"/>
        </w:rPr>
        <w:t>The updated guidance is effective for annual periods beginning after December 15, 2019, including interim periods within those fiscal years. Early</w:t>
      </w:r>
      <w:r>
        <w:rPr>
          <w:rFonts w:ascii="Arial" w:cs="Arial" w:eastAsia="Arial" w:hAnsi="Arial"/>
          <w:sz w:val="16"/>
          <w:szCs w:val="16"/>
          <w:color w:val="000000"/>
        </w:rPr>
        <w:t xml:space="preserve"> </w:t>
      </w:r>
      <w:r>
        <w:rPr>
          <w:rFonts w:ascii="Arial" w:cs="Arial" w:eastAsia="Arial" w:hAnsi="Arial"/>
          <w:sz w:val="16"/>
          <w:szCs w:val="16"/>
          <w:color w:val="252525"/>
        </w:rPr>
        <w:t xml:space="preserve">adoption of the update is permitted as of the fiscal years beginning after December 15, 2018, including interim periods within those fiscal years. </w:t>
      </w:r>
      <w:r>
        <w:rPr>
          <w:rFonts w:ascii="Arial" w:cs="Arial" w:eastAsia="Arial" w:hAnsi="Arial"/>
          <w:sz w:val="16"/>
          <w:szCs w:val="16"/>
          <w:color w:val="000000"/>
        </w:rPr>
        <w:t>We are</w:t>
      </w:r>
      <w:r>
        <w:rPr>
          <w:rFonts w:ascii="Arial" w:cs="Arial" w:eastAsia="Arial" w:hAnsi="Arial"/>
          <w:sz w:val="16"/>
          <w:szCs w:val="16"/>
          <w:color w:val="252525"/>
        </w:rPr>
        <w:t xml:space="preserve"> </w:t>
      </w:r>
      <w:r>
        <w:rPr>
          <w:rFonts w:ascii="Arial" w:cs="Arial" w:eastAsia="Arial" w:hAnsi="Arial"/>
          <w:sz w:val="16"/>
          <w:szCs w:val="16"/>
          <w:color w:val="000000"/>
        </w:rPr>
        <w:t>currently evaluating the impact of this guidance on our consolidated financial statements and related disclosures.</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(Topic 230). This FASB clarifies the presentation and classification of certain cash receipts and cash payments in the statements of cash flows. The amendments are effective for fiscal years and interim periods within those years beginning after December 15, 2017. Early adoption is permitted. We are currently evaluating the impact of this guidance on our consolidated financial statements and related disclosures.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w:t>
      </w:r>
      <w:r>
        <w:rPr>
          <w:rFonts w:ascii="Arial" w:cs="Arial" w:eastAsia="Arial" w:hAnsi="Arial"/>
          <w:sz w:val="18"/>
          <w:szCs w:val="18"/>
          <w:color w:val="252525"/>
        </w:rPr>
        <w:t>which provides guidance to address the classification</w:t>
      </w:r>
      <w:r>
        <w:rPr>
          <w:rFonts w:ascii="Arial" w:cs="Arial" w:eastAsia="Arial" w:hAnsi="Arial"/>
          <w:sz w:val="18"/>
          <w:szCs w:val="18"/>
          <w:color w:val="auto"/>
        </w:rPr>
        <w:t xml:space="preserve"> </w:t>
      </w:r>
      <w:r>
        <w:rPr>
          <w:rFonts w:ascii="Arial" w:cs="Arial" w:eastAsia="Arial" w:hAnsi="Arial"/>
          <w:sz w:val="18"/>
          <w:szCs w:val="18"/>
          <w:color w:val="252525"/>
        </w:rPr>
        <w:t>and presentation of changes in restricted cash in the statements of cash flows</w:t>
      </w:r>
      <w:r>
        <w:rPr>
          <w:rFonts w:ascii="Arial" w:cs="Arial" w:eastAsia="Arial" w:hAnsi="Arial"/>
          <w:sz w:val="18"/>
          <w:szCs w:val="18"/>
          <w:color w:val="000000"/>
        </w:rPr>
        <w:t>. The amendments are effective for fiscal years and interim periods within those</w:t>
      </w:r>
      <w:r>
        <w:rPr>
          <w:rFonts w:ascii="Arial" w:cs="Arial" w:eastAsia="Arial" w:hAnsi="Arial"/>
          <w:sz w:val="18"/>
          <w:szCs w:val="18"/>
          <w:color w:val="252525"/>
        </w:rPr>
        <w:t xml:space="preserve"> </w:t>
      </w:r>
      <w:r>
        <w:rPr>
          <w:rFonts w:ascii="Arial" w:cs="Arial" w:eastAsia="Arial" w:hAnsi="Arial"/>
          <w:sz w:val="18"/>
          <w:szCs w:val="18"/>
          <w:color w:val="000000"/>
        </w:rPr>
        <w:t>years beginning after December 15, 2017 on a retrospective basis, and early adoption is permitted. We are currently evaluating the impact of this guidance on our consolidated financial statements and related disclosures.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January 2017, the FASB issued ASU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to clarify the definition of a business when evaluating whether transactions should be accounted for as acquisitions of assets or businesses. The amendments are effective for fiscal years and interim periods within those years beginning after December 15, 2017 on a retrospective basis, early adoption is permitted. We are currently evaluating the impact of this guidance on our consolidated financial statements and related disclosures.</w:t>
      </w:r>
    </w:p>
    <w:p>
      <w:pPr>
        <w:spacing w:after="0" w:line="3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to simply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early adoption is permitted. We are currently evaluating the impact of this guidance on our consolidated financial statements and related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 and Fair Value Measurements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2017 and December 31, 2016, the estimated fair value of our short-term and long-term marketable securities, classified as available for sale, are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42,160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42,160</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152,169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152,092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government agency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21,879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21,863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54,767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54,739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marketable securities, short-term</w:t>
            </w:r>
          </w:p>
        </w:tc>
        <w:tc>
          <w:tcPr>
            <w:tcW w:w="184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284,681</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284,559</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i w:val="1"/>
                <w:iCs w:val="1"/>
                <w:color w:val="auto"/>
              </w:rPr>
              <w:t>Long-term</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March 31, 2017</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79,267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79,250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8,034</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Total marketable securities, long-term</w:t>
            </w:r>
          </w:p>
        </w:tc>
        <w:tc>
          <w:tcPr>
            <w:tcW w:w="184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98,596</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98,574</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i w:val="1"/>
                <w:iCs w:val="1"/>
                <w:color w:val="auto"/>
              </w:rPr>
              <w:t>Short-term</w:t>
            </w: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2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42,397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42,391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122,788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122,689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securities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U.S. government agency bonds</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28,903</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28,908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45,146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6,000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251,086</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250,981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40,889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40,812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12,016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12,005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59,887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59,783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77"/>
        <w:spacing w:after="0" w:line="302" w:lineRule="auto"/>
        <w:rPr>
          <w:sz w:val="20"/>
          <w:szCs w:val="20"/>
          <w:color w:val="auto"/>
        </w:rPr>
      </w:pPr>
      <w:r>
        <w:rPr>
          <w:rFonts w:ascii="Arial" w:cs="Arial" w:eastAsia="Arial" w:hAnsi="Arial"/>
          <w:sz w:val="16"/>
          <w:szCs w:val="16"/>
          <w:color w:val="auto"/>
        </w:rPr>
        <w:t>Cash and cash equivalents are not included in the table above as the gross unrealized gains and losses are not material. We have no short-term or long-term investments that have been in a continuous material unrealized loss position for greater than twelve months as of March 31, 2017 and December 31, 2016. Amounts reclassified to earnings from accumulated other comprehensive income (loss), net related to unrealized gains or losses were not material for the three months ended March 31, 2017 and 2016. For the three months ended March 31, 2017 and 2016, realized gains or losses were not material.</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fixed-income securities investment portfolio consists of investments that have a maximum effective maturity of 27 months.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 loss. The unrealized losses are due primarily to changes in credit spreads and interest rates. We expect to realize the full value of all these investments upon maturity or sale. The weighted average remaining duration of these securities was approximately 9 months and 7 months as of March 31, 2017 and December 31, 2016, respectively.</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maturity as of March 31, 2017 and December 31, 2016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2017</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2016</w:t>
            </w:r>
          </w:p>
        </w:tc>
      </w:tr>
      <w:tr>
        <w:trPr>
          <w:trHeight w:val="250"/>
        </w:trPr>
        <w:tc>
          <w:tcPr>
            <w:tcW w:w="8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284,559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250,981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12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98,574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59,783</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383,133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310,764</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measure the fair value of our cash equivalents and marketable securities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Level 1 assets consist of money market funds and U.S. government treasury bonds. We did not hold any Level 1 liabilities as of March 31, 2017 and December 31, 2016.</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Level 2 assets consist of commercial paper, corporate bonds, municipal securities, certificates of deposit, U.S. government agency bonds, asset-backed securities and our Israeli funds that are mainly invested in insurance policies.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 We did not hold any Level 2 liabilities as of March 31, 2017 and December 31, 2016.</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to the valuation methodology that are supported by little or no market activity and that are significant to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 Our Level 3 assets consist of long-term notes receivable and are included in other assets on our condensed consolidated balance sheet. In 2016, we entered into a long-term notes receivable for $2.0 million. As of March 31, 2017, the fair value of the long-term receivable was $2.1 million as compared to $2.0 million as of December 31, 2016, the change was recognized in our earnings during the first quarter of 2017. We did not hold any Level 3 liabilities as of March 31, 2017 and December 31, 2016.</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March 31, 2017 and December 31,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4"/>
                <w:szCs w:val="14"/>
                <w:color w:val="auto"/>
              </w:rPr>
            </w:pP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Balance as of</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Active Markets for</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40" w:type="dxa"/>
            <w:vAlign w:val="bottom"/>
          </w:tcPr>
          <w:p>
            <w:pPr>
              <w:spacing w:after="0"/>
              <w:rPr>
                <w:sz w:val="12"/>
                <w:szCs w:val="12"/>
                <w:color w:val="auto"/>
              </w:rPr>
            </w:pPr>
          </w:p>
        </w:tc>
        <w:tc>
          <w:tcPr>
            <w:tcW w:w="13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March 31, 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141,256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141,256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5,521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152,092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152,092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Municipal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21,863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21,863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9,787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79,250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79,250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notes receivable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557,212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209,538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345,590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9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3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Balance as of</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Active Markets for</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 Assets</w:t>
            </w: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120" w:type="dxa"/>
            <w:vAlign w:val="bottom"/>
          </w:tcPr>
          <w:p>
            <w:pPr>
              <w:spacing w:after="0"/>
              <w:rPr>
                <w:sz w:val="12"/>
                <w:szCs w:val="12"/>
                <w:color w:val="auto"/>
              </w:rPr>
            </w:pPr>
          </w:p>
        </w:tc>
        <w:tc>
          <w:tcPr>
            <w:tcW w:w="13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6"/>
              </w:rPr>
              <w:t>Observable Inputs</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December 31, 2016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87,179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87,179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42,391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42,391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Municipal securities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5,847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45,146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40,812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Long-term notes receivable</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406,195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144,330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259,818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 the past and may in the future enter into foreign currency forward contracts to minimize the short-term impact of foreign currency exchange rate fluctuations associated with certain assets and liabilities. We had no foreign exchange forward contracts outstanding as of March 31, 2017 and no net gain or loss from the settlement of foreign currency forward contracts during the three months ended March 31, 2017. The net gain or loss on forward contracts was not material during the three months ended March 31, 2016. Certain investments in private companies contain embedded derivatives, which do not require bifurcation as we elected to measure these investments at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Balance Sheet Components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1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9,793</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14,061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10,773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4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35,174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27,131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4900" w:type="dxa"/>
            <w:vAlign w:val="bottom"/>
            <w:vMerge w:val="restart"/>
          </w:tcPr>
          <w:p>
            <w:pPr>
              <w:jc w:val="right"/>
              <w:ind w:right="245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9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4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79,214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and marketing expenses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11,970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rebate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tax and value added tax</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5,032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professional fees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3,604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16,119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125,631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134,332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review the accrued balances and update these balances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March 31, 2017 and 2016 consists of the following activity (in thousands):</w:t>
      </w:r>
    </w:p>
    <w:p>
      <w:pPr>
        <w:spacing w:after="0" w:line="163"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2,638</w:t>
            </w:r>
          </w:p>
        </w:tc>
      </w:tr>
      <w:tr>
        <w:trPr>
          <w:trHeight w:val="27"/>
        </w:trPr>
        <w:tc>
          <w:tcPr>
            <w:tcW w:w="8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Charged to cost of revenues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816</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Method Investments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2016, we acquired a 17% equity interest, on a fully diluted basis, in SmileDirectClub, LLC (“SDC”) for $46.7 million, and account for this as an equity method investment. The investment is reported in our condensed consolidated balance sheet under equity method investments, and we record our proportional share of SDC's earnings or losses within equity in losses of investee in our condensed consolidated statement of operations. As of March 31, 2017, the balance of our equity method investments was $43.9 million.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after eliminating outstanding intercompany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first quarter of 2017, we completed the acquisitions of certain of our distributors for the total estimated cash consideration of approximately $9.5 million including cash acquired. We preliminary recorded $1.9 million of net tangible liabilities, $8.2 million of identifiable intangible assets and $3.2 million of goodwill. The preliminary fair values of net tangible liabilities and identifiable intangible assets acquired are based on preliminary valuations, and our estimates and assumptions are subject to change within the measurement period (up to one year from the acquisition date).</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goodwill is primarily related to the benefit we expect to obtain from direct sales as we believe that the transition from our distributor arrangements to a direct sales model will increase our net revenues in the region as we will experience higher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average sales prices (“ASP”) compared to our discounted ASP under the distribution agreements. The goodwill is not deductible for tax purposes.</w:t>
      </w:r>
    </w:p>
    <w:p>
      <w:pPr>
        <w:spacing w:after="0" w:line="2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Pro forma results of operations for these acquisitions have not been presented as they are not material to our results of operations, either individually or in aggregate, for the three months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change in the carrying value of goodwill for the three months ended March 31, 2017,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rPr>
              <w:t>Total</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Goodwill from distributor acquisitions</w:t>
            </w:r>
          </w:p>
        </w:tc>
        <w:tc>
          <w:tcPr>
            <w:tcW w:w="54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3,247</w:t>
            </w:r>
          </w:p>
        </w:tc>
      </w:tr>
      <w:tr>
        <w:trPr>
          <w:trHeight w:val="27"/>
        </w:trPr>
        <w:tc>
          <w:tcPr>
            <w:tcW w:w="9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91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5"/>
                <w:szCs w:val="25"/>
                <w:color w:val="auto"/>
                <w:vertAlign w:val="superscript"/>
              </w:rPr>
              <w:t>1</w:t>
            </w:r>
          </w:p>
        </w:tc>
        <w:tc>
          <w:tcPr>
            <w:tcW w:w="54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Balance as of March 31, 2017</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64,545</w:t>
            </w:r>
          </w:p>
        </w:tc>
      </w:tr>
      <w:tr>
        <w:trPr>
          <w:trHeight w:val="27"/>
        </w:trPr>
        <w:tc>
          <w:tcPr>
            <w:tcW w:w="9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9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0" w:hanging="72"/>
        <w:spacing w:after="0"/>
        <w:tabs>
          <w:tab w:leader="none" w:pos="80"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The adjustments to goodwill during the period were a result of foreign currency translation.</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 of fiscal 2016, we performed the annual goodwill impairment testing and found no impairment as the fair value of our Clear Aligner reporting unit was significantly in excess of the carrying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Long-Lived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long-lived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March 31, 2017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4"/>
          </w:tcPr>
          <w:p>
            <w:pPr>
              <w:ind w:left="20"/>
              <w:spacing w:after="0"/>
              <w:rPr>
                <w:sz w:val="20"/>
                <w:szCs w:val="20"/>
                <w:color w:val="auto"/>
              </w:rPr>
            </w:pPr>
            <w:r>
              <w:rPr>
                <w:rFonts w:ascii="Arial" w:cs="Arial" w:eastAsia="Arial" w:hAnsi="Arial"/>
                <w:sz w:val="14"/>
                <w:szCs w:val="14"/>
                <w:b w:val="1"/>
                <w:bCs w:val="1"/>
                <w:color w:val="auto"/>
              </w:rPr>
              <w:t>Impairment Loss</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6"/>
              </w:rPr>
              <w:t>March 31, 2017</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9,465</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r>
              <w:rPr>
                <w:rFonts w:ascii="Arial" w:cs="Arial" w:eastAsia="Arial" w:hAnsi="Arial"/>
                <w:sz w:val="21"/>
                <w:szCs w:val="21"/>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67,564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27,902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Gross Carrying</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1420" w:type="dxa"/>
            <w:vAlign w:val="bottom"/>
          </w:tcPr>
          <w:p>
            <w:pPr>
              <w:jc w:val="center"/>
              <w:ind w:right="76"/>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Amount as of</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Period (in years)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Impairment 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ind w:left="17"/>
              <w:spacing w:after="0"/>
              <w:rPr>
                <w:sz w:val="20"/>
                <w:szCs w:val="20"/>
                <w:color w:val="auto"/>
              </w:rPr>
            </w:pPr>
            <w:r>
              <w:rPr>
                <w:rFonts w:ascii="Arial" w:cs="Arial" w:eastAsia="Arial" w:hAnsi="Arial"/>
                <w:sz w:val="18"/>
                <w:szCs w:val="18"/>
                <w:color w:val="auto"/>
                <w:w w:val="89"/>
              </w:rPr>
              <w:t>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12,600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4,131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Pr>
          <w:p>
            <w:pPr>
              <w:jc w:val="center"/>
              <w:ind w:left="17"/>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6,316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firstLine="8"/>
        <w:spacing w:after="0" w:line="256" w:lineRule="auto"/>
        <w:tabs>
          <w:tab w:leader="none" w:pos="81"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The fair value of reacquired rights obtained from distributor acquisitions during the three months ended March 31, 2017 is valued using the income approach. In addition, we effectively settled the pre-existing relationship with the distributors by assessing whether the distributor agreements include favorable or unfavorable terms compared to current market rates. Based on the assessment, we determined that the distributor agreements had terms that are consistent with market rates and, therefore, no settlement gains or losses are recorded associated with the acquisitions during the three months ended March 31, 2017.</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March 31, 2017 is as follows (in thousands):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Remainder of 2017</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4,713</w:t>
            </w:r>
          </w:p>
        </w:tc>
      </w:tr>
      <w:tr>
        <w:trPr>
          <w:trHeight w:val="243"/>
        </w:trPr>
        <w:tc>
          <w:tcPr>
            <w:tcW w:w="9360" w:type="dxa"/>
            <w:vAlign w:val="bottom"/>
          </w:tcPr>
          <w:p>
            <w:pPr>
              <w:jc w:val="right"/>
              <w:ind w:right="8550"/>
              <w:spacing w:after="0"/>
              <w:rPr>
                <w:sz w:val="20"/>
                <w:szCs w:val="20"/>
                <w:color w:val="auto"/>
              </w:rPr>
            </w:pPr>
            <w:r>
              <w:rPr>
                <w:rFonts w:ascii="Arial" w:cs="Arial" w:eastAsia="Arial" w:hAnsi="Arial"/>
                <w:sz w:val="18"/>
                <w:szCs w:val="18"/>
                <w:color w:val="auto"/>
              </w:rPr>
              <w:t>2018</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5,989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right"/>
              <w:ind w:right="8550"/>
              <w:spacing w:after="0"/>
              <w:rPr>
                <w:sz w:val="20"/>
                <w:szCs w:val="20"/>
                <w:color w:val="auto"/>
              </w:rPr>
            </w:pPr>
            <w:r>
              <w:rPr>
                <w:rFonts w:ascii="Arial" w:cs="Arial" w:eastAsia="Arial" w:hAnsi="Arial"/>
                <w:sz w:val="18"/>
                <w:szCs w:val="18"/>
                <w:color w:val="auto"/>
              </w:rPr>
              <w:t>2019</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5,873</w:t>
            </w:r>
          </w:p>
        </w:tc>
      </w:tr>
      <w:tr>
        <w:trPr>
          <w:trHeight w:val="243"/>
        </w:trPr>
        <w:tc>
          <w:tcPr>
            <w:tcW w:w="9360" w:type="dxa"/>
            <w:vAlign w:val="bottom"/>
          </w:tcPr>
          <w:p>
            <w:pPr>
              <w:jc w:val="right"/>
              <w:ind w:right="8550"/>
              <w:spacing w:after="0"/>
              <w:rPr>
                <w:sz w:val="20"/>
                <w:szCs w:val="20"/>
                <w:color w:val="auto"/>
              </w:rPr>
            </w:pPr>
            <w:r>
              <w:rPr>
                <w:rFonts w:ascii="Arial" w:cs="Arial" w:eastAsia="Arial" w:hAnsi="Arial"/>
                <w:sz w:val="18"/>
                <w:szCs w:val="18"/>
                <w:color w:val="auto"/>
              </w:rPr>
              <w:t>2020</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3,758</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jc w:val="right"/>
              <w:ind w:right="8550"/>
              <w:spacing w:after="0"/>
              <w:rPr>
                <w:sz w:val="20"/>
                <w:szCs w:val="20"/>
                <w:color w:val="auto"/>
              </w:rPr>
            </w:pPr>
            <w:r>
              <w:rPr>
                <w:rFonts w:ascii="Arial" w:cs="Arial" w:eastAsia="Arial" w:hAnsi="Arial"/>
                <w:sz w:val="18"/>
                <w:szCs w:val="18"/>
                <w:color w:val="auto"/>
              </w:rPr>
              <w:t>2021</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3,339</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4,230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27,902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for the three months ended March 31, 2017 was $1.4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1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credit facility provides for a $50.0 million revolving line of credit with a $10.0 million letter of credit sublimit. The credit facility requires us to comply with specific financial conditions and performance requirements. On February 10, 2017, we amended the credit facility and extended maturity date to March 22, 2018. The loans bear interest, at our option, at a fluctuating rate per annum equal to the daily one-month adjusted LIBOR rate plus a spread of 1.75% or an adjusted LIBOR rate (based on one, three, six or twelve-month interest periods) plus a spread of 1.75%. As of March 31, 2017, we had no outstanding borrowings under this credit facility and were in compliance with the conditions and performance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2017,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Operating Leases</w:t>
            </w:r>
          </w:p>
        </w:tc>
      </w:tr>
      <w:tr>
        <w:trPr>
          <w:trHeight w:val="250"/>
        </w:trPr>
        <w:tc>
          <w:tcPr>
            <w:tcW w:w="9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10,113</w:t>
            </w:r>
          </w:p>
        </w:tc>
      </w:tr>
      <w:tr>
        <w:trPr>
          <w:trHeight w:val="243"/>
        </w:trPr>
        <w:tc>
          <w:tcPr>
            <w:tcW w:w="9440" w:type="dxa"/>
            <w:vAlign w:val="bottom"/>
          </w:tcPr>
          <w:p>
            <w:pPr>
              <w:ind w:left="3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10,920</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8,930</w:t>
            </w:r>
          </w:p>
        </w:tc>
      </w:tr>
      <w:tr>
        <w:trPr>
          <w:trHeight w:val="243"/>
        </w:trPr>
        <w:tc>
          <w:tcPr>
            <w:tcW w:w="9440" w:type="dxa"/>
            <w:vAlign w:val="bottom"/>
          </w:tcPr>
          <w:p>
            <w:pPr>
              <w:ind w:left="38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7,133</w:t>
            </w:r>
          </w:p>
        </w:tc>
      </w:tr>
      <w:tr>
        <w:trPr>
          <w:trHeight w:val="27"/>
        </w:trPr>
        <w:tc>
          <w:tcPr>
            <w:tcW w:w="9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6,481</w:t>
            </w:r>
          </w:p>
        </w:tc>
      </w:tr>
      <w:tr>
        <w:trPr>
          <w:trHeight w:val="243"/>
        </w:trPr>
        <w:tc>
          <w:tcPr>
            <w:tcW w:w="956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9,170</w:t>
            </w:r>
          </w:p>
        </w:tc>
      </w:tr>
      <w:tr>
        <w:trPr>
          <w:trHeight w:val="27"/>
        </w:trPr>
        <w:tc>
          <w:tcPr>
            <w:tcW w:w="9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9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52,747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July 25, 2016, we entered into a Loan and Security Agreement (the "Loan Agreement") with SmileDirectClub, LLC ("SDC") where we agreed to provide a loan of up to $15.0 million in one or more advances to SDC (the "Loan Facility"). Available advances under the Loan Facility are subject to a borrowing base of 80% of SDC's eligible accounts receivable, determined in accordance with the terms of the Loan Agreement, and the satisfaction of other customary conditions. The advances bear interest, paid quarterly, at the rate of 7% per annum. Advances that are repaid or prepaid may be reborrowed. All outstanding principal and accrued and unpaid interest on the advances are due and payable on July 25, 2021. SDC's obligations in respect of the Loan Agreement are collateralized by a security interest in substantially all of SDC's assets. As of March 31, 2017, $8.0 million of advances under the Loan Facility were issued and outstanding (</w:t>
      </w:r>
      <w:r>
        <w:rPr>
          <w:rFonts w:ascii="Arial" w:cs="Arial" w:eastAsia="Arial" w:hAnsi="Arial"/>
          <w:sz w:val="18"/>
          <w:szCs w:val="18"/>
          <w:i w:val="1"/>
          <w:iCs w:val="1"/>
          <w:color w:val="auto"/>
        </w:rPr>
        <w:t>Refer to Note 4 "Equity Method Investments" of the Notes to Condensed Consolidated Financial Statements</w:t>
      </w:r>
      <w:r>
        <w:rPr>
          <w:rFonts w:ascii="Arial" w:cs="Arial" w:eastAsia="Arial" w:hAnsi="Arial"/>
          <w:sz w:val="18"/>
          <w:szCs w:val="18"/>
          <w:color w:val="auto"/>
        </w:rPr>
        <w:t xml:space="preserve"> for more information on our investments in SDC).</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have entered into certain investments with a privately held company where we have committed to purchase up to $5.0 million in convertible promissory notes. The first convertible promissory note for $2.0 million was issued in July 2016 and is outstanding as of March 31, 2017. The remaining $3.0 million is conditioned upon achievement of various business milestones. The notes all mature on December 30, 2018 and accrue interest annually at 2.5%.</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2017, we had no off-balance sheet arrangements that have, or are reasonably likely to have, a current or future material effect on our consolidated financial condition,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3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March 31, 2017,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2017, the 2005 Incentive Plan (as amended) has a total reserve of 27,783,379 shares of which 6,982,718 shares are available for issuance.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months ended March 31, 2017 and 2016 is as follows (in thousands):</w:t>
      </w:r>
    </w:p>
    <w:p>
      <w:pPr>
        <w:spacing w:after="0" w:line="12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961</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9,834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1,729</w:t>
            </w:r>
          </w:p>
        </w:tc>
      </w:tr>
      <w:tr>
        <w:trPr>
          <w:trHeight w:val="27"/>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14,812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12,524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granted options since 2011 and all outstanding options were fully vested and associated stock-based compensation expenses were recognized as of December 31, 2015. Activity for the three months ended March 31, 2017 under the stock option plans is set forth below (in thousands, except years and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80" w:type="dxa"/>
            <w:vAlign w:val="bottom"/>
          </w:tcPr>
          <w:p>
            <w:pPr>
              <w:spacing w:after="0"/>
              <w:rPr>
                <w:sz w:val="14"/>
                <w:szCs w:val="14"/>
                <w:color w:val="auto"/>
              </w:rPr>
            </w:pPr>
          </w:p>
        </w:tc>
        <w:tc>
          <w:tcPr>
            <w:tcW w:w="12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Contractual Term (in</w:t>
            </w:r>
          </w:p>
        </w:tc>
        <w:tc>
          <w:tcPr>
            <w:tcW w:w="280" w:type="dxa"/>
            <w:vAlign w:val="bottom"/>
          </w:tcPr>
          <w:p>
            <w:pPr>
              <w:spacing w:after="0"/>
              <w:rPr>
                <w:sz w:val="12"/>
                <w:szCs w:val="12"/>
                <w:color w:val="auto"/>
              </w:rPr>
            </w:pPr>
          </w:p>
        </w:tc>
        <w:tc>
          <w:tcPr>
            <w:tcW w:w="120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Years)</w:t>
            </w:r>
          </w:p>
        </w:tc>
        <w:tc>
          <w:tcPr>
            <w:tcW w:w="280" w:type="dxa"/>
            <w:vAlign w:val="bottom"/>
          </w:tcPr>
          <w:p>
            <w:pPr>
              <w:spacing w:after="0"/>
              <w:rPr>
                <w:sz w:val="16"/>
                <w:szCs w:val="16"/>
                <w:color w:val="auto"/>
              </w:rPr>
            </w:pPr>
          </w:p>
        </w:tc>
        <w:tc>
          <w:tcPr>
            <w:tcW w:w="1200" w:type="dxa"/>
            <w:vAlign w:val="bottom"/>
          </w:tcPr>
          <w:p>
            <w:pPr>
              <w:jc w:val="center"/>
              <w:ind w:right="1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2016</w:t>
            </w:r>
          </w:p>
        </w:tc>
        <w:tc>
          <w:tcPr>
            <w:tcW w:w="17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Cancelled or expired</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March 31, 2017</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Vested and expected to vest at March 31, 2017</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Exercisable at March 31, 2017</w:t>
            </w:r>
          </w:p>
        </w:tc>
        <w:tc>
          <w:tcPr>
            <w:tcW w:w="1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13,809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 of nonvested RSUs is based on our closing stock price on the date of grant. A summary for the three months ended March 31, 2017 is as follows (in thousands, except years and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vMerge w:val="restart"/>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Vesting</w:t>
            </w:r>
          </w:p>
        </w:tc>
        <w:tc>
          <w:tcPr>
            <w:tcW w:w="300" w:type="dxa"/>
            <w:vAlign w:val="bottom"/>
          </w:tcPr>
          <w:p>
            <w:pPr>
              <w:spacing w:after="0"/>
              <w:rPr>
                <w:sz w:val="12"/>
                <w:szCs w:val="12"/>
                <w:color w:val="auto"/>
              </w:rPr>
            </w:pPr>
          </w:p>
        </w:tc>
        <w:tc>
          <w:tcPr>
            <w:tcW w:w="128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Underlying RSUs</w:t>
            </w:r>
          </w:p>
        </w:tc>
        <w:tc>
          <w:tcPr>
            <w:tcW w:w="22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Date Fair Value</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Period (in years)</w:t>
            </w:r>
          </w:p>
        </w:tc>
        <w:tc>
          <w:tcPr>
            <w:tcW w:w="300" w:type="dxa"/>
            <w:vAlign w:val="bottom"/>
          </w:tcPr>
          <w:p>
            <w:pPr>
              <w:spacing w:after="0"/>
              <w:rPr>
                <w:sz w:val="16"/>
                <w:szCs w:val="16"/>
                <w:color w:val="auto"/>
              </w:rPr>
            </w:pPr>
          </w:p>
        </w:tc>
        <w:tc>
          <w:tcPr>
            <w:tcW w:w="1280" w:type="dxa"/>
            <w:vAlign w:val="bottom"/>
          </w:tcPr>
          <w:p>
            <w:pPr>
              <w:jc w:val="center"/>
              <w:ind w:right="18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7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102.24</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60.29</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2017</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166,598</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2017, the total unamortized compensation cost related to RSUs, net of estimated forfeitures, was $86.9 million, which we expect to recognize over a weighted average period of 2.6 years.</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an annual basis, we grant market-performance based restricted stock units (“MSUs”) to our executive officers. Each MSU represents the right to one share of Align’s common stock. The actual number of MSUs which will be eligible to vest will be based on the performance of Align’s stock price relative to the performance of the NASDAQ Composite Index over the vesting period, generally two to three years, up to 200% of the MSUs initially granted.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performance for the three months ended March 31, 2017 (in thousands, except years):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 Grant</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Weighted Average</w:t>
            </w:r>
          </w:p>
        </w:tc>
        <w:tc>
          <w:tcPr>
            <w:tcW w:w="300" w:type="dxa"/>
            <w:vAlign w:val="bottom"/>
          </w:tcPr>
          <w:p>
            <w:pPr>
              <w:spacing w:after="0"/>
              <w:rPr>
                <w:sz w:val="14"/>
                <w:szCs w:val="14"/>
                <w:color w:val="auto"/>
              </w:rPr>
            </w:pPr>
          </w:p>
        </w:tc>
        <w:tc>
          <w:tcPr>
            <w:tcW w:w="1280" w:type="dxa"/>
            <w:vAlign w:val="bottom"/>
          </w:tcPr>
          <w:p>
            <w:pPr>
              <w:jc w:val="center"/>
              <w:ind w:right="20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Underlying MSUs</w:t>
            </w:r>
          </w:p>
        </w:tc>
        <w:tc>
          <w:tcPr>
            <w:tcW w:w="22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Date Fair Value</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Vesting Period (in years)</w:t>
            </w:r>
          </w:p>
        </w:tc>
        <w:tc>
          <w:tcPr>
            <w:tcW w:w="300" w:type="dxa"/>
            <w:vAlign w:val="bottom"/>
          </w:tcPr>
          <w:p>
            <w:pPr>
              <w:spacing w:after="0"/>
              <w:rPr>
                <w:sz w:val="16"/>
                <w:szCs w:val="16"/>
                <w:color w:val="auto"/>
              </w:rPr>
            </w:pPr>
          </w:p>
        </w:tc>
        <w:tc>
          <w:tcPr>
            <w:tcW w:w="1280" w:type="dxa"/>
            <w:vAlign w:val="bottom"/>
          </w:tcPr>
          <w:p>
            <w:pPr>
              <w:jc w:val="center"/>
              <w:ind w:right="22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2016</w:t>
            </w:r>
          </w:p>
        </w:tc>
        <w:tc>
          <w:tcPr>
            <w:tcW w:w="17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87.11</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March 31, 2017</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78.53</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49,107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2017, we expect to recognize $19.4 million of total unamortized compensation cost, net of estimated forfeitures, related to MSUs over a weighted average period of 1.7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shareholders approved the 2010 Employee Stock Purchase Plan ("2010 Purchase Plan") which will continue until terminated by either the Board of Directors or its administrator. The maximum number of shares available for purchase under the 2010 Purchase Plan is 2,400,000 shares. As of March 31, 2017, 821,770 shares remain available for future issuance.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4300" w:type="dxa"/>
            <w:vAlign w:val="bottom"/>
            <w:tcBorders>
              <w:bottom w:val="single" w:sz="8" w:color="CCEEFF"/>
            </w:tcBorders>
          </w:tcPr>
          <w:p>
            <w:pPr>
              <w:spacing w:after="0"/>
              <w:rPr>
                <w:sz w:val="16"/>
                <w:szCs w:val="16"/>
                <w:color w:val="auto"/>
              </w:rPr>
            </w:pPr>
          </w:p>
        </w:tc>
        <w:tc>
          <w:tcPr>
            <w:tcW w:w="4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717"/>
              <w:spacing w:after="0"/>
              <w:rPr>
                <w:sz w:val="20"/>
                <w:szCs w:val="20"/>
                <w:color w:val="auto"/>
              </w:rPr>
            </w:pPr>
            <w:r>
              <w:rPr>
                <w:rFonts w:ascii="Arial" w:cs="Arial" w:eastAsia="Arial" w:hAnsi="Arial"/>
                <w:sz w:val="14"/>
                <w:szCs w:val="14"/>
                <w:b w:val="1"/>
                <w:bCs w:val="1"/>
                <w:color w:val="auto"/>
                <w:w w:val="99"/>
              </w:rPr>
              <w:t>March 31,</w:t>
            </w:r>
          </w:p>
        </w:tc>
        <w:tc>
          <w:tcPr>
            <w:tcW w:w="1100" w:type="dxa"/>
            <w:vAlign w:val="bottom"/>
            <w:tcBorders>
              <w:bottom w:val="single" w:sz="8" w:color="auto"/>
            </w:tcBorders>
          </w:tcPr>
          <w:p>
            <w:pPr>
              <w:spacing w:after="0"/>
              <w:rPr>
                <w:sz w:val="16"/>
                <w:szCs w:val="16"/>
                <w:color w:val="auto"/>
              </w:rPr>
            </w:pPr>
          </w:p>
        </w:tc>
      </w:tr>
      <w:tr>
        <w:trPr>
          <w:trHeight w:val="270"/>
        </w:trPr>
        <w:tc>
          <w:tcPr>
            <w:tcW w:w="4300" w:type="dxa"/>
            <w:vAlign w:val="bottom"/>
            <w:shd w:val="clear" w:color="auto" w:fill="CCEEFF"/>
          </w:tcPr>
          <w:p>
            <w:pPr>
              <w:spacing w:after="0"/>
              <w:rPr>
                <w:sz w:val="23"/>
                <w:szCs w:val="23"/>
                <w:color w:val="auto"/>
              </w:rPr>
            </w:pPr>
          </w:p>
        </w:tc>
        <w:tc>
          <w:tcPr>
            <w:tcW w:w="40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2016</w:t>
            </w: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4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1.3</w:t>
            </w:r>
          </w:p>
        </w:tc>
      </w:tr>
      <w:tr>
        <w:trPr>
          <w:trHeight w:val="27"/>
        </w:trPr>
        <w:tc>
          <w:tcPr>
            <w:tcW w:w="43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4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3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4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4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3"/>
              <w:spacing w:after="0"/>
              <w:rPr>
                <w:sz w:val="20"/>
                <w:szCs w:val="20"/>
                <w:color w:val="auto"/>
              </w:rPr>
            </w:pPr>
            <w:r>
              <w:rPr>
                <w:rFonts w:ascii="Arial" w:cs="Arial" w:eastAsia="Arial" w:hAnsi="Arial"/>
                <w:sz w:val="18"/>
                <w:szCs w:val="18"/>
                <w:color w:val="auto"/>
              </w:rPr>
              <w:t>19.96</w:t>
            </w:r>
          </w:p>
        </w:tc>
      </w:tr>
      <w:tr>
        <w:trPr>
          <w:trHeight w:val="702"/>
        </w:trPr>
        <w:tc>
          <w:tcPr>
            <w:tcW w:w="4300" w:type="dxa"/>
            <w:vAlign w:val="bottom"/>
          </w:tcPr>
          <w:p>
            <w:pPr>
              <w:spacing w:after="0"/>
              <w:rPr>
                <w:sz w:val="24"/>
                <w:szCs w:val="24"/>
                <w:color w:val="auto"/>
              </w:rPr>
            </w:pPr>
          </w:p>
        </w:tc>
        <w:tc>
          <w:tcPr>
            <w:tcW w:w="4020" w:type="dxa"/>
            <w:vAlign w:val="bottom"/>
          </w:tcPr>
          <w:p>
            <w:pPr>
              <w:jc w:val="right"/>
              <w:ind w:right="243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31, 2017, there was $3.9 million of total unamortized compensation costs related to employee stock purchases which we expect to be recognized over a weighted average period of 1.0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2014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2014, we announced that our Board of Directors had authorized a stock repurchase program ("April 2014 Repurchase Program") pursuant to which we may purchase up to $300.0 million of our common stock over the next three years.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March 31, 2017, we repurchased on the open market approximately 0.04 million shares of our common stock at an average price of $96.37 per share, including commission for an aggregate purchase price of approximately $3.8 million. All repurchased shares were retired. As of March 31, 2017, we completed our April 2014 Repurchase Program.</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2016 Repurchase Program</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April 28, 2016, we announced that our Board of Directors had authorized an additional plan to repurchase up to $300.0 million of the Company's stock ("the April 2016 Repurchase Plan"). Any purchases under this stock repurchase program may be made, from time-to-time, pursuant to open market purchases (including pursuant to Rule 10b5-1 plans), privately-negotiated transactions, accelerated stock repurchases, block trades or derivative contracts or otherwise in accordance with applicable federal securities laws, including Rule 10b-18 of the Securities Exchange Act of 1934. As of March 31, 2017, there were no repurchases under this plan. On May 2, 2017, we entered into an accelerated share repurchase ("ASR") to repurchase $50.0 million of our common stock (the "2017 ASR"). We paid $50.0 million on May 3, 2017 and received an initial delivery of approximately 0.3 million shares based on current market prices. The final number of shares to be repurchased will be based on our volume-weighted average stock price under the term of the 2017 ASR, less an agreed upon discount.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Accounting for Income Taxes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provision (benefit) for income taxes was $(7.2) million and $12.4 million for the three months ended March 31, 2017 and 2016, respectively. This represents effective tax rates of (11.4)% and 23.4%, respectively. For the three months ended March 31, 2017, our effective tax rate differs from the statutory federal income tax rate of 35% as a result of recognition of excess tax benefits related to stock-based compensation and certain foreign earnings, primarily from the Netherlands and Costa Rica, which are subject to lower tax rates. For the three months ended March 31, 2016, our effective tax rate differs from the statutory federal income tax rate of 35% due to certain foreign earnings, primarily from Costa Rica, which are subject to a lower tax rate, state income tax expense, the tax impact of certain stock-based compensation charges and unrecognized tax benefits.</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decrease in effective tax rate for the three months ended March 31, 2017 compared to the same period in 2016 is primarily attributable to the adoption of ASU 2016-09 which requires excess tax benefits related to stock-based compensation to be recognized as a reduction of income tax expense along with certain of our foreign earnings being taxed at a lower rate relative to the U.S. federal statutory rate as a result of our international corporate restructuring. For the three months ended March 31, 2017, we recognized excess tax benefits of $21.3 million in our provision for income taxes.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total gross unrecognized tax benefits, excluding interest and penalties, was $47.2 million and $46.4 million as of March 31, 2017 and December 31, 2016, respectively, all of which would impact our effective tax rate if recognized. Our total interest and penalties accrued as of March 31, 2017 was $2.5 million. We have elected to recognize interest and penalties related to unrecognized tax benefits as a component of income taxes. We do not expect any significant changes to the amount of unrecognized tax benefit within the next twelve months.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file U.S. federal, U.S. state, and non-U.S. income tax returns. Our major tax jurisdictions include U.S. federal, the State of California and the Netherlands. For U.S. federal and state tax returns, we are no longer subject to tax examinations for years before 2000. With few exceptions, we are no longer subject to examination by foreign tax authorities for years before 2007. Our subsidiary in Israel is under audit by the local tax authorities for calendar years 2006 through 2013.</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1, 2016, we implemented a new international corporate structure. This changed the structure of our international procurement and sales operations, as well as realigned the ownership and use of intellectual property among our wholly-owned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June 2009, the Costa Rica Ministry of Foreign Trade, an agency of the Government of Costa Rica, granted a twelve year extension of certain income tax incentives, which were previously granted in 2002. The incentive tax rates expire over various years, starting in June 2017. We are seeking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months ended March 31, 2017, the reduction in income taxes was minimal primarily due to the new international corporate structure implemented on July 1, 2016. For the three months ended March 31, 2016, income taxes were reduced by $8.6 million representing a benefit to diluted net income per share of $0.11.</w:t>
      </w:r>
    </w:p>
    <w:p>
      <w:pPr>
        <w:spacing w:after="0" w:line="18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maintain sufficient cash reserves in the U.S. and do not intend to repatriate our foreign earnings which have not already been subject to U.S. income tax. As a result, income taxes have not been provided on these foreign earnings. If these earnings were distributed in the form of dividends or otherwise, or if the shares of the relevant foreign subsidiaries were sold or otherwise transferred, we would be subject to additional U.S. income taxes subject to an adjustment for foreign tax credits and foreign withholding taxes. We intend to use the undistributed earnings for local operating expansions and to meet local operating working capital needs. In addition, a significant amount of the cash earned by foreign subsidiaries is deployed to effect this international restructure.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 MSU, stock options and our ESPP.</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108"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08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23"/>
        </w:trPr>
        <w:tc>
          <w:tcPr>
            <w:tcW w:w="8080" w:type="dxa"/>
            <w:vAlign w:val="bottom"/>
          </w:tcPr>
          <w:p>
            <w:pPr>
              <w:ind w:left="40"/>
              <w:spacing w:after="0"/>
              <w:rPr>
                <w:sz w:val="20"/>
                <w:szCs w:val="20"/>
                <w:color w:val="auto"/>
              </w:rPr>
            </w:pPr>
            <w:r>
              <w:rPr>
                <w:rFonts w:ascii="Arial" w:cs="Arial" w:eastAsia="Arial" w:hAnsi="Arial"/>
                <w:sz w:val="18"/>
                <w:szCs w:val="18"/>
                <w:color w:val="auto"/>
              </w:rPr>
              <w:t>Numerator:</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080" w:type="dxa"/>
            <w:vAlign w:val="bottom"/>
          </w:tcPr>
          <w:p>
            <w:pPr>
              <w:spacing w:after="0"/>
              <w:rPr>
                <w:sz w:val="3"/>
                <w:szCs w:val="3"/>
                <w:color w:val="auto"/>
              </w:rPr>
            </w:pPr>
          </w:p>
        </w:tc>
        <w:tc>
          <w:tcPr>
            <w:tcW w:w="9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69,420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40,546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8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79,904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79,831</w:t>
            </w:r>
          </w:p>
        </w:tc>
        <w:tc>
          <w:tcPr>
            <w:tcW w:w="0" w:type="dxa"/>
            <w:vAlign w:val="bottom"/>
          </w:tcPr>
          <w:p>
            <w:pPr>
              <w:spacing w:after="0"/>
              <w:rPr>
                <w:sz w:val="1"/>
                <w:szCs w:val="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9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80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shares, diluted</w:t>
            </w:r>
          </w:p>
        </w:tc>
        <w:tc>
          <w:tcPr>
            <w:tcW w:w="9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81,534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81,320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080" w:type="dxa"/>
            <w:vAlign w:val="bottom"/>
            <w:vMerge w:val="continue"/>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months ended March 31, 2017 and 2016, the anti-dilutive effect on net income per share from RSUs, MSUs, and ESPP was not material.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and gross profit. In the fourth quarter of 2016, management decided to change the way it internally assesses the performance of our reportable segments by including income from operations measure in the performance metrics.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and accounting and finance, legal and regulatory, and other separately managed general and administrative costs outside the operating segments. We have included the new performance measure in the prior period presentation to conform to the current year's presentation.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grouped our operations into two reportable segments which are also our reporting units: Clear Aligner segment and Scanner segment.</w:t>
      </w:r>
    </w:p>
    <w:p>
      <w:pPr>
        <w:spacing w:after="0" w:line="237" w:lineRule="exact"/>
        <w:rPr>
          <w:sz w:val="20"/>
          <w:szCs w:val="20"/>
          <w:color w:val="auto"/>
        </w:rPr>
      </w:pPr>
    </w:p>
    <w:p>
      <w:pPr>
        <w:jc w:val="both"/>
        <w:ind w:left="660" w:hanging="247"/>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products along with our training and ancillary products for malocclusion. Clear Aligner segment also includes revenue from the sale of aligners to SDC under our supply agreement which is recorded after eliminating outstanding intercompany transactions.</w:t>
      </w:r>
    </w:p>
    <w:p>
      <w:pPr>
        <w:spacing w:after="0" w:line="127" w:lineRule="exact"/>
        <w:rPr>
          <w:rFonts w:ascii="Arial" w:cs="Arial" w:eastAsia="Arial" w:hAnsi="Arial"/>
          <w:sz w:val="18"/>
          <w:szCs w:val="18"/>
          <w:color w:val="auto"/>
        </w:rPr>
      </w:pPr>
    </w:p>
    <w:p>
      <w:pPr>
        <w:ind w:left="660" w:hanging="247"/>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Scanner and Services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9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35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5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7"/>
        </w:trPr>
        <w:tc>
          <w:tcPr>
            <w:tcW w:w="440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282,399</w:t>
            </w:r>
          </w:p>
        </w:tc>
        <w:tc>
          <w:tcPr>
            <w:tcW w:w="100" w:type="dxa"/>
            <w:vAlign w:val="bottom"/>
          </w:tcPr>
          <w:p>
            <w:pPr>
              <w:spacing w:after="0"/>
              <w:rPr>
                <w:sz w:val="20"/>
                <w:szCs w:val="20"/>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219,698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27,942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35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310,341</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238,720</w:t>
            </w:r>
          </w:p>
        </w:tc>
        <w:tc>
          <w:tcPr>
            <w:tcW w:w="0" w:type="dxa"/>
            <w:vAlign w:val="bottom"/>
          </w:tcPr>
          <w:p>
            <w:pPr>
              <w:spacing w:after="0"/>
              <w:rPr>
                <w:sz w:val="1"/>
                <w:szCs w:val="1"/>
                <w:color w:val="auto"/>
              </w:rPr>
            </w:pPr>
          </w:p>
        </w:tc>
      </w:tr>
      <w:tr>
        <w:trPr>
          <w:trHeight w:val="67"/>
        </w:trPr>
        <w:tc>
          <w:tcPr>
            <w:tcW w:w="440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3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219,947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172,067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15,678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Total gross profit</w:t>
            </w:r>
          </w:p>
        </w:tc>
        <w:tc>
          <w:tcPr>
            <w:tcW w:w="35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235,625</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180,627</w:t>
            </w:r>
          </w:p>
        </w:tc>
        <w:tc>
          <w:tcPr>
            <w:tcW w:w="0" w:type="dxa"/>
            <w:vAlign w:val="bottom"/>
          </w:tcPr>
          <w:p>
            <w:pPr>
              <w:spacing w:after="0"/>
              <w:rPr>
                <w:sz w:val="1"/>
                <w:szCs w:val="1"/>
                <w:color w:val="auto"/>
              </w:rPr>
            </w:pPr>
          </w:p>
        </w:tc>
      </w:tr>
      <w:tr>
        <w:trPr>
          <w:trHeight w:val="67"/>
        </w:trPr>
        <w:tc>
          <w:tcPr>
            <w:tcW w:w="440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operations</w:t>
            </w:r>
          </w:p>
        </w:tc>
        <w:tc>
          <w:tcPr>
            <w:tcW w:w="3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9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114,734</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96,650</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5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43"/>
        </w:trPr>
        <w:tc>
          <w:tcPr>
            <w:tcW w:w="440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(59,065)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(44,858)</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income from operations</w:t>
            </w:r>
          </w:p>
        </w:tc>
        <w:tc>
          <w:tcPr>
            <w:tcW w:w="39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61,673</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53,334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vMerge w:val="continue"/>
          </w:tcPr>
          <w:p>
            <w:pPr>
              <w:spacing w:after="0"/>
              <w:rPr>
                <w:sz w:val="17"/>
                <w:szCs w:val="17"/>
                <w:color w:val="auto"/>
              </w:rPr>
            </w:pPr>
          </w:p>
        </w:tc>
        <w:tc>
          <w:tcPr>
            <w:tcW w:w="3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00" w:type="dxa"/>
            <w:vAlign w:val="bottom"/>
          </w:tcPr>
          <w:p>
            <w:pPr>
              <w:spacing w:after="0"/>
              <w:rPr>
                <w:sz w:val="4"/>
                <w:szCs w:val="4"/>
                <w:color w:val="auto"/>
              </w:rPr>
            </w:pPr>
          </w:p>
        </w:tc>
        <w:tc>
          <w:tcPr>
            <w:tcW w:w="3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9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43"/>
        </w:trPr>
        <w:tc>
          <w:tcPr>
            <w:tcW w:w="4400" w:type="dxa"/>
            <w:vAlign w:val="bottom"/>
          </w:tcPr>
          <w:p>
            <w:pPr>
              <w:ind w:left="360"/>
              <w:spacing w:after="0"/>
              <w:rPr>
                <w:sz w:val="20"/>
                <w:szCs w:val="20"/>
                <w:color w:val="auto"/>
              </w:rPr>
            </w:pPr>
            <w:r>
              <w:rPr>
                <w:rFonts w:ascii="Arial" w:cs="Arial" w:eastAsia="Arial" w:hAnsi="Arial"/>
                <w:sz w:val="18"/>
                <w:szCs w:val="18"/>
                <w:color w:val="auto"/>
              </w:rPr>
              <w:t>Scanner</w:t>
            </w:r>
          </w:p>
        </w:tc>
        <w:tc>
          <w:tcPr>
            <w:tcW w:w="3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35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Total depreciation and amortization</w:t>
            </w:r>
          </w:p>
        </w:tc>
        <w:tc>
          <w:tcPr>
            <w:tcW w:w="35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7,867</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500" w:type="dxa"/>
            <w:vAlign w:val="bottom"/>
            <w:vMerge w:val="restart"/>
          </w:tcPr>
          <w:p>
            <w:pPr>
              <w:jc w:val="right"/>
              <w:ind w:right="2010"/>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reconciles total segment income from operations in the table above to net income before provision for income taxes and equity losses of investee (in thousands):</w:t>
      </w:r>
    </w:p>
    <w:p>
      <w:pPr>
        <w:spacing w:after="0" w:line="108"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bottom w:val="single" w:sz="8" w:color="auto"/>
            </w:tcBorders>
            <w:shd w:val="clear" w:color="auto" w:fill="CCEEFF"/>
          </w:tcPr>
          <w:p>
            <w:pPr>
              <w:spacing w:after="0"/>
              <w:rPr>
                <w:sz w:val="23"/>
                <w:szCs w:val="23"/>
                <w:color w:val="auto"/>
              </w:rPr>
            </w:pPr>
          </w:p>
        </w:tc>
        <w:tc>
          <w:tcPr>
            <w:tcW w:w="1060" w:type="dxa"/>
            <w:vAlign w:val="bottom"/>
            <w:tcBorders>
              <w:top w:val="single" w:sz="8" w:color="auto"/>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Total segment income from operations</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120,738</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98,192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(59,065)</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(44,858)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income from operations</w:t>
            </w:r>
          </w:p>
        </w:tc>
        <w:tc>
          <w:tcPr>
            <w:tcW w:w="10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61,673</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53,334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10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9"/>
        </w:trPr>
        <w:tc>
          <w:tcPr>
            <w:tcW w:w="7900" w:type="dxa"/>
            <w:vAlign w:val="bottom"/>
          </w:tcPr>
          <w:p>
            <w:pPr>
              <w:ind w:left="360"/>
              <w:spacing w:after="0"/>
              <w:rPr>
                <w:sz w:val="20"/>
                <w:szCs w:val="20"/>
                <w:color w:val="auto"/>
              </w:rPr>
            </w:pPr>
            <w:r>
              <w:rPr>
                <w:rFonts w:ascii="Arial" w:cs="Arial" w:eastAsia="Arial" w:hAnsi="Arial"/>
                <w:sz w:val="18"/>
                <w:szCs w:val="18"/>
                <w:color w:val="auto"/>
              </w:rPr>
              <w:t>Net income before provision (benefit) for income taxes and equity</w:t>
            </w:r>
          </w:p>
        </w:tc>
        <w:tc>
          <w:tcPr>
            <w:tcW w:w="1000" w:type="dxa"/>
            <w:vAlign w:val="bottom"/>
            <w:tcBorders>
              <w:top w:val="single" w:sz="8" w:color="auto"/>
            </w:tcBorders>
            <w:vMerge w:val="restart"/>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63,318</w:t>
            </w:r>
          </w:p>
        </w:tc>
        <w:tc>
          <w:tcPr>
            <w:tcW w:w="100" w:type="dxa"/>
            <w:vAlign w:val="bottom"/>
          </w:tcPr>
          <w:p>
            <w:pPr>
              <w:spacing w:after="0"/>
              <w:rPr>
                <w:sz w:val="18"/>
                <w:szCs w:val="18"/>
                <w:color w:val="auto"/>
              </w:rPr>
            </w:pPr>
          </w:p>
        </w:tc>
        <w:tc>
          <w:tcPr>
            <w:tcW w:w="64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52,907</w:t>
            </w:r>
          </w:p>
        </w:tc>
        <w:tc>
          <w:tcPr>
            <w:tcW w:w="0" w:type="dxa"/>
            <w:vAlign w:val="bottom"/>
          </w:tcPr>
          <w:p>
            <w:pPr>
              <w:spacing w:after="0"/>
              <w:rPr>
                <w:sz w:val="1"/>
                <w:szCs w:val="1"/>
                <w:color w:val="auto"/>
              </w:rPr>
            </w:pPr>
          </w:p>
        </w:tc>
      </w:tr>
      <w:tr>
        <w:trPr>
          <w:trHeight w:val="242"/>
        </w:trPr>
        <w:tc>
          <w:tcPr>
            <w:tcW w:w="7900" w:type="dxa"/>
            <w:vAlign w:val="bottom"/>
          </w:tcPr>
          <w:p>
            <w:pPr>
              <w:ind w:left="360"/>
              <w:spacing w:after="0"/>
              <w:rPr>
                <w:sz w:val="20"/>
                <w:szCs w:val="20"/>
                <w:color w:val="auto"/>
              </w:rPr>
            </w:pPr>
            <w:r>
              <w:rPr>
                <w:rFonts w:ascii="Arial" w:cs="Arial" w:eastAsia="Arial" w:hAnsi="Arial"/>
                <w:sz w:val="18"/>
                <w:szCs w:val="18"/>
                <w:color w:val="auto"/>
              </w:rPr>
              <w:t>in losses of investee</w:t>
            </w:r>
          </w:p>
        </w:tc>
        <w:tc>
          <w:tcPr>
            <w:tcW w:w="1000" w:type="dxa"/>
            <w:vAlign w:val="bottom"/>
            <w:tcBorders>
              <w:bottom w:val="single" w:sz="8" w:color="auto"/>
            </w:tcBorders>
            <w:vMerge w:val="continue"/>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9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tcPr>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Three Months Ended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7900" w:type="dxa"/>
            <w:vAlign w:val="bottom"/>
          </w:tcPr>
          <w:p>
            <w:pPr>
              <w:ind w:left="40"/>
              <w:spacing w:after="0" w:line="264" w:lineRule="exact"/>
              <w:rPr>
                <w:sz w:val="20"/>
                <w:szCs w:val="20"/>
                <w:color w:val="auto"/>
              </w:rPr>
            </w:pPr>
            <w:r>
              <w:rPr>
                <w:rFonts w:ascii="Arial" w:cs="Arial" w:eastAsia="Arial" w:hAnsi="Arial"/>
                <w:sz w:val="18"/>
                <w:szCs w:val="18"/>
                <w:color w:val="auto"/>
              </w:rPr>
              <w:t>Net revenues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10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United States </w:t>
            </w:r>
            <w:r>
              <w:rPr>
                <w:rFonts w:ascii="Arial" w:cs="Arial" w:eastAsia="Arial" w:hAnsi="Arial"/>
                <w:sz w:val="25"/>
                <w:szCs w:val="25"/>
                <w:color w:val="auto"/>
                <w:vertAlign w:val="superscript"/>
              </w:rPr>
              <w:t>(2)</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89"/>
              </w:rPr>
              <w:t>183,273</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166,101</w:t>
            </w:r>
          </w:p>
        </w:tc>
        <w:tc>
          <w:tcPr>
            <w:tcW w:w="0" w:type="dxa"/>
            <w:vAlign w:val="bottom"/>
          </w:tcPr>
          <w:p>
            <w:pPr>
              <w:spacing w:after="0"/>
              <w:rPr>
                <w:sz w:val="1"/>
                <w:szCs w:val="1"/>
                <w:color w:val="auto"/>
              </w:rPr>
            </w:pPr>
          </w:p>
        </w:tc>
      </w:tr>
      <w:tr>
        <w:trPr>
          <w:trHeight w:val="270"/>
        </w:trPr>
        <w:tc>
          <w:tcPr>
            <w:tcW w:w="790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The Netherlands </w:t>
            </w:r>
            <w:r>
              <w:rPr>
                <w:rFonts w:ascii="Arial" w:cs="Arial" w:eastAsia="Arial" w:hAnsi="Arial"/>
                <w:sz w:val="25"/>
                <w:szCs w:val="25"/>
                <w:color w:val="auto"/>
                <w:vertAlign w:val="superscript"/>
              </w:rPr>
              <w:t>(2)</w:t>
            </w:r>
          </w:p>
        </w:tc>
        <w:tc>
          <w:tcPr>
            <w:tcW w:w="100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w w:val="89"/>
              </w:rPr>
              <w:t>105,650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47,400</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25,219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000" w:type="dxa"/>
            <w:vAlign w:val="bottom"/>
            <w:tcBorders>
              <w:top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9"/>
              </w:rPr>
              <w:t>310,341</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238,720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Net revenues are attributed to countries based on location of where revenue is recognized.</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Effective July 2016, we implemented a new international corporate structure. This changed the structure of our international procurement and sales operations.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Long-lived assets</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120,513</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111,515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43,278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Mexico</w:t>
            </w:r>
          </w:p>
        </w:tc>
        <w:tc>
          <w:tcPr>
            <w:tcW w:w="320" w:type="dxa"/>
            <w:vAlign w:val="bottom"/>
          </w:tcPr>
          <w:p>
            <w:pPr>
              <w:spacing w:after="0"/>
              <w:rPr>
                <w:sz w:val="21"/>
                <w:szCs w:val="21"/>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17,952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17,918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231,692</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175,167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Long-lived assets are attributed to countries based on entity that owns the assets.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financial and strategic benefits of establishing regional order acquisition and treatment planning facilities, our expectations regarding the continued expansion of our international markets, the level of our operating expenses and gross margins, our expectation that the SmileDirectClub, LLC transaction will be incremental to revenue growth in 2017,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II, Item 1A “Risk Factors”. We undertake no obligation to revise or update these forward-looking statements. Given these risks and uncertainties, readers are cautioned not to place undue reliance on such forward-looking statements.</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2016,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successful execution of our business strategy in 2017 and beyond may be affected by a number of other factors including:</w:t>
      </w:r>
    </w:p>
    <w:p>
      <w:pPr>
        <w:spacing w:after="0" w:line="252" w:lineRule="exact"/>
        <w:rPr>
          <w:sz w:val="20"/>
          <w:szCs w:val="20"/>
          <w:color w:val="auto"/>
        </w:rPr>
      </w:pPr>
    </w:p>
    <w:p>
      <w:pPr>
        <w:ind w:left="660" w:hanging="247"/>
        <w:spacing w:after="0" w:line="286" w:lineRule="auto"/>
        <w:tabs>
          <w:tab w:leader="none" w:pos="579"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New Products, Feature Enhancements and Technology Innovation</w:t>
      </w:r>
      <w:r>
        <w:rPr>
          <w:rFonts w:ascii="Arial" w:cs="Arial" w:eastAsia="Arial" w:hAnsi="Arial"/>
          <w:sz w:val="16"/>
          <w:szCs w:val="16"/>
          <w:color w:val="auto"/>
        </w:rPr>
        <w:t>. Product innovation drives greater treatment predictability and clinical applicability</w:t>
      </w:r>
      <w:r>
        <w:rPr>
          <w:rFonts w:ascii="Arial" w:cs="Arial" w:eastAsia="Arial" w:hAnsi="Arial"/>
          <w:sz w:val="16"/>
          <w:szCs w:val="16"/>
          <w:i w:val="1"/>
          <w:iCs w:val="1"/>
          <w:color w:val="auto"/>
        </w:rPr>
        <w:t xml:space="preserve"> </w:t>
      </w:r>
      <w:r>
        <w:rPr>
          <w:rFonts w:ascii="Arial" w:cs="Arial" w:eastAsia="Arial" w:hAnsi="Arial"/>
          <w:sz w:val="16"/>
          <w:szCs w:val="16"/>
          <w:color w:val="auto"/>
        </w:rPr>
        <w:t>and ease of use for our customers which supports adoption of Invisalign in their practices. Increasing applicability and treating more complex cases requires that we move away from individual features to more comprehensive solutions so that Invisalign providers can more predictably treat the whole case, such as with our Invisalign "G-Series" of product innovations, including our more recent October 2016 release of Invisalign G7. Invisalign G7 delivers better upper lateral control, improved root control and features to address prevention of posterior open bites. In March 2017, we announced Invisalign Teen with mandibular advancement, the first clear aligner solution for Class II correction in growing tween and teen patients. This new offering combines the benefits of the most advanced clear aligner system in the world with features for moving the lower jaw forward while simultaneously aligning the teeth. Invisalign Teen with mandibular advancement is now available in Canada and select EMEA countries (United Kingdom, Ireland, France, Spain, Czechoslovakia, Slovakia, Poland, Belgium, Luxembourg, the Netherlands), select APAC countries (China, Japan with select availability in Hong Kong, Macao, Singapore, Taiwan, Australia, New Zealand) and select LATAM countries (Argentina, Brazil, Chile, Colombia, Mexico). Invisalign Teen with mandibular advancement is pending 510(k) clearance and is not yet available in the United States. 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20" w:lineRule="exact"/>
        <w:rPr>
          <w:rFonts w:ascii="Arial" w:cs="Arial" w:eastAsia="Arial" w:hAnsi="Arial"/>
          <w:sz w:val="16"/>
          <w:szCs w:val="16"/>
          <w:i w:val="1"/>
          <w:iCs w:val="1"/>
          <w:color w:val="auto"/>
        </w:rPr>
      </w:pPr>
    </w:p>
    <w:p>
      <w:pPr>
        <w:jc w:val="both"/>
        <w:ind w:left="660" w:hanging="247"/>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last 9 quarters are as follows: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169545</wp:posOffset>
            </wp:positionV>
            <wp:extent cx="5196840" cy="27444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684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0" w:hanging="133"/>
        <w:spacing w:after="0"/>
        <w:tabs>
          <w:tab w:leader="none" w:pos="1600" w:val="left"/>
        </w:tabs>
        <w:numPr>
          <w:ilvl w:val="2"/>
          <w:numId w:val="10"/>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w:t>
      </w:r>
    </w:p>
    <w:p>
      <w:pPr>
        <w:spacing w:after="0" w:line="221" w:lineRule="exact"/>
        <w:rPr>
          <w:rFonts w:ascii="Arial" w:cs="Arial" w:eastAsia="Arial" w:hAnsi="Arial"/>
          <w:sz w:val="9"/>
          <w:szCs w:val="9"/>
          <w:b w:val="1"/>
          <w:bCs w:val="1"/>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Total utilization in the first quarter of 2017 increased to 5.4 cases per doctor compared to 4.9 in the first quarter of 2016.</w:t>
      </w:r>
    </w:p>
    <w:p>
      <w:pPr>
        <w:spacing w:after="0" w:line="171" w:lineRule="exact"/>
        <w:rPr>
          <w:rFonts w:ascii="Arial" w:cs="Arial" w:eastAsia="Arial" w:hAnsi="Arial"/>
          <w:sz w:val="18"/>
          <w:szCs w:val="18"/>
          <w:color w:val="auto"/>
        </w:rPr>
      </w:pPr>
    </w:p>
    <w:p>
      <w:pPr>
        <w:jc w:val="both"/>
        <w:ind w:left="1620" w:hanging="396"/>
        <w:spacing w:after="0" w:line="279" w:lineRule="auto"/>
        <w:tabs>
          <w:tab w:leader="none" w:pos="162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North America: </w:t>
      </w:r>
      <w:r>
        <w:rPr>
          <w:rFonts w:ascii="Arial" w:cs="Arial" w:eastAsia="Arial" w:hAnsi="Arial"/>
          <w:sz w:val="17"/>
          <w:szCs w:val="17"/>
          <w:color w:val="auto"/>
        </w:rPr>
        <w:t>Utilization among our North American orthodontist customers reached an all time high of 12.6 cases per doctor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quarter of 2017 compared to 10.4 in the first quarter of 2016. The increase in North America orthodontist utilization reflects improvements in product and technology which continues to strengthen our doctors’ clinical confidence in the use of Invisalign such that they now utilize Invisalign more often and on more complex cases, including their teenage patients.</w:t>
      </w:r>
    </w:p>
    <w:p>
      <w:pPr>
        <w:spacing w:after="0" w:line="117" w:lineRule="exact"/>
        <w:rPr>
          <w:rFonts w:ascii="Arial" w:cs="Arial" w:eastAsia="Arial" w:hAnsi="Arial"/>
          <w:sz w:val="17"/>
          <w:szCs w:val="17"/>
          <w:color w:val="auto"/>
        </w:rPr>
      </w:pPr>
    </w:p>
    <w:p>
      <w:pPr>
        <w:jc w:val="both"/>
        <w:ind w:left="1620" w:hanging="396"/>
        <w:spacing w:after="0" w:line="264"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doctor utilization is 5.0 cases per doctor in the first quarter of 2017 compared to 4.7 in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International utilization reflects growth in both the Europe, Middle East and Africa ("EMEA") and Asia Pacific ("APAC") regions due to increasing adoption of the product and its ability to treat more complex cases.</w:t>
      </w:r>
    </w:p>
    <w:p>
      <w:pPr>
        <w:spacing w:after="0" w:line="127" w:lineRule="exact"/>
        <w:rPr>
          <w:sz w:val="20"/>
          <w:szCs w:val="20"/>
          <w:color w:val="auto"/>
        </w:rPr>
      </w:pPr>
    </w:p>
    <w:p>
      <w:pPr>
        <w:jc w:val="both"/>
        <w:ind w:left="340" w:right="20" w:firstLine="324"/>
        <w:spacing w:after="0" w:line="286" w:lineRule="auto"/>
        <w:rPr>
          <w:sz w:val="20"/>
          <w:szCs w:val="20"/>
          <w:color w:val="auto"/>
        </w:rPr>
      </w:pPr>
      <w:r>
        <w:rPr>
          <w:rFonts w:ascii="Arial" w:cs="Arial" w:eastAsia="Arial" w:hAnsi="Arial"/>
          <w:sz w:val="17"/>
          <w:szCs w:val="17"/>
          <w:color w:val="auto"/>
        </w:rPr>
        <w:t>We expect that over the long-term our utilization rates will gradually improve as a result of advancements in product and technology, which continue to strengthen our doctors’ clinical confidence in the use of Invisalign; however, we expect that our utilization rates may fluctuate from period to period due to a variety of factors, including seasonal trends in our business along with adoption rates of new products and features.</w:t>
      </w:r>
    </w:p>
    <w:p>
      <w:pPr>
        <w:spacing w:after="0" w:line="111" w:lineRule="exact"/>
        <w:rPr>
          <w:sz w:val="20"/>
          <w:szCs w:val="20"/>
          <w:color w:val="auto"/>
        </w:rPr>
      </w:pPr>
    </w:p>
    <w:p>
      <w:pPr>
        <w:jc w:val="both"/>
        <w:ind w:left="660" w:hanging="247"/>
        <w:spacing w:after="0" w:line="259"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Number of New Invisalign Doctors Trained. </w:t>
      </w:r>
      <w:r>
        <w:rPr>
          <w:rFonts w:ascii="Arial" w:cs="Arial" w:eastAsia="Arial" w:hAnsi="Arial"/>
          <w:sz w:val="18"/>
          <w:szCs w:val="18"/>
          <w:color w:val="auto"/>
        </w:rPr>
        <w:t>We continue to expand our Invisalign customer base through the training of new doctors.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Invisalign growth was driven primarily by increased utilization across all regions as well as by the continued expansion of our customer base as we trained a total of 11,680 new Invisalign doctors, of which 60% were trained internationally. During the first quarter of 2017, we trained 3,260 new Invisalign doctors of which 980 were trained in North America and 2,280 in our International regions.</w:t>
      </w:r>
    </w:p>
    <w:p>
      <w:pPr>
        <w:spacing w:after="0" w:line="186" w:lineRule="exact"/>
        <w:rPr>
          <w:rFonts w:ascii="Arial" w:cs="Arial" w:eastAsia="Arial" w:hAnsi="Arial"/>
          <w:sz w:val="18"/>
          <w:szCs w:val="18"/>
          <w:i w:val="1"/>
          <w:iCs w:val="1"/>
          <w:color w:val="auto"/>
        </w:rPr>
      </w:pPr>
    </w:p>
    <w:p>
      <w:pPr>
        <w:jc w:val="both"/>
        <w:ind w:left="660" w:hanging="247"/>
        <w:spacing w:after="0" w:line="25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Invisalign Growth. </w:t>
      </w:r>
      <w:r>
        <w:rPr>
          <w:rFonts w:ascii="Arial" w:cs="Arial" w:eastAsia="Arial" w:hAnsi="Arial"/>
          <w:sz w:val="18"/>
          <w:szCs w:val="18"/>
          <w:color w:val="auto"/>
        </w:rPr>
        <w:t>We will continue to focus our efforts towards increasing Invisalign adoption by dental professionals in our direct</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markets. On a year over year basis, international Invisalign volume increased 41.3% driven primarily by strong performance in our APAC and in EMEA regions. In 2017, we are continuing to expand in our existing markets through targeted investments in sales coverage and professional marketing and education programs, along with consumer marketing in selected country markets. We expect international Invisalign revenues to continue to grow at a faster rate than North America for the foreseeable future due to our continued investment in international market expansion, the size of the market opportunity, and our relatively low market penetration in this region (</w:t>
      </w:r>
      <w:r>
        <w:rPr>
          <w:rFonts w:ascii="Arial" w:cs="Arial" w:eastAsia="Arial" w:hAnsi="Arial"/>
          <w:sz w:val="18"/>
          <w:szCs w:val="18"/>
          <w:i w:val="1"/>
          <w:iCs w:val="1"/>
          <w:color w:val="auto"/>
        </w:rPr>
        <w:t>Refer to Item 1A Risk Factors - “We are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exposed to fluctuations in currency exchange rates, which could negatively affect our financial condition and results of operations.” </w:t>
      </w:r>
      <w:r>
        <w:rPr>
          <w:rFonts w:ascii="Arial" w:cs="Arial" w:eastAsia="Arial" w:hAnsi="Arial"/>
          <w:sz w:val="18"/>
          <w:szCs w:val="18"/>
          <w:color w:val="auto"/>
        </w:rPr>
        <w:t>for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related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900" w:hanging="487"/>
        <w:spacing w:after="0" w:line="257" w:lineRule="auto"/>
        <w:tabs>
          <w:tab w:leader="none" w:pos="657"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Establish Regional Order Acquisition and Treatment Planning Facilities: </w:t>
      </w:r>
      <w:r>
        <w:rPr>
          <w:rFonts w:ascii="Arial" w:cs="Arial" w:eastAsia="Arial" w:hAnsi="Arial"/>
          <w:sz w:val="18"/>
          <w:szCs w:val="18"/>
          <w:color w:val="auto"/>
        </w:rPr>
        <w:t>We intend to establish additional order acquisition and treatment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closer to our international customers in order to improve our operational efficiency and provide doctors with a great experience to further improve their confidence in using Invisalign to treat more patients and more often (</w:t>
      </w:r>
      <w:r>
        <w:rPr>
          <w:rFonts w:ascii="Arial" w:cs="Arial" w:eastAsia="Arial" w:hAnsi="Arial"/>
          <w:sz w:val="18"/>
          <w:szCs w:val="18"/>
          <w:i w:val="1"/>
          <w:iCs w:val="1"/>
          <w:color w:val="auto"/>
        </w:rPr>
        <w:t>Refer to Item 1A Risk Factors - “As we continue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grow, we are subject to growth related risks, including risks related to excess or constrained capacity at our existing facilities.” </w:t>
      </w:r>
      <w:r>
        <w:rPr>
          <w:rFonts w:ascii="Arial" w:cs="Arial" w:eastAsia="Arial" w:hAnsi="Arial"/>
          <w:sz w:val="18"/>
          <w:szCs w:val="18"/>
          <w:color w:val="auto"/>
        </w:rPr>
        <w:t>for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related risk factors).</w:t>
      </w:r>
    </w:p>
    <w:p>
      <w:pPr>
        <w:spacing w:after="0" w:line="134" w:lineRule="exact"/>
        <w:rPr>
          <w:rFonts w:ascii="Arial" w:cs="Arial" w:eastAsia="Arial" w:hAnsi="Arial"/>
          <w:sz w:val="18"/>
          <w:szCs w:val="18"/>
          <w:i w:val="1"/>
          <w:iCs w:val="1"/>
          <w:color w:val="auto"/>
        </w:rPr>
      </w:pPr>
    </w:p>
    <w:p>
      <w:pPr>
        <w:ind w:left="660" w:hanging="247"/>
        <w:spacing w:after="0"/>
        <w:tabs>
          <w:tab w:leader="none" w:pos="66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We expect operating expenses to increase in 2017 due in part to:</w:t>
      </w:r>
    </w:p>
    <w:p>
      <w:pPr>
        <w:spacing w:after="0" w:line="171" w:lineRule="exact"/>
        <w:rPr>
          <w:rFonts w:ascii="Arial" w:cs="Arial" w:eastAsia="Arial" w:hAnsi="Arial"/>
          <w:sz w:val="18"/>
          <w:szCs w:val="18"/>
          <w:i w:val="1"/>
          <w:iCs w:val="1"/>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investments in international expansion in new country markets particularly in the APAC, Latin America and Middle East regions;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investments in manufacturing to enhance our regional capabilities;</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increases in legal expenses primarily related to the continued protection of our intellectual property rights, including our patents;</w:t>
      </w:r>
    </w:p>
    <w:p>
      <w:pPr>
        <w:spacing w:after="0" w:line="182" w:lineRule="exact"/>
        <w:rPr>
          <w:rFonts w:ascii="Arial" w:cs="Arial" w:eastAsia="Arial" w:hAnsi="Arial"/>
          <w:sz w:val="17"/>
          <w:szCs w:val="17"/>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increases in sales and customer support resources;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product and technology innovation to address such things as treatment times, indications unique to teens and predictability.</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 and continue to grow our market share.</w:t>
      </w:r>
    </w:p>
    <w:p>
      <w:pPr>
        <w:spacing w:after="0" w:line="171" w:lineRule="exact"/>
        <w:rPr>
          <w:sz w:val="20"/>
          <w:szCs w:val="20"/>
          <w:color w:val="auto"/>
        </w:rPr>
      </w:pPr>
    </w:p>
    <w:p>
      <w:pPr>
        <w:jc w:val="both"/>
        <w:ind w:left="660" w:hanging="247"/>
        <w:spacing w:after="0" w:line="255"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We expect our effective tax rate may vary significantly from period to period as a result of adoption of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during the first quarter of 2017. The effective tax rate for the first quarter of 2017 was (11.4)% which included $21.3 million of excess tax benefits related to stock-based compensation compared to 23.4% in the first quarter of 2016 when the excess tax benefits in the same nature were reflected in additional paid-in-capital (</w:t>
      </w:r>
      <w:r>
        <w:rPr>
          <w:rFonts w:ascii="Arial" w:cs="Arial" w:eastAsia="Arial" w:hAnsi="Arial"/>
          <w:sz w:val="18"/>
          <w:szCs w:val="18"/>
          <w:i w:val="1"/>
          <w:iCs w:val="1"/>
          <w:color w:val="auto"/>
        </w:rPr>
        <w:t>Refer to Item 1A Risk Factors - “Our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 rate may vary significantly from period to period.” </w:t>
      </w:r>
      <w:r>
        <w:rPr>
          <w:rFonts w:ascii="Arial" w:cs="Arial" w:eastAsia="Arial" w:hAnsi="Arial"/>
          <w:sz w:val="18"/>
          <w:szCs w:val="18"/>
          <w:color w:val="auto"/>
        </w:rPr>
        <w:t>for information on related risk factor and</w:t>
      </w:r>
      <w:r>
        <w:rPr>
          <w:rFonts w:ascii="Arial" w:cs="Arial" w:eastAsia="Arial" w:hAnsi="Arial"/>
          <w:sz w:val="18"/>
          <w:szCs w:val="18"/>
          <w:i w:val="1"/>
          <w:iCs w:val="1"/>
          <w:color w:val="auto"/>
        </w:rPr>
        <w:t xml:space="preserve"> Note 1 "Summary of Significant Accounting Policies" and Note 12 "Accounting for Income Taxes" of the Notes to Condensed Consolidated Financial Statements </w:t>
      </w:r>
      <w:r>
        <w:rPr>
          <w:rFonts w:ascii="Arial" w:cs="Arial" w:eastAsia="Arial" w:hAnsi="Arial"/>
          <w:sz w:val="18"/>
          <w:szCs w:val="18"/>
          <w:color w:val="auto"/>
        </w:rPr>
        <w:t>for details on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w:t>
      </w:r>
    </w:p>
    <w:p>
      <w:pPr>
        <w:spacing w:after="0" w:line="135" w:lineRule="exact"/>
        <w:rPr>
          <w:rFonts w:ascii="Arial" w:cs="Arial" w:eastAsia="Arial" w:hAnsi="Arial"/>
          <w:sz w:val="18"/>
          <w:szCs w:val="18"/>
          <w:i w:val="1"/>
          <w:iCs w:val="1"/>
          <w:color w:val="auto"/>
        </w:rPr>
      </w:pPr>
    </w:p>
    <w:p>
      <w:pPr>
        <w:ind w:left="660" w:hanging="247"/>
        <w:spacing w:after="0"/>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Stock Repurchases:</w:t>
      </w:r>
    </w:p>
    <w:p>
      <w:pPr>
        <w:spacing w:after="0" w:line="225" w:lineRule="exact"/>
        <w:rPr>
          <w:rFonts w:ascii="Arial" w:cs="Arial" w:eastAsia="Arial" w:hAnsi="Arial"/>
          <w:sz w:val="18"/>
          <w:szCs w:val="18"/>
          <w:i w:val="1"/>
          <w:iCs w:val="1"/>
          <w:color w:val="auto"/>
        </w:rPr>
      </w:pPr>
    </w:p>
    <w:p>
      <w:pPr>
        <w:jc w:val="both"/>
        <w:ind w:left="1300" w:hanging="320"/>
        <w:spacing w:after="0" w:line="286" w:lineRule="auto"/>
        <w:tabs>
          <w:tab w:leader="none" w:pos="1300" w:val="left"/>
        </w:tabs>
        <w:numPr>
          <w:ilvl w:val="1"/>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April 2014 Repurchase Program. </w:t>
      </w:r>
      <w:r>
        <w:rPr>
          <w:rFonts w:ascii="Arial" w:cs="Arial" w:eastAsia="Arial" w:hAnsi="Arial"/>
          <w:sz w:val="17"/>
          <w:szCs w:val="17"/>
          <w:color w:val="auto"/>
        </w:rPr>
        <w:t>During the three months ended March 31, 2017, we repurchased $3.8 million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repurchase in the open market. As of March 31, 2017, we completed our April 2014 Repurchase Plan </w:t>
      </w:r>
      <w:r>
        <w:rPr>
          <w:rFonts w:ascii="Arial" w:cs="Arial" w:eastAsia="Arial" w:hAnsi="Arial"/>
          <w:sz w:val="17"/>
          <w:szCs w:val="17"/>
          <w:i w:val="1"/>
          <w:iCs w:val="1"/>
          <w:color w:val="auto"/>
        </w:rPr>
        <w:t>(Refer to Note 11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Repurchase Program" of the Notes to Condensed Consolidated Financial Statements </w:t>
      </w:r>
      <w:r>
        <w:rPr>
          <w:rFonts w:ascii="Arial" w:cs="Arial" w:eastAsia="Arial" w:hAnsi="Arial"/>
          <w:sz w:val="17"/>
          <w:szCs w:val="17"/>
          <w:color w:val="auto"/>
        </w:rPr>
        <w:t>for details on stock repurchase program).</w:t>
      </w:r>
    </w:p>
    <w:p>
      <w:pPr>
        <w:spacing w:after="0" w:line="165" w:lineRule="exact"/>
        <w:rPr>
          <w:rFonts w:ascii="Arial" w:cs="Arial" w:eastAsia="Arial" w:hAnsi="Arial"/>
          <w:sz w:val="17"/>
          <w:szCs w:val="17"/>
          <w:i w:val="1"/>
          <w:iCs w:val="1"/>
          <w:color w:val="auto"/>
        </w:rPr>
      </w:pPr>
    </w:p>
    <w:p>
      <w:pPr>
        <w:jc w:val="both"/>
        <w:ind w:left="1300" w:hanging="320"/>
        <w:spacing w:after="0" w:line="276"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April 2016 Repurchase Program. </w:t>
      </w:r>
      <w:r>
        <w:rPr>
          <w:rFonts w:ascii="Arial" w:cs="Arial" w:eastAsia="Arial" w:hAnsi="Arial"/>
          <w:sz w:val="17"/>
          <w:szCs w:val="17"/>
          <w:color w:val="auto"/>
        </w:rPr>
        <w:t>On April 28, 2016, we announced that our Board of Directors had authorized a plan to repurchase up to</w:t>
      </w:r>
      <w:r>
        <w:rPr>
          <w:rFonts w:ascii="Arial" w:cs="Arial" w:eastAsia="Arial" w:hAnsi="Arial"/>
          <w:sz w:val="17"/>
          <w:szCs w:val="17"/>
          <w:i w:val="1"/>
          <w:iCs w:val="1"/>
          <w:color w:val="auto"/>
        </w:rPr>
        <w:t xml:space="preserve"> </w:t>
      </w:r>
      <w:r>
        <w:rPr>
          <w:rFonts w:ascii="Arial" w:cs="Arial" w:eastAsia="Arial" w:hAnsi="Arial"/>
          <w:sz w:val="17"/>
          <w:szCs w:val="17"/>
          <w:color w:val="auto"/>
        </w:rPr>
        <w:t>$300.0 million of our stock. As of March 31, 2017, there were no repurchases under this plan. On May 2, 2017, we entered into an ASR to repurchase $50.0 million of our common stock (the "2017 ASR"). We paid $50.0 million on May 3, 2017 and received an initial delivery of approximately 0.3 million shares based on current market prices. The final number of shares to be repurchased will be based on our volume-weighted average stock price under the term of the 2017 ASR, less an agreed upon discount.</w:t>
      </w:r>
    </w:p>
    <w:p>
      <w:pPr>
        <w:spacing w:after="0" w:line="172" w:lineRule="exact"/>
        <w:rPr>
          <w:rFonts w:ascii="Arial" w:cs="Arial" w:eastAsia="Arial" w:hAnsi="Arial"/>
          <w:sz w:val="17"/>
          <w:szCs w:val="17"/>
          <w:color w:val="auto"/>
        </w:rPr>
      </w:pPr>
    </w:p>
    <w:p>
      <w:pPr>
        <w:jc w:val="both"/>
        <w:ind w:left="660" w:hanging="247"/>
        <w:spacing w:after="0" w:line="259" w:lineRule="auto"/>
        <w:tabs>
          <w:tab w:leader="none" w:pos="66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SmileDirectClub. </w:t>
      </w:r>
      <w:r>
        <w:rPr>
          <w:rFonts w:ascii="Arial" w:cs="Arial" w:eastAsia="Arial" w:hAnsi="Arial"/>
          <w:sz w:val="18"/>
          <w:szCs w:val="18"/>
          <w:color w:val="auto"/>
        </w:rPr>
        <w:t>We provided a revolving line of credit to SmileDirectClub, LLC ("SDC") of up to $15.0 million to fund their working capital and</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corporate needs. As of March 31, 2017, $8.0 million under the Loan Facility was issued and outstanding. (</w:t>
      </w:r>
      <w:r>
        <w:rPr>
          <w:rFonts w:ascii="Arial" w:cs="Arial" w:eastAsia="Arial" w:hAnsi="Arial"/>
          <w:sz w:val="18"/>
          <w:szCs w:val="18"/>
          <w:i w:val="1"/>
          <w:iCs w:val="1"/>
          <w:color w:val="auto"/>
        </w:rPr>
        <w:t>Refer to Note 4 "Equity Method</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 of the Notes to Condensed Consolidated Financial Statement</w:t>
      </w:r>
      <w:r>
        <w:rPr>
          <w:rFonts w:ascii="Arial" w:cs="Arial" w:eastAsia="Arial" w:hAnsi="Arial"/>
          <w:sz w:val="18"/>
          <w:szCs w:val="18"/>
          <w:color w:val="auto"/>
        </w:rPr>
        <w:t>s for details on accounting treatment). We expect the supply agreement to</w:t>
      </w:r>
      <w:r>
        <w:rPr>
          <w:rFonts w:ascii="Arial" w:cs="Arial" w:eastAsia="Arial" w:hAnsi="Arial"/>
          <w:sz w:val="18"/>
          <w:szCs w:val="18"/>
          <w:i w:val="1"/>
          <w:iCs w:val="1"/>
          <w:color w:val="auto"/>
        </w:rPr>
        <w:t xml:space="preserve"> </w:t>
      </w:r>
      <w:r>
        <w:rPr>
          <w:rFonts w:ascii="Arial" w:cs="Arial" w:eastAsia="Arial" w:hAnsi="Arial"/>
          <w:sz w:val="18"/>
          <w:szCs w:val="18"/>
          <w:color w:val="auto"/>
        </w:rPr>
        <w:t>be incremental to revenue growth in 2017.</w:t>
      </w:r>
    </w:p>
    <w:p>
      <w:pPr>
        <w:spacing w:after="0" w:line="186" w:lineRule="exact"/>
        <w:rPr>
          <w:rFonts w:ascii="Arial" w:cs="Arial" w:eastAsia="Arial" w:hAnsi="Arial"/>
          <w:sz w:val="18"/>
          <w:szCs w:val="18"/>
          <w:i w:val="1"/>
          <w:iCs w:val="1"/>
          <w:color w:val="auto"/>
        </w:rPr>
      </w:pPr>
    </w:p>
    <w:p>
      <w:pPr>
        <w:jc w:val="both"/>
        <w:ind w:left="660" w:hanging="247"/>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New Corporate Headquarters Office Purchase. </w:t>
      </w:r>
      <w:r>
        <w:rPr>
          <w:rFonts w:ascii="Arial" w:cs="Arial" w:eastAsia="Arial" w:hAnsi="Arial"/>
          <w:sz w:val="18"/>
          <w:szCs w:val="18"/>
          <w:color w:val="auto"/>
        </w:rPr>
        <w:t>We completed the purchase of our new headquarters on January 26, 2017 for the purchase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$44.1 million. During the first quarter of 2017, we incurred $0.8 million related to the building improvements and expect to incur an additional $29.7 million during 2017.</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jc w:val="both"/>
        <w:ind w:left="660" w:hanging="247"/>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Clear Aligner segment consists of our Invisalign System includes Invisalign Full, Teen and Assist ("Comprehensive Products"), Express/Lite ("Non-Comprehensive Products"), Vivera retainers, along with our training and ancillary products for treating malocclusion ("Non-Case"). Clear Aligner segment also includes revenues from the sale of aligners to SDC under our supply agreement which commenced in the fourth quarter of 2016, which is recorded after eliminating outstanding intercompany transactions.</w:t>
      </w:r>
    </w:p>
    <w:p>
      <w:pPr>
        <w:spacing w:after="0" w:line="132"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revenues for our Clear Aligner and Scanner segment by region for the three months ended March 31, 2017 and 2016 is as follows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16"/>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0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7500" w:type="dxa"/>
            <w:vAlign w:val="bottom"/>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7500" w:type="dxa"/>
            <w:vAlign w:val="bottom"/>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43"/>
        </w:trPr>
        <w:tc>
          <w:tcPr>
            <w:tcW w:w="750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29.7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7"/>
        </w:trPr>
        <w:tc>
          <w:tcPr>
            <w:tcW w:w="750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57"/>
        </w:trPr>
        <w:tc>
          <w:tcPr>
            <w:tcW w:w="750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Clear Aligner case shipments by region for the three months ended March 31, 2017 and 2016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54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78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7"/>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7540" w:type="dxa"/>
            <w:vAlign w:val="bottom"/>
            <w:vMerge w:val="continue"/>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25.6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Total case volume</w:t>
            </w:r>
          </w:p>
        </w:tc>
        <w:tc>
          <w:tcPr>
            <w:tcW w:w="7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47.6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revenues increased by $71.6 million for the three months ended March 31, 2017 as compared to the same period in 2016 primarily as a result of case volume growth across all regions and products as well as increased non-case revenues.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North America</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North America net revenues increased by $29.2 million for the three months ended March 31, 2017 as compared to the same period in 2016 primarily due to case volume growth across all channels and products which increased net revenues by $31.5 million. The increase was offset in part by lower average selling prices (“ASP”) which decreased net revenues by $2.3 million. ASP declined for the three months ended March 31, 2017 as compared to the same period in 2016 as a result of higher promotional discounts of $5.4 million as well as a shift in product mix towards lower priced products which decreased revenues by $3.7 million. These declines were partially offset by price increases on our Comprehensive Products effective April 1, 2016 which contributed $7.1 million to net revenues.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International net revenues increased by $29.7 million for the three months ended March 31, 2017 as compared to the same period in 2016 primarily driven by case volume growth across all channels and products which increased net revenues by $28.7 million and, to a lesser extent, higher ASP. The increase in ASP was primarily a result of price increases in our Comprehensive Products effective July 1, 2016 which contributed $3.0 million to net revenues as well as an increase in additional aligner revenue of $2.9 million. These increases were offset in part by the decline in foreign exchange rates of $3.2 million primarily due to the weakening of the Euro and British Pound to the U.S. dollar.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Non-Case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Non-case net revenues, consisting of training fees and ancillary product revenues, increased by $3.8 million for the three months ended March 31, 2017 as compared to the same period in 2016 primarily due to increased Vivera volume both in North America and International.</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Scanner net revenues increased $8.9 million for the three months ended March 31, 2017 as compared to the same period in 2016 due to an increase in both scanner and services net revenues. Scanner net revenues increased primarily as a result of an increase in the number of scanners recognized and, to a lesser extent, an increase in ASP. The increase in services net revenue was primarily due to an increase in the volume of CAD/CAM services resulting from a larger installed base of scanners.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6"/>
          </w:tcPr>
          <w:p>
            <w:pPr>
              <w:jc w:val="center"/>
              <w:ind w:left="553"/>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63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3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832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21.7%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172.1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78.3%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83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7.2</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83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74.7</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58.1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16.6</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6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3"/>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180.6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55.0</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32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from Cadent and training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margin percentage for the three months ended March 31, 2017 declined as compared to the same period in 2016 primarily driven by a higher number of aligners per case which was partially offset by higher absorption as a result of increased production volumes.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gross margin for the three months ended March 31, 2017 increased compared to the same period in 2016 due to a higher ASP, a favorable product mix shift to our lower cost iTero Element scanner and lower service costs.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6"/>
          </w:tcPr>
          <w:p>
            <w:pPr>
              <w:jc w:val="center"/>
              <w:ind w:left="559"/>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8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9"/>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38.9</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47.0%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8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general and administrative expense includes personnel-related costs including payroll, commissions and stock-based compensation, marketing and administration in addition to media and advertising expenses, clinical education, trade shows and industry events, product marketing, outside consulting services, legal expenses, depreciation and amortization expense and allocations of corporate overhead expenses including facilities and IT.</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Selling, general and administrative expense for the three months ended March 31, 2017 increased compared to the same period in 2016 primarily due to higher compensation related costs of $17.6 million mainly as a result of increased headcount. We also incurred higher expenses from advertising and marketing of $8.2 million, equipment and material costs of $5.5 million and outside services costs of $5.3 million.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83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9"/>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7.7</w:t>
            </w:r>
          </w:p>
        </w:tc>
      </w:tr>
      <w:tr>
        <w:trPr>
          <w:trHeight w:val="27"/>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8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Research and development expense for the three months ended March 31, 2017 increased compared to the same period in 2016 due to higher compensation costs as a result of increased headcount.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from operations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6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r>
      <w:tr>
        <w:trPr>
          <w:trHeight w:val="196"/>
        </w:trPr>
        <w:tc>
          <w:tcPr>
            <w:tcW w:w="832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6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18.0</w:t>
            </w: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i w:val="1"/>
                <w:iCs w:val="1"/>
                <w:color w:val="auto"/>
              </w:rPr>
              <w:t>Operating margin %</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83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8320" w:type="dxa"/>
            <w:vAlign w:val="bottom"/>
            <w:gridSpan w:val="5"/>
          </w:tcPr>
          <w:p>
            <w:pPr>
              <w:ind w:left="4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8320" w:type="dxa"/>
            <w:vAlign w:val="bottom"/>
            <w:gridSpan w:val="5"/>
          </w:tcPr>
          <w:p>
            <w:pPr>
              <w:ind w:left="40"/>
              <w:spacing w:after="0" w:line="202" w:lineRule="exact"/>
              <w:rPr>
                <w:sz w:val="20"/>
                <w:szCs w:val="20"/>
                <w:color w:val="auto"/>
              </w:rPr>
            </w:pPr>
            <w:r>
              <w:rPr>
                <w:rFonts w:ascii="Arial" w:cs="Arial" w:eastAsia="Arial" w:hAnsi="Arial"/>
                <w:sz w:val="17"/>
                <w:szCs w:val="17"/>
                <w:b w:val="1"/>
                <w:bCs w:val="1"/>
                <w:color w:val="auto"/>
              </w:rPr>
              <w:t xml:space="preserve">Total income from operations </w:t>
            </w:r>
            <w:r>
              <w:rPr>
                <w:rFonts w:ascii="Arial" w:cs="Arial" w:eastAsia="Arial" w:hAnsi="Arial"/>
                <w:sz w:val="23"/>
                <w:szCs w:val="23"/>
                <w:color w:val="auto"/>
                <w:vertAlign w:val="superscript"/>
              </w:rPr>
              <w:t>(1)</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61.7</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53.3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8.4</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6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832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Operating margin %</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22.3%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ind w:right="60" w:firstLine="8"/>
        <w:spacing w:after="0" w:line="321" w:lineRule="auto"/>
        <w:tabs>
          <w:tab w:leader="none" w:pos="153" w:val="left"/>
        </w:tabs>
        <w:numPr>
          <w:ilvl w:val="0"/>
          <w:numId w:val="1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 xml:space="preserve">Refer to Note 14 "Segments and Geographical Information" of the Notes to Condensed Consolidated Financial Statements </w:t>
      </w:r>
      <w:r>
        <w:rPr>
          <w:rFonts w:ascii="Arial" w:cs="Arial" w:eastAsia="Arial" w:hAnsi="Arial"/>
          <w:sz w:val="13"/>
          <w:szCs w:val="13"/>
          <w:color w:val="auto"/>
        </w:rPr>
        <w:t>for details on unallocated corporate expenses and</w:t>
      </w:r>
      <w:r>
        <w:rPr>
          <w:rFonts w:ascii="Arial" w:cs="Arial" w:eastAsia="Arial" w:hAnsi="Arial"/>
          <w:sz w:val="13"/>
          <w:szCs w:val="13"/>
          <w:i w:val="1"/>
          <w:iCs w:val="1"/>
          <w:color w:val="auto"/>
        </w:rPr>
        <w:t xml:space="preserve"> </w:t>
      </w:r>
      <w:r>
        <w:rPr>
          <w:rFonts w:ascii="Arial" w:cs="Arial" w:eastAsia="Arial" w:hAnsi="Arial"/>
          <w:sz w:val="13"/>
          <w:szCs w:val="13"/>
          <w:color w:val="auto"/>
        </w:rPr>
        <w:t>the reconciliation to total income from operations.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margin percentage for the three months ended March 31, 2017 declined compared to the same period in 2016 primarily due to higher compensation costs as a result of increased headcount, higher number of aligners manufactured per case and lower ASP.</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margin percentage for the three months ended March 31, 2017 increased compared to the same period in 2016 due to a higher ASP, a favorable product mix shift to our lower cost iTero Element scanner and lower service costs. We also incurred lower operating expenses as a percentage of revenues as we leveraged our operating expenses on higher revenues.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and other income (expenses), net (in millions):</w:t>
      </w:r>
    </w:p>
    <w:p>
      <w:pPr>
        <w:spacing w:after="0" w:line="163"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4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7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color w:val="auto"/>
              </w:rPr>
              <w:t>Interest and other income (expenses),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2.0</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(expenses), net, includes foreign currency revaluation gains and losses, interest income earned on cash, cash equivalents and investment balances, gains and losses on foreign currency forward contracts and other miscellaneous charges.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other income (expenses), net for the three months ended March 31, 2017 increased compared to the same period in 2016 mainly due to higher foreign exchange gains as a result of the Euro strengthening to the U.S. dollar.</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losses of investee, net of tax (in millions):</w:t>
      </w:r>
    </w:p>
    <w:p>
      <w:pPr>
        <w:spacing w:after="0" w:line="379"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5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140" w:type="dxa"/>
        <w:tblCellMar>
          <w:top w:w="0" w:type="dxa"/>
          <w:left w:w="0" w:type="dxa"/>
          <w:bottom w:w="0" w:type="dxa"/>
          <w:right w:w="0" w:type="dxa"/>
        </w:tblCellMar>
      </w:tblPr>
      <w:tr>
        <w:trPr>
          <w:trHeight w:val="270"/>
        </w:trPr>
        <w:tc>
          <w:tcPr>
            <w:tcW w:w="8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spacing w:after="0"/>
              <w:rPr>
                <w:sz w:val="23"/>
                <w:szCs w:val="23"/>
                <w:color w:val="auto"/>
              </w:rPr>
            </w:pPr>
          </w:p>
        </w:tc>
        <w:tc>
          <w:tcPr>
            <w:tcW w:w="68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7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4"/>
                <w:szCs w:val="14"/>
                <w:b w:val="1"/>
                <w:bCs w:val="1"/>
                <w:color w:val="auto"/>
                <w:w w:val="97"/>
              </w:rPr>
              <w:t>Change</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ind w:left="400"/>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invested $46.7 million in SDC on July 25, 2016 and account for this investment based on the equity method of accounting. For the three months ended March 31, 2017, we recorded a $1.1 million charge representing our share of losses attributable to equity method investments (</w:t>
      </w:r>
      <w:r>
        <w:rPr>
          <w:rFonts w:ascii="Arial" w:cs="Arial" w:eastAsia="Arial" w:hAnsi="Arial"/>
          <w:sz w:val="17"/>
          <w:szCs w:val="17"/>
          <w:i w:val="1"/>
          <w:iCs w:val="1"/>
          <w:color w:val="auto"/>
        </w:rPr>
        <w:t>Refer to Note 4 "Equity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Method Investments" of the Notes to Condensed Consolidated Financial Statements </w:t>
      </w:r>
      <w:r>
        <w:rPr>
          <w:rFonts w:ascii="Arial" w:cs="Arial" w:eastAsia="Arial" w:hAnsi="Arial"/>
          <w:sz w:val="17"/>
          <w:szCs w:val="17"/>
          <w:color w:val="auto"/>
        </w:rPr>
        <w:t>for details on equity method investments).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12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4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36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1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rates</w:t>
            </w:r>
          </w:p>
        </w:tc>
        <w:tc>
          <w:tcPr>
            <w:tcW w:w="4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675"/>
        </w:trPr>
        <w:tc>
          <w:tcPr>
            <w:tcW w:w="4120" w:type="dxa"/>
            <w:vAlign w:val="bottom"/>
          </w:tcPr>
          <w:p>
            <w:pPr>
              <w:spacing w:after="0"/>
              <w:rPr>
                <w:sz w:val="24"/>
                <w:szCs w:val="24"/>
                <w:color w:val="auto"/>
              </w:rPr>
            </w:pPr>
          </w:p>
        </w:tc>
        <w:tc>
          <w:tcPr>
            <w:tcW w:w="4040" w:type="dxa"/>
            <w:vAlign w:val="bottom"/>
          </w:tcPr>
          <w:p>
            <w:pPr>
              <w:jc w:val="right"/>
              <w:ind w:right="227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provision (benefit) for income taxes was $(7.2) million and $12.4 million for the three months ended March 31, 2017 and 2016, respectively. This represents effective tax rates of (11.4)% and 23.4%, respectively. The decrease in effective tax rate for the three months ended March 31, 2017 compared to the same period in 2016 is primarily attributable to the adoption of ASU 2016-09 which requires excess tax benefits related to stock-based compensation to be recognized as a reduction of income tax expense along with certain of our foreign earnings being taxed at a lower rate relative to the U.S. federal statutory rate as a result of our international corporate restructuring.For the three months ended March 31, 2017, we recognized excess tax benefits of $21.3 million in our provision for income taxes.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 2016, we implemented a new international corporate structure. This changed the structure of our international procurement and sales operations, as well as realigned the ownership and use of intellectual property among our wholly-owned subsidiaries. We continue to anticipate that an increasing percentage of our consolidated pre-tax income will be derived from, and reinvested in our foreign operations. We believe that income taxed in certain foreign jurisdictions at a lower rate relative to the U.S. federal statutory rate will have a beneficial impact on our worldwide effective tax rate over time.</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June 2009, the Costa Rica Ministry of Foreign Trade, an agency of the Government of Costa Rica, granted a twelve year extension of certain income tax incentives, which were previously granted in 2002. The incentive tax rates expire over various years, starting in June 2017. We are seeking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months ended March 31, 2017, the reduction in income taxes was minimal primarily due to the new international corporate structure implemented on July 1, 2016. For the three months ended March 31, 2016, income taxes were reduced by $8.6 million representing a benefit to diluted net income per share of $0.11 (</w:t>
      </w:r>
      <w:r>
        <w:rPr>
          <w:rFonts w:ascii="Arial" w:cs="Arial" w:eastAsia="Arial" w:hAnsi="Arial"/>
          <w:sz w:val="16"/>
          <w:szCs w:val="16"/>
          <w:i w:val="1"/>
          <w:iCs w:val="1"/>
          <w:color w:val="auto"/>
        </w:rPr>
        <w:t>Refer to Note 12 "Accounting for Income Taxes</w:t>
      </w:r>
      <w:r>
        <w:rPr>
          <w:rFonts w:ascii="Arial" w:cs="Arial" w:eastAsia="Arial" w:hAnsi="Arial"/>
          <w:sz w:val="16"/>
          <w:szCs w:val="16"/>
          <w:color w:val="auto"/>
        </w:rPr>
        <w:t xml:space="preserve"> for details on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fund our operations primarily from product sales and available cash and cash equivalents and marketable securities. As of March 31,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we had the following cash, cash equivalents, and short-term and long-term marketable securities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142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 2017</w:t>
            </w:r>
          </w:p>
        </w:tc>
        <w:tc>
          <w:tcPr>
            <w:tcW w:w="1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0"/>
        </w:trPr>
        <w:tc>
          <w:tcPr>
            <w:tcW w:w="8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261,027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389,275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284,559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w w:val="95"/>
              </w:rPr>
              <w:t>250,981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marketable securities</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98,574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59,783</w:t>
            </w: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1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644,160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5"/>
              </w:rPr>
              <w:t>700,039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60" w:type="dxa"/>
            <w:vAlign w:val="bottom"/>
            <w:vMerge w:val="restart"/>
          </w:tcPr>
          <w:p>
            <w:pPr>
              <w:ind w:left="26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160" w:type="dxa"/>
            <w:vAlign w:val="bottom"/>
          </w:tcPr>
          <w:p>
            <w:pPr>
              <w:ind w:left="40"/>
              <w:spacing w:after="0"/>
              <w:rPr>
                <w:sz w:val="20"/>
                <w:szCs w:val="20"/>
                <w:color w:val="auto"/>
              </w:rPr>
            </w:pPr>
            <w:r>
              <w:rPr>
                <w:rFonts w:ascii="Arial" w:cs="Arial" w:eastAsia="Arial" w:hAnsi="Arial"/>
                <w:sz w:val="18"/>
                <w:szCs w:val="18"/>
                <w:color w:val="auto"/>
              </w:rPr>
              <w:t>Net cash flow provided by (used in):</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47,621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30,680</w:t>
            </w:r>
          </w:p>
        </w:tc>
        <w:tc>
          <w:tcPr>
            <w:tcW w:w="0" w:type="dxa"/>
            <w:vAlign w:val="bottom"/>
          </w:tcPr>
          <w:p>
            <w:pPr>
              <w:spacing w:after="0"/>
              <w:rPr>
                <w:sz w:val="1"/>
                <w:szCs w:val="1"/>
                <w:color w:val="auto"/>
              </w:rPr>
            </w:pPr>
          </w:p>
        </w:tc>
      </w:tr>
      <w:tr>
        <w:trPr>
          <w:trHeight w:val="243"/>
        </w:trPr>
        <w:tc>
          <w:tcPr>
            <w:tcW w:w="816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(145,298)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(35,316)</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43"/>
        </w:trPr>
        <w:tc>
          <w:tcPr>
            <w:tcW w:w="816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ind w:right="19"/>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(128,248)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(13,296)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March 31, 2017, we had $644.2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municipal securities, asset-backed securities and certificates of deposit.</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2017, approximately $421.5 million of cash, cash equivalents and short-term and long-term marketable securities was held by our foreign subsidiaries. Amounts held by foreign subsidiaries are generally subject to U.S. income taxation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repatriation to the U.S. The costs to repatriate our foreign earnings to the U.S. would likely be material; however, our intent is to permanently reinvest our earnings from foreign operations, and our current plans do not require us to repatriate them to fund our U.S. operations as we generate sufficient domestic operating cash flow and have access to external funding under our current revolving line of credit.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Refer to Note 11 "Common Stock Repurchase Program" of the Notes to Condensed Consolidated Financial Statements </w:t>
      </w:r>
      <w:r>
        <w:rPr>
          <w:rFonts w:ascii="Arial" w:cs="Arial" w:eastAsia="Arial" w:hAnsi="Arial"/>
          <w:sz w:val="18"/>
          <w:szCs w:val="18"/>
          <w:color w:val="auto"/>
        </w:rPr>
        <w:t>for details on stock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April 2014 Repurchase Program. </w:t>
      </w:r>
      <w:r>
        <w:rPr>
          <w:rFonts w:ascii="Arial" w:cs="Arial" w:eastAsia="Arial" w:hAnsi="Arial"/>
          <w:sz w:val="18"/>
          <w:szCs w:val="18"/>
          <w:color w:val="auto"/>
        </w:rPr>
        <w:t>During the three months ended March 31, 2017, we repurchased $3.8 million of our common stock repurchase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open market. As of March 31, 2017, we completed our April 2014 Repurchase Plan </w:t>
      </w:r>
      <w:r>
        <w:rPr>
          <w:rFonts w:ascii="Arial" w:cs="Arial" w:eastAsia="Arial" w:hAnsi="Arial"/>
          <w:sz w:val="18"/>
          <w:szCs w:val="18"/>
          <w:i w:val="1"/>
          <w:iCs w:val="1"/>
          <w:color w:val="auto"/>
        </w:rPr>
        <w:t>(Refer to Note 11 "Common Stock Repurchase Program"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Notes to Condensed Consolidated Financial Statements </w:t>
      </w:r>
      <w:r>
        <w:rPr>
          <w:rFonts w:ascii="Arial" w:cs="Arial" w:eastAsia="Arial" w:hAnsi="Arial"/>
          <w:sz w:val="18"/>
          <w:szCs w:val="18"/>
          <w:color w:val="auto"/>
        </w:rPr>
        <w:t>for details on stock repurchase program).</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April 2016 Repurchase Program. </w:t>
      </w:r>
      <w:r>
        <w:rPr>
          <w:rFonts w:ascii="Arial" w:cs="Arial" w:eastAsia="Arial" w:hAnsi="Arial"/>
          <w:sz w:val="18"/>
          <w:szCs w:val="18"/>
          <w:color w:val="auto"/>
        </w:rPr>
        <w:t>On April 28, 2016, we announced that our Board of Directors had authorized a plan to repurchase up to $300.0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stock. As of March 31, 2017, there were no repurchases under this plan. On May 2, 2017, we entered into an ASR to repurchase $50.0 million of our common stock (the "2017 ASR"). We paid $50.0 million on May 3, 2017 and received an initial delivery of approximately 0.3 million shares based on current market prices. The final number of shares to be repurchased will be based on our volume-weighted average stock price under the term of the 2017 ASR, less an agreed upon discount.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months ended March 31, 2017, cash flows from operations of $47.6 million resulted primarily from our net income of approximately $69.4 million as well as the following: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 was $14.8 million related to equity incentive compensation granted to employees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Depreciation and amortization of $7.9 million related to our fixed assets and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change in deferred tax assets of $7.8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52" w:lineRule="exact"/>
        <w:rPr>
          <w:sz w:val="20"/>
          <w:szCs w:val="20"/>
          <w:color w:val="auto"/>
        </w:rPr>
      </w:pPr>
    </w:p>
    <w:p>
      <w:pPr>
        <w:ind w:left="720" w:hanging="388"/>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 of $39.7 million in accrued and other long-term liabilities due to timing of payments and activities,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$24.5 million in accounts receivable which is a result of the increase in net revenues, and</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of $11.7 million in deferred revenues corresponding to the increases in case shipments.</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$145.3 million for the three months ended March 31, 2017 primarily consisted of purchases of marketable securities of $169.8 million, property and plant and equipment purchases of $59.6 million of which $44.1 million is related to new headquarters office purchase, $9.0 million paid for the acquisitions of certain of our distributors, net of cash and $8.0 million loan advance to privately held companies. These outflows were partially offset by maturities and sales of marketable securities of $98.7 million.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remainder of 2017, we expect to invest an additional $115.0 million to $125.0 million on capital expenditures primarily related to building improvements on our new corporate headquarters office and additional manufacturing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$33.0 million for the three months ended March 31, 2017 primarily resulting from payroll taxes paid for vesting of restricted stock units through share withholdings of $36.5 million. These outflows were offset in part by $7.3 million from proceeds due to issuance of common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contractual obligations have not significantly changed since December 31, 2016 as disclosed in our Annual Report on Form 10-K.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 (</w:t>
      </w:r>
      <w:r>
        <w:rPr>
          <w:rFonts w:ascii="Arial" w:cs="Arial" w:eastAsia="Arial" w:hAnsi="Arial"/>
          <w:sz w:val="17"/>
          <w:szCs w:val="17"/>
          <w:i w:val="1"/>
          <w:iCs w:val="1"/>
          <w:color w:val="auto"/>
        </w:rPr>
        <w:t>Refer to Note 9 "Commitments and Contingencies", of the Notes to Condensed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Consolidated Financial Statements </w:t>
      </w:r>
      <w:r>
        <w:rPr>
          <w:rFonts w:ascii="Arial" w:cs="Arial" w:eastAsia="Arial" w:hAnsi="Arial"/>
          <w:sz w:val="17"/>
          <w:szCs w:val="17"/>
          <w:color w:val="auto"/>
        </w:rPr>
        <w:t>for details on commitments and contingencies).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2017, we had no off-balance sheet arrangements that have, or are reasonably likely to have, a current or future material effect on our consolidated financial condition, results of operations, liquidity, capital expenditures or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the following critical accounting policies and estimates affect our more significant judgments used in the preparation of our consolidated financial statements. These critical accounting policies and related disclosures appear in our Annual Report on Form 10-K for the year ended December 31, 2016:</w:t>
      </w:r>
    </w:p>
    <w:p>
      <w:pPr>
        <w:spacing w:after="0" w:line="114"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 and Finite-Lived Acquired Intangible Assets;</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of Goodwill, Finite-Lived Acquired Intangible Assets and Long-Lived Assets; and</w:t>
      </w:r>
    </w:p>
    <w:p>
      <w:pPr>
        <w:spacing w:after="0" w:line="9"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March 31, 2017, we had approximately $380.6 million invested in available-for-sale marketable securities. An immediate 10% change in interest rates would not have a material adverse impact on our future operating results and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We do not have interest bearing liabilities as of March 31, 2017 and therefore, we are not subject to risks from immediate interest rate increases.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 the past and may in the future enter into currency hedging transactions in an effort to cover some of our exposure to foreign currency exchange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hedging activities could have on our results of operations. As of March 31, 2017, we did not have any outstanding foreign exchange forward contracts.</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financial hedging techniques in the future to minimize the effect of these fluctuations, the impact of an aggregate change of 10% in foreign currency exchange rates relative to the U.S. dollar on our results of operations and financial position could be material.</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March 31, 2017,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Class Action Lawsuit</w:t>
      </w:r>
    </w:p>
    <w:p>
      <w:pPr>
        <w:spacing w:after="0" w:line="23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7"/>
          <w:szCs w:val="17"/>
          <w:color w:val="auto"/>
        </w:rPr>
        <w:t>On November 28, 2012, plaintiff City of Dearborn Heights Act 345 Police &amp; Fire Retirement System filed a lawsuit against Align, Thomas M. Prescott (“Mr. Prescott”), Align’s former President and Chief Executive Officer, and Kenneth B. Arola (“Mr. Arola”), Align’s former Vice President, Finance and Chief Financial Officer, in the United States District Court for the Northern District of California on behalf of a purported class of purchasers of our common stock (the “Securities Action”). On July 11, 2013, an amended complaint was filed, which named the same defendants, on behalf of a purported class of purchasers of our common stock between January 31, 2012 and October 17, 2012. The amended complaint alleged that Align, Mr. Prescott and Mr. Arola violated Section 10(b) of the Securities Exchange Act of 1934 and Rule 10b-5 promulgated thereunder, and that Mr. Prescott and Mr. Arola violated Section 20(a) of the Securities Exchange Act of 1934. Specifically, the amended complaint alleged that during the purported class period defendants failed to take an appropriate goodwill impairment charge related to the April 29, 2011 acquisition of Cadent Holdings, Inc. in the fourth quarter of 2011, the first quarter of 2012 or the second quarter of 2012, which rendered our financial statements and projections of future earnings materially false and misleading and in violation of U.S. GAAP. The amended complaint sought monetary damages in an unspecified amount, costs and attorneys’ fees. On December 9, 2013, the court granted defendants’ motion to dismiss with leave for plaintiff to file a second amended complaint. Plaintiff filed a second amended complaint on January 8, 2014 on behalf of the same purported class. The second amended complaint states the same claims as the amended complaint. On August 22, 2014, the court granted our motion to dismiss without leave to amend. On September 22, 2014, Plaintiff filed a notice of appeal to the Ninth Circuit Court of Appeals. Briefing for the appeal was completed in May 2015 and the Ninth Circuit held oral arguments in October 2016</w:t>
      </w:r>
      <w:r>
        <w:rPr>
          <w:rFonts w:ascii="Arial" w:cs="Arial" w:eastAsia="Arial" w:hAnsi="Arial"/>
          <w:sz w:val="18"/>
          <w:szCs w:val="18"/>
          <w:color w:val="auto"/>
        </w:rPr>
        <w:t>.</w:t>
      </w:r>
      <w:r>
        <w:rPr>
          <w:rFonts w:ascii="Arial" w:cs="Arial" w:eastAsia="Arial" w:hAnsi="Arial"/>
          <w:sz w:val="17"/>
          <w:szCs w:val="17"/>
          <w:color w:val="auto"/>
        </w:rPr>
        <w:t xml:space="preserve"> Align intends to vigorously defend itself against these allegations. Align is currently unable to predict the outcome of this amended complaint and therefore cannot determine the likelihood of loss nor estimate a range of possible loss, if any.</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Shareholder Derivative Lawsuit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 2013, plaintiff Gary Udis filed a shareholder derivative lawsuit against several of Align’s current and former officers and directors in the Superior Court of California, County of Santa Clara. The complaint alleges that our reported income and earnings were materially overstated because of a failure to timely write down goodwill related to the April 29, 2011 acquisition of Cadent Holdings, Inc., and that defendants made allegedly false statements concerning our forecasts. The complaint asserts various state law causes of action, including claims of breach of fiduciary duty, unjust enrichment, and insider trading, among others. The complaint seeks unspecified damages on behalf of Align, which is named solely as nominal defendant against whom no recovery is sought. The complaint also seeks an order directing Align to reform and improve its corporate governance and internal procedures, and seeks restitution in an unspecified amount, costs, and attorneys’ fees. On July 8, 2013, an Order was entered staying this derivative lawsuit until an initial ruling on our first motion to dismiss the Securities Action. On January 15, 2014, an Order was entered staying this derivative lawsuit until an initial ruling on our second motion to dismiss the Securities Action. On October 14, 2014, an Order was entered staying this derivative lawsuit until a ruling by the Ninth Circuit in the Securities Action discussed above. Align is currently unable to predict the outcome of this complaint and therefore cannot determine the likelihood of loss nor estimate a range of possible losses, if any.</w:t>
      </w:r>
    </w:p>
    <w:p>
      <w:pPr>
        <w:spacing w:after="0" w:line="18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expect that net revenues from the sale of the Invisalign System, primarily Invisalign Full and Invisalign Teen,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our operating results would be harmed.</w:t>
      </w:r>
    </w:p>
    <w:p>
      <w:pPr>
        <w:spacing w:after="0" w:line="17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7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Currently, our products compete directly against products manufactured and distributed by various companies, both within and outside the U.S. Many of these manufacturers, including Danaher Corporation, Sirona Dental Systems, Inc., Dentsply International, Inc. and 3M, have substantially greater financial resources and manufacturing and marketing experience than we do. In addition, as a result of the expiration of certain key patents owned by us, commencing in 2017, we expect that these existing competitors as well as new entrants into the clear aligner market will begin offering an orthodontic system more similar to ours in the near future.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will start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key production steps are performed in operations located outside of the U.S. At our facility in San Jose, Costa Rica, technicians use a sophisticated, internally developed computer-modeling program to prepare digital treatment plans, which are then transmitted electronically to Juarez, Mexico. These digital files form the basis of the ClinCheck treatment plan and are used to manufacture aligner molds. Our order acquisition, aligner fabrication and shipping operations are conducted in Juarez, Mexico, and we also have order acquisition for the EMEA region at our facility in Amsterdam, the Netherlands. In addition to the research and development efforts conducted in our North America facilities, we also carry out research and development in Moscow, Russia. We also have customer-care, accounts receivable, credit and collections, customer event registration and accounts payable organizations located at our facility in San Jose, Costa Rica. In addition, we have operations in Israel where the design and wand are assembled and our intraoral scanner is manufactured. Our reliance on international operations exposes us to risks and uncertainties that may affect our business or results of operation, including:</w:t>
      </w:r>
    </w:p>
    <w:p>
      <w:pPr>
        <w:spacing w:after="0" w:line="166" w:lineRule="exact"/>
        <w:rPr>
          <w:sz w:val="20"/>
          <w:szCs w:val="20"/>
          <w:color w:val="auto"/>
        </w:rPr>
      </w:pPr>
    </w:p>
    <w:p>
      <w:pPr>
        <w:ind w:left="660" w:right="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 located in Russia, Israel and other countries;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income taxes, and other restrictions and limitations, if we were to decide to repatriate any of our foreign cash balances back to the U.S.;</w:t>
      </w:r>
    </w:p>
    <w:p>
      <w:pPr>
        <w:spacing w:after="0" w:line="194" w:lineRule="exact"/>
        <w:rPr>
          <w:rFonts w:ascii="Arial" w:cs="Arial" w:eastAsia="Arial" w:hAnsi="Arial"/>
          <w:sz w:val="16"/>
          <w:szCs w:val="16"/>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import and export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5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political, social and economic instability, including as a result of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39"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geopolitical instability and the responses to it, such as the possibility of additional sanctions against Russia which continue to bring uncertainty to this region;</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ind w:left="660" w:right="20" w:hanging="247"/>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product or material transportation delays or disruption, including as a result of increased levels of violence, acts of terrorism, acts of war or health epidemics restricting travel to and from our international locations or as a result of natural disasters, such as earthquakes or volcanic eruptions;</w:t>
      </w:r>
    </w:p>
    <w:p>
      <w:pPr>
        <w:spacing w:after="0" w:line="69" w:lineRule="exact"/>
        <w:rPr>
          <w:rFonts w:ascii="Arial" w:cs="Arial" w:eastAsia="Arial" w:hAnsi="Arial"/>
          <w:sz w:val="16"/>
          <w:szCs w:val="16"/>
          <w:color w:val="auto"/>
        </w:rPr>
      </w:pPr>
    </w:p>
    <w:p>
      <w:pPr>
        <w:ind w:left="660" w:hanging="247"/>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 including the risks associated with the Foreign Corrupt Practices Act and local anti-bribery compliance;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President Donald Trump and his administration have made recent statements regarding the possibility of changing the way in which the international operations of U.S. companies are taxed, including through the implementation of a border tax, tariff or increase in custom duties on products manufactured in countries outside of the U.S., such as Mexico, and imported into the U.S. In the event such taxes, tariffs, increased custom duties or other measures are implemented, they could have a materially adverse effect on our business and or operating results, and we may have to consider relocating some of our international operations.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87"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it is our intention to indefinitely reinvest earnings outside the U.S., restrictions on the transfer of funds held by our foreign subsidiaries, including with respect to restrictions on our ability to repatriate foreign cash to the U.S at favorable tax rates;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Outside of North America, we currently sell our products in certain countries within Europe, Asia Pacific, Latin America and the Middle East and may expand into other countries from time to time. For sales of our products outside the U.S., we are subject to foreign regulatory requirements that vary widely from country to country. The time required to obtain clearances or approvals required by other countries may be longer 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provide volume based discount programs to our doctors. In addition, we sell a number of products at different list prices. If we introduce any price reductions or consumer rebate programs; if we expand our discount programs in the future or participation in these programs increases; or if our product mix shifts to lower priced products or products that have a higher percentage of deferred revenue, our average selling prices would be adversely affected and our net revenues, gross profit, gross margin and net income may be reduced. In July 2015, we launched a new product policy called "Additional Aligners at No Charge" that addresses one of our customer's top complaints. With this product policy change, we no longer distinguish between mid-course correction and case refinements and allow doctors to order additional aligners to address either treatment need at no charge, subject to certain requirements. Based on this product policy, beginning in the third quarter of 2015, we deferred more revenue as a result of providing free additional aligners for eligible treatments.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24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We have in the past and may in the future enter into currency hedging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In the near term, we intend to establish additional order acquisition and treatment planning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this additional facility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the level of activity in our customers’ practices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weakness in consumer spending as a result of the slowdown in the U.S. economy and global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relationships with our distributors;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 can be recognized;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right="20" w:hanging="247"/>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timing of when revenue is recognized, including as a result of the introduction of new products or promotions, modifications to our terms and conditions or as a result of changes to critical accounting estimates or new accounting pronouncements;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disruptions to our business as a result of our agreement to manufacture clear aligners for SmileDirectClub, LLC ("SDC"), including, market acceptance of the SDC business model and product, possible adverse customer reaction and negative publicity about us and our products;</w:t>
      </w:r>
    </w:p>
    <w:p>
      <w:pPr>
        <w:spacing w:after="0" w:line="92" w:lineRule="exact"/>
        <w:rPr>
          <w:rFonts w:ascii="Arial" w:cs="Arial" w:eastAsia="Arial" w:hAnsi="Arial"/>
          <w:sz w:val="17"/>
          <w:szCs w:val="17"/>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impairments in the value of our strategic investments in SDC and other privately held companies could be material;</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rules;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takes approximately 12 to 24 months to treat a patient, our customers may be unwilling to rapidly adopt our new products until they successfully complete at least one case or until more historical clinical results are available.</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operating profits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digital dental modeling is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facility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or extend established processes which includes the transition to a new enterprise resource planning ("ERP") software system. We implemented the first phase of our ERP on July 1, 2016 and, while we believe we are past any potential significant business disruption, we are still monitoring and troubleshooting potential issues. The implementation of additional functionality in the ERP system entails certain risks, including difficulties with changes in business processes that could disrupt our operations, such as our ability to track orders and timely ship products, manage our supply chain and aggregate financial and operational data. Additionally, if we are not able to accurately forecast expenses related to the project, this may have an adverse impact on our financial condition and operating results.</w:t>
      </w:r>
    </w:p>
    <w:p>
      <w:pPr>
        <w:spacing w:after="0" w:line="18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 viruses and bugs could be significant, and the efforts to address these problems could result in interruptions that may have a material adverse impact on our operations, net revenues and operating results.</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retain confidential customer and patient information in our processing centers. Therefore, it is critical that our facilities and infrastructure remain secure and that our facilities and infrastructure are perceived by the marketplace and our customers to be secure. Despite the implementation of security measures, our infrastructure may be vulnerable to physical break-ins, computer viruses, programming errors, attacks by third parties or similar disruptive problems. If we fail to meet our clients’ expectations regarding the security of healthcare information, we could be liable for damages and our reputation could be impaired. In addition, patient care could suffer, and we could be liable if our systems fail to deliver correct information in a timely manner. Our insurance may not protect us from this risk.</w:t>
      </w:r>
    </w:p>
    <w:p>
      <w:pPr>
        <w:spacing w:after="0" w:line="193"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March 31, 2017, we had issued 433 U.S. patents, 406 foreign issued patents, and 385 pending global patent applications.</w:t>
      </w:r>
    </w:p>
    <w:p>
      <w:pPr>
        <w:spacing w:after="0" w:line="18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 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use or sale of our products.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12"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new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178"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16"/>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North American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19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existing relationships with distributors may preclude us from entering into additional future arrangements with other distributors;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intend to market in the future. Our inability to maintain or obtain regulatory clearances or approvals could materially harm our business.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 In response to perceived increases in health care costs, Congress passed health care reform legislation that was signed into law in March 2010. This legislation contains many provisions designed to generate the revenues necessary to fund the coverage expansions. The most relevant of these provisions are those that impose fees or taxes on certain health-related industries, including medical device manufacturers.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 acceptable terms, if at all, and may not provide adequate coverage against potential liabilities. A product liability claim, regardless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Impairments in the value of our investments and related loan could negatively impact our financial results.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invested in SmileDirectClub, LLC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related loan in SDC or other privately held companies have experienced a decline in value, we may be required to record impairments, which could be material and could have an adverse impact on our financial results.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(“U.S.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U.S.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stock-based compensation, revenue recognition and leases.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 current unstable credit environment, we might incur significant realized, unrealized or impairment losses associated with these investments.</w:t>
      </w:r>
    </w:p>
    <w:p>
      <w:pPr>
        <w:spacing w:after="0" w:line="19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On July 1, 2016, we changed our corporate structure; however, if we are unable to maintain this structure or if it is challenged by U.S. or foreign tax authorities, we may be unable to realize tax savings which could materially and adversely affect our operating results.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structure is challenged by U.S. or foreign tax authorities, if changes in domestic and international tax laws negatively impact the structure, including proposed legislation to reform U.S. taxation of international business activities, or if we do not operate our business in a manner consistent with the structure and applicable regulatory provisions, we may fail to achieve the financial and operational efficiencies that we anticipate as a result of the structure, and our business, financial condition and operating results may be materially and adversely affected.</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Various internal and external factors may have favorable or unfavorable effects on our future effective tax rate. These factors include, but are not limited to, changes in tax laws,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For example, for the three months ended March 31, 2017, we recorded $21.3 million of excess tax benefits related to stock-based compensation in our provision for income taxes pursuant to the adoption of ASU 2016-09, which had a favorable impact on our effective tax rate in the current quarter, resulting in a net tax provision benefit of $7.2 million and an effective tax rate of (11.4)%. Our subsidiary in Israel is under audit by the local tax authorities for calendar years 2006 through 2013.</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our tax rate may be impacted by tax holidays or incentives. In June 2009, the Costa Rica Ministry of Foreign Trade, an agency of the Government of Costa Rica, granted a twelve year extension of certain income tax incentives, which were previously granted in 2002. The incentive tax rates will expire in various years beginning in 2017. We are seeking a renewal of these income tax incentives before they expire. Under these incentives, all of the income in Costa Rica during these twelve year incentive periods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2017 and 2016. For the three months ended March 31, 2017, the new corporate structure implemented on July 1, 2016 had a minimal impact on income taxes. For the three months ended March 31, 2016, income taxes were reduced by $8.6 million representing a benefit to diluted net income per share of $0.11.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23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The OECD issued in 2015, and is expected to continue to issue, guidelines and proposals that may change various aspects of the existing framework under which our tax obligations are determined in many of the countries in which we do business. In addition,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Following is a summary of stock repurchases for the three months ended March 31, 2017:</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2017 through January 31, 2017</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39,360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96.37</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39,360</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February 1, 2017 through February 28, 2017</w:t>
            </w:r>
          </w:p>
        </w:tc>
        <w:tc>
          <w:tcPr>
            <w:tcW w:w="1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1, 2017 through March 31, 2017</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Stock Repurchase Programs</w:t>
      </w:r>
    </w:p>
    <w:p>
      <w:pPr>
        <w:spacing w:after="0" w:line="91" w:lineRule="exact"/>
        <w:rPr>
          <w:sz w:val="20"/>
          <w:szCs w:val="20"/>
          <w:color w:val="auto"/>
        </w:rPr>
      </w:pPr>
    </w:p>
    <w:p>
      <w:pPr>
        <w:ind w:left="980" w:hanging="648"/>
        <w:spacing w:after="0" w:line="264" w:lineRule="auto"/>
        <w:tabs>
          <w:tab w:leader="none" w:pos="656"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April 2014 Repurchase Program. </w:t>
      </w:r>
      <w:r>
        <w:rPr>
          <w:rFonts w:ascii="Arial" w:cs="Arial" w:eastAsia="Arial" w:hAnsi="Arial"/>
          <w:sz w:val="18"/>
          <w:szCs w:val="18"/>
          <w:color w:val="auto"/>
        </w:rPr>
        <w:t>During the three months ended March 31, 2017, we repurchased $3.8 million of our common stock repurchase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open market. As of March 31, 2017, we completed our April 2014 Repurchase Plan </w:t>
      </w:r>
      <w:r>
        <w:rPr>
          <w:rFonts w:ascii="Arial" w:cs="Arial" w:eastAsia="Arial" w:hAnsi="Arial"/>
          <w:sz w:val="18"/>
          <w:szCs w:val="18"/>
          <w:i w:val="1"/>
          <w:iCs w:val="1"/>
          <w:color w:val="auto"/>
        </w:rPr>
        <w:t>(Refer to Note 11 "Common Stock Repurchase"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Notes to Condensed Consolidated Financial Statements </w:t>
      </w:r>
      <w:r>
        <w:rPr>
          <w:rFonts w:ascii="Arial" w:cs="Arial" w:eastAsia="Arial" w:hAnsi="Arial"/>
          <w:sz w:val="18"/>
          <w:szCs w:val="18"/>
          <w:color w:val="auto"/>
        </w:rPr>
        <w:t>for details on stock repurchase program).</w:t>
      </w:r>
    </w:p>
    <w:p>
      <w:pPr>
        <w:spacing w:after="0" w:line="181"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April 2016 Repurchase Program. </w:t>
      </w:r>
      <w:r>
        <w:rPr>
          <w:rFonts w:ascii="Arial" w:cs="Arial" w:eastAsia="Arial" w:hAnsi="Arial"/>
          <w:sz w:val="18"/>
          <w:szCs w:val="18"/>
          <w:color w:val="auto"/>
        </w:rPr>
        <w:t>On April 28, 2016, we announced that our Board of Directors had authorized a plan to repurchase up to $300.0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our stock. As of March 31, 2017, there were no repurchases under this plan. On May 2, 2017, we entered into an ASR to repurchase $50.0 million of our common stock (the "2017 ASR"). We paid $50.0 million on May 3, 2017 and received an initial delivery of approximately 0.3 million shares based on current market prices. The final number of shares to be repurchased will be based on our volume-weighted average stock price under the term of the 2017 ASR, less an agreed upon discount.</w:t>
      </w:r>
    </w:p>
    <w:p>
      <w:pPr>
        <w:spacing w:after="0" w:line="211"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left="5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9"/>
                <w:szCs w:val="19"/>
                <w:color w:val="auto"/>
              </w:rPr>
            </w:pP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9"/>
                <w:szCs w:val="19"/>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9"/>
                <w:szCs w:val="19"/>
                <w:color w:val="auto"/>
              </w:rPr>
            </w:pP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675"/>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80" w:type="dxa"/>
            <w:vAlign w:val="bottom"/>
            <w:gridSpan w:val="3"/>
          </w:tcPr>
          <w:p>
            <w:pPr>
              <w:ind w:left="466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40"/>
        <w:spacing w:after="0"/>
        <w:tabs>
          <w:tab w:leader="none" w:pos="5760" w:val="left"/>
          <w:tab w:leader="none" w:pos="7840" w:val="left"/>
        </w:tabs>
        <w:rPr>
          <w:sz w:val="20"/>
          <w:szCs w:val="20"/>
          <w:color w:val="auto"/>
        </w:rPr>
      </w:pPr>
      <w:r>
        <w:rPr>
          <w:rFonts w:ascii="Arial" w:cs="Arial" w:eastAsia="Arial" w:hAnsi="Arial"/>
          <w:sz w:val="18"/>
          <w:szCs w:val="18"/>
          <w:color w:val="auto"/>
        </w:rPr>
        <w:t>May 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58" w:lineRule="exact"/>
        <w:rPr>
          <w:sz w:val="20"/>
          <w:szCs w:val="20"/>
          <w:color w:val="auto"/>
        </w:rPr>
      </w:pPr>
    </w:p>
    <w:p>
      <w:pPr>
        <w:ind w:left="578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F. Morici</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25"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2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6080" w:type="dxa"/>
            <w:vAlign w:val="bottom"/>
            <w:gridSpan w:val="3"/>
          </w:tcPr>
          <w:p>
            <w:pPr>
              <w:ind w:left="2720"/>
              <w:spacing w:after="0" w:line="129" w:lineRule="exact"/>
              <w:rPr>
                <w:sz w:val="20"/>
                <w:szCs w:val="20"/>
                <w:color w:val="auto"/>
              </w:rPr>
            </w:pPr>
            <w:r>
              <w:rPr>
                <w:rFonts w:ascii="Arial" w:cs="Arial" w:eastAsia="Arial" w:hAnsi="Arial"/>
                <w:sz w:val="14"/>
                <w:szCs w:val="14"/>
                <w:b w:val="1"/>
                <w:bCs w:val="1"/>
                <w:color w:val="auto"/>
              </w:rPr>
              <w:t>Description</w:t>
            </w:r>
          </w:p>
        </w:tc>
        <w:tc>
          <w:tcPr>
            <w:tcW w:w="1460" w:type="dxa"/>
            <w:vAlign w:val="bottom"/>
            <w:gridSpan w:val="3"/>
          </w:tcPr>
          <w:p>
            <w:pPr>
              <w:ind w:left="280"/>
              <w:spacing w:after="0" w:line="129" w:lineRule="exact"/>
              <w:rPr>
                <w:sz w:val="20"/>
                <w:szCs w:val="20"/>
                <w:color w:val="auto"/>
              </w:rPr>
            </w:pPr>
            <w:r>
              <w:rPr>
                <w:rFonts w:ascii="Arial" w:cs="Arial" w:eastAsia="Arial" w:hAnsi="Arial"/>
                <w:sz w:val="14"/>
                <w:szCs w:val="14"/>
                <w:b w:val="1"/>
                <w:bCs w:val="1"/>
                <w:color w:val="auto"/>
              </w:rPr>
              <w:t>Filing</w:t>
            </w:r>
          </w:p>
        </w:tc>
        <w:tc>
          <w:tcPr>
            <w:tcW w:w="10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jc w:val="center"/>
              <w:ind w:left="52"/>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420" w:type="dxa"/>
            <w:vAlign w:val="bottom"/>
            <w:shd w:val="clear" w:color="auto" w:fill="CCEEFF"/>
          </w:tcPr>
          <w:p>
            <w:pPr>
              <w:spacing w:after="0"/>
              <w:rPr>
                <w:sz w:val="19"/>
                <w:szCs w:val="19"/>
                <w:color w:val="auto"/>
              </w:rPr>
            </w:pP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Certification of Chief Executive Officer pursuant to 18 U.S.C. Section 1350,</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19"/>
                <w:szCs w:val="19"/>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w w:val="98"/>
              </w:rPr>
              <w:t>Certification of Chief Financial Officer pursuant to 18 U.S.C. Section 1350,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as adopted pursuant to Section 302 of the Sarbanes-Oxley Act of 2002.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420" w:type="dxa"/>
            <w:vAlign w:val="bottom"/>
            <w:shd w:val="clear" w:color="auto" w:fill="CCEEFF"/>
          </w:tcPr>
          <w:p>
            <w:pPr>
              <w:spacing w:after="0"/>
              <w:rPr>
                <w:sz w:val="19"/>
                <w:szCs w:val="19"/>
                <w:color w:val="auto"/>
              </w:rPr>
            </w:pP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Certification of Chief Executive Officer and Chief Financial Officer pursuant</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6"/>
        </w:trPr>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 18 U.S.C. Section 1350, as adopted pursuant to Section 906 of the</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Sarbanes-Oxley Act of 2002.</w:t>
            </w:r>
          </w:p>
        </w:tc>
        <w:tc>
          <w:tcPr>
            <w:tcW w:w="2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Instance Document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Document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60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6080" w:type="dxa"/>
            <w:vAlign w:val="bottom"/>
            <w:gridSpan w:val="3"/>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9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60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Morici, certify that:</w:t>
      </w:r>
    </w:p>
    <w:p>
      <w:pPr>
        <w:spacing w:after="0" w:line="387"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F. Morici</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Joseph M. Hogan, certify, pursuant to 18 U.S.C. Section 1350, as adopted pursuant to Section 906 of the Sarbanes-Oxley Act of 2002, that the Quarterly Report of Align Technology, Inc. on Form 10-Q for the quarter ended March 31, 2017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8"/>
          <w:szCs w:val="18"/>
          <w:color w:val="auto"/>
        </w:rPr>
        <w:t>I, John F. Morici, certify, pursuant to 18 U.S.C. Section 1350, as adopted pursuant to Section 906 of the Sarbanes-Oxley Act of 2002, that the Quarterly Report of Align Technology, Inc. on Form 10-Q for the quarter ended March 31, 2017 fully complies with the requirements of Section 13(a) or 15(d) of the Securities Exchange Act of 1934 and that information contained in such Quarterly Report on Form 10-Q fairly presents in all material respects the financial condition and results of operations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JOHN F. MORICI</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John F. Morici</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May 4, 2017</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459"/>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1"/>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lvl w:ilvl="1">
      <w:lvlJc w:val="left"/>
      <w:lvlText w:val="◦"/>
      <w:numFmt w:val="bullet"/>
      <w:start w:val="1"/>
    </w:lvl>
  </w:abstractNum>
  <w:abstractNum w:abstractNumId="12">
    <w:nsid w:val="6763845E"/>
    <w:multiLevelType w:val="hybridMultilevel"/>
    <w:lvl w:ilvl="0">
      <w:lvlJc w:val="left"/>
      <w:lvlText w:val="•"/>
      <w:numFmt w:val="bullet"/>
      <w:start w:val="1"/>
    </w:lvl>
    <w:lvl w:ilvl="1">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2019-12-29T06:17:12Z</dcterms:created>
  <dcterms:modified xsi:type="dcterms:W3CDTF">2019-12-29T06:17:12Z</dcterms:modified>
</cp:coreProperties>
</file>