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erif" w:hAnsi="Times New Roman;serif"/>
          <w:b/>
          <w:color w:val="000000"/>
          <w:sz w:val="34"/>
        </w:rPr>
      </w:pPr>
      <w:r>
        <w:rPr>
          <w:rFonts w:ascii="Times New Roman;serif" w:hAnsi="Times New Roman;serif"/>
          <w:b/>
          <w:color w:val="000000"/>
          <w:sz w:val="34"/>
        </w:rPr>
        <w:t>UNITED STATES</w:t>
      </w:r>
    </w:p>
    <w:p>
      <w:pPr>
        <w:pStyle w:val="TextBody"/>
        <w:bidi w:val="0"/>
        <w:spacing w:lineRule="auto" w:line="288" w:before="0" w:after="0"/>
        <w:jc w:val="center"/>
        <w:rPr>
          <w:rFonts w:ascii="Times New Roman;serif" w:hAnsi="Times New Roman;serif"/>
          <w:b/>
          <w:color w:val="000000"/>
          <w:sz w:val="34"/>
        </w:rPr>
      </w:pPr>
      <w:r>
        <w:rPr>
          <w:rFonts w:ascii="Times New Roman;serif" w:hAnsi="Times New Roman;serif"/>
          <w:b/>
          <w:color w:val="000000"/>
          <w:sz w:val="34"/>
        </w:rPr>
        <w:t>SECURITIES AND EXCHANGE COMMISSION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Washington, D.C. 20549</w:t>
      </w:r>
    </w:p>
    <w:p>
      <w:pPr>
        <w:pStyle w:val="TextBody"/>
        <w:bidi w:val="0"/>
        <w:spacing w:lineRule="auto" w:line="288" w:before="0" w:after="0"/>
        <w:jc w:val="center"/>
        <w:rPr/>
      </w:pPr>
      <w:r>
        <w:rPr>
          <w:rFonts w:ascii="Times New Roman;serif" w:hAnsi="Times New Roman;serif"/>
          <w:b w:val="false"/>
          <w:color w:val="000000"/>
          <w:sz w:val="18"/>
        </w:rPr>
        <w:t>____________________________</w:t>
      </w:r>
      <w:r>
        <w:rPr>
          <w:color w:val="000000"/>
        </w:rPr>
        <w:t> </w:t>
      </w:r>
    </w:p>
    <w:p>
      <w:pPr>
        <w:pStyle w:val="TextBody"/>
        <w:bidi w:val="0"/>
        <w:spacing w:lineRule="auto" w:line="288" w:before="120" w:after="283"/>
        <w:jc w:val="center"/>
        <w:rPr>
          <w:rFonts w:ascii="Times New Roman;serif" w:hAnsi="Times New Roman;serif"/>
          <w:b/>
          <w:color w:val="000000"/>
          <w:sz w:val="34"/>
        </w:rPr>
      </w:pPr>
      <w:r>
        <w:rPr>
          <w:rFonts w:ascii="Times New Roman;serif" w:hAnsi="Times New Roman;serif"/>
          <w:b/>
          <w:color w:val="000000"/>
          <w:sz w:val="34"/>
        </w:rPr>
        <w:t xml:space="preserve">FORM 10-Q </w:t>
      </w:r>
    </w:p>
    <w:p>
      <w:pPr>
        <w:pStyle w:val="TextBody"/>
        <w:bidi w:val="0"/>
        <w:spacing w:lineRule="auto" w:line="288" w:before="0" w:after="120"/>
        <w:jc w:val="center"/>
        <w:rPr/>
      </w:pPr>
      <w:r>
        <w:rPr>
          <w:rFonts w:ascii="Times New Roman;serif" w:hAnsi="Times New Roman;serif"/>
          <w:b w:val="false"/>
          <w:color w:val="000000"/>
          <w:sz w:val="18"/>
        </w:rPr>
        <w:t>____________________________</w:t>
      </w:r>
      <w:r>
        <w:rPr>
          <w:color w:val="000000"/>
        </w:rPr>
        <w:t>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6"/>
        <w:gridCol w:w="2886"/>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2"/>
              </w:rPr>
            </w:pPr>
            <w:r>
              <w:rPr>
                <w:rFonts w:ascii="Times New Roman;serif" w:hAnsi="Times New Roman;serif"/>
                <w:b/>
                <w:color w:val="000000"/>
                <w:sz w:val="22"/>
              </w:rPr>
              <w:t>QUARTERLY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For the quarterly period ended March 31, 2026</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2"/>
              </w:rPr>
            </w:pPr>
            <w:r>
              <w:rPr>
                <w:rFonts w:ascii="Times New Roman;serif" w:hAnsi="Times New Roman;serif"/>
                <w:b/>
                <w:color w:val="000000"/>
                <w:sz w:val="22"/>
              </w:rPr>
              <w:t>TRANSITION REPORT PURSUANT TO SECTION 13 OR 15(d) OF THE SECURITIES EXCHANGE ACT OF 1934</w:t>
            </w:r>
          </w:p>
        </w:tc>
      </w:tr>
    </w:tbl>
    <w:p>
      <w:pPr>
        <w:pStyle w:val="TextBody"/>
        <w:bidi w:val="0"/>
        <w:spacing w:lineRule="auto" w:line="288" w:before="180" w:after="283"/>
        <w:jc w:val="center"/>
        <w:rPr>
          <w:rFonts w:ascii="Times New Roman;serif" w:hAnsi="Times New Roman;serif"/>
          <w:b/>
          <w:color w:val="000000"/>
          <w:sz w:val="18"/>
        </w:rPr>
      </w:pPr>
      <w:r>
        <w:rPr>
          <w:rFonts w:ascii="Times New Roman;serif" w:hAnsi="Times New Roman;serif"/>
          <w:b/>
          <w:color w:val="000000"/>
          <w:sz w:val="18"/>
        </w:rPr>
        <w:t>For the transition period from                     to</w:t>
      </w:r>
    </w:p>
    <w:p>
      <w:pPr>
        <w:pStyle w:val="TextBody"/>
        <w:bidi w:val="0"/>
        <w:spacing w:lineRule="auto" w:line="288" w:before="180" w:after="283"/>
        <w:jc w:val="center"/>
        <w:rPr>
          <w:rFonts w:ascii="Times New Roman;serif" w:hAnsi="Times New Roman;serif"/>
          <w:b/>
          <w:color w:val="000000"/>
          <w:sz w:val="18"/>
        </w:rPr>
      </w:pPr>
      <w:r>
        <w:rPr>
          <w:rFonts w:ascii="Times New Roman;serif" w:hAnsi="Times New Roman;serif"/>
          <w:b/>
          <w:color w:val="000000"/>
          <w:sz w:val="18"/>
        </w:rPr>
        <w:t>Commission File Number: 000-32259</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____________________________</w:t>
      </w:r>
    </w:p>
    <w:p>
      <w:pPr>
        <w:pStyle w:val="TextBody"/>
        <w:bidi w:val="0"/>
        <w:spacing w:lineRule="auto" w:line="288" w:before="0" w:after="0"/>
        <w:jc w:val="center"/>
        <w:rPr>
          <w:rFonts w:ascii="Times New Roman;serif" w:hAnsi="Times New Roman;serif"/>
          <w:b/>
          <w:color w:val="000000"/>
          <w:sz w:val="44"/>
        </w:rPr>
      </w:pPr>
      <w:r>
        <w:rPr>
          <w:rFonts w:ascii="Times New Roman;serif" w:hAnsi="Times New Roman;serif"/>
          <w:b/>
          <w:color w:val="000000"/>
          <w:sz w:val="44"/>
        </w:rPr>
        <w:t xml:space="preserve">ALIGN TECHNOLOGY, INC.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(Exact name of registrant as specified in its charter)</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____________________________ </w:t>
      </w:r>
    </w:p>
    <w:tbl>
      <w:tblPr>
        <w:tblW w:w="4005" w:type="dxa"/>
        <w:jc w:val="center"/>
        <w:tblInd w:w="0" w:type="dxa"/>
        <w:tblLayout w:type="fixed"/>
        <w:tblCellMar>
          <w:top w:w="28" w:type="dxa"/>
          <w:left w:w="28" w:type="dxa"/>
          <w:bottom w:w="28" w:type="dxa"/>
          <w:right w:w="28" w:type="dxa"/>
        </w:tblCellMar>
      </w:tblPr>
      <w:tblGrid>
        <w:gridCol w:w="883"/>
        <w:gridCol w:w="779"/>
        <w:gridCol w:w="783"/>
        <w:gridCol w:w="455"/>
        <w:gridCol w:w="455"/>
        <w:gridCol w:w="650"/>
      </w:tblGrid>
      <w:tr>
        <w:trPr/>
        <w:tc>
          <w:tcPr>
            <w:tcW w:w="883"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Delaware</w:t>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94-3267295</w:t>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(State or other jurisdiction of</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incorporation or organization)</w:t>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(I.R.S. Employer</w:t>
              <w:br/>
              <w:t>Identification No.)</w:t>
            </w:r>
          </w:p>
        </w:tc>
      </w:tr>
    </w:tbl>
    <w:p>
      <w:pPr>
        <w:pStyle w:val="TextBody"/>
        <w:bidi w:val="0"/>
        <w:spacing w:lineRule="auto" w:line="288" w:before="160" w:after="283"/>
        <w:jc w:val="center"/>
        <w:rPr>
          <w:rFonts w:ascii="Times New Roman;serif" w:hAnsi="Times New Roman;serif"/>
          <w:b/>
          <w:color w:val="000000"/>
          <w:sz w:val="18"/>
        </w:rPr>
      </w:pPr>
      <w:r>
        <w:rPr>
          <w:rFonts w:ascii="Times New Roman;serif" w:hAnsi="Times New Roman;serif"/>
          <w:b/>
          <w:color w:val="000000"/>
          <w:sz w:val="18"/>
        </w:rPr>
        <w:t xml:space="preserve">410 North Scottsdale Road, Suite 1300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Tempe, Arizona 85288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(Address of principal executive offices) (Zip Code)</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(602) 742-2000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(Registrant’s telephone number, including area code)</w:t>
      </w:r>
    </w:p>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18"/>
        </w:rPr>
        <w:t>____________________________</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Securities registered pursuant to Section 12(b) of the Act:</w:t>
      </w:r>
    </w:p>
    <w:tbl>
      <w:tblPr>
        <w:tblW w:w="7407" w:type="dxa"/>
        <w:jc w:val="center"/>
        <w:tblInd w:w="0" w:type="dxa"/>
        <w:tblLayout w:type="fixed"/>
        <w:tblCellMar>
          <w:top w:w="28" w:type="dxa"/>
          <w:left w:w="28" w:type="dxa"/>
          <w:bottom w:w="28" w:type="dxa"/>
          <w:right w:w="28" w:type="dxa"/>
        </w:tblCellMar>
      </w:tblPr>
      <w:tblGrid>
        <w:gridCol w:w="954"/>
        <w:gridCol w:w="837"/>
        <w:gridCol w:w="848"/>
        <w:gridCol w:w="484"/>
        <w:gridCol w:w="484"/>
        <w:gridCol w:w="486"/>
        <w:gridCol w:w="970"/>
        <w:gridCol w:w="970"/>
        <w:gridCol w:w="1374"/>
      </w:tblGrid>
      <w:tr>
        <w:trPr/>
        <w:tc>
          <w:tcPr>
            <w:tcW w:w="95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 Symbol(s)</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 $0.0001 par value</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ALGN</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The NASDAQ Stock Market LLC</w:t>
            </w:r>
          </w:p>
        </w:tc>
      </w:tr>
      <w:tr>
        <w:trPr/>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(NASDAQ Global Select Market)</w:t>
            </w:r>
          </w:p>
        </w:tc>
      </w:tr>
    </w:tbl>
    <w:p>
      <w:pPr>
        <w:pStyle w:val="TextBody"/>
        <w:bidi w:val="0"/>
        <w:spacing w:lineRule="auto" w:line="288" w:before="40" w:after="283"/>
        <w:ind w:left="0" w:right="0" w:firstLine="495"/>
        <w:jc w:val="both"/>
        <w:rPr/>
      </w:pPr>
      <w:r>
        <w:rPr>
          <w:rFonts w:ascii="Times New Roman;serif" w:hAnsi="Times New Roman;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erif" w:hAnsi="Times New Roman;serif"/>
          <w:b w:val="false"/>
          <w:color w:val="000000"/>
          <w:sz w:val="18"/>
        </w:rPr>
        <w:t>No  </w:t>
      </w:r>
      <w:r>
        <w:rPr>
          <w:color w:val="000000"/>
        </w:rPr>
        <w:t>☐</w:t>
      </w:r>
    </w:p>
    <w:p>
      <w:pPr>
        <w:pStyle w:val="TextBody"/>
        <w:bidi w:val="0"/>
        <w:spacing w:lineRule="auto" w:line="288" w:before="40" w:after="283"/>
        <w:ind w:left="0" w:right="0" w:firstLine="495"/>
        <w:jc w:val="both"/>
        <w:rPr/>
      </w:pPr>
      <w:r>
        <w:rPr>
          <w:rFonts w:ascii="Times New Roman;serif" w:hAnsi="Times New Roman;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Times New Roman;serif" w:hAnsi="Times New Roman;serif"/>
          <w:b w:val="false"/>
          <w:color w:val="000000"/>
          <w:sz w:val="18"/>
        </w:rPr>
        <w:t>No  </w:t>
      </w:r>
      <w:r>
        <w:rPr>
          <w:color w:val="000000"/>
        </w:rPr>
        <w:t>☐</w:t>
      </w:r>
    </w:p>
    <w:p>
      <w:pPr>
        <w:pStyle w:val="TextBody"/>
        <w:bidi w:val="0"/>
        <w:spacing w:lineRule="auto" w:line="288" w:before="40" w:after="283"/>
        <w:ind w:left="0" w:right="0" w:firstLine="495"/>
        <w:jc w:val="both"/>
        <w:rPr>
          <w:rFonts w:ascii="Times New Roman;serif" w:hAnsi="Times New Roman;serif"/>
          <w:b w:val="false"/>
          <w:color w:val="000000"/>
          <w:sz w:val="18"/>
        </w:rPr>
      </w:pPr>
      <w:r>
        <w:rPr>
          <w:rFonts w:ascii="Times New Roman;serif" w:hAnsi="Times New Roman;serif"/>
          <w:b w:val="false"/>
          <w:color w:val="000000"/>
          <w:sz w:val="18"/>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10205" w:type="dxa"/>
        <w:jc w:val="left"/>
        <w:tblInd w:w="0" w:type="dxa"/>
        <w:tblLayout w:type="fixed"/>
        <w:tblCellMar>
          <w:top w:w="28" w:type="dxa"/>
          <w:left w:w="28" w:type="dxa"/>
          <w:bottom w:w="28" w:type="dxa"/>
          <w:right w:w="28" w:type="dxa"/>
        </w:tblCellMar>
      </w:tblPr>
      <w:tblGrid>
        <w:gridCol w:w="1579"/>
        <w:gridCol w:w="1300"/>
        <w:gridCol w:w="1251"/>
        <w:gridCol w:w="242"/>
        <w:gridCol w:w="242"/>
        <w:gridCol w:w="242"/>
        <w:gridCol w:w="1502"/>
        <w:gridCol w:w="1502"/>
        <w:gridCol w:w="1511"/>
        <w:gridCol w:w="242"/>
        <w:gridCol w:w="242"/>
        <w:gridCol w:w="350"/>
      </w:tblGrid>
      <w:tr>
        <w:trPr/>
        <w:tc>
          <w:tcPr>
            <w:tcW w:w="1579"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502" w:type="dxa"/>
            <w:tcBorders/>
            <w:vAlign w:val="center"/>
          </w:tcPr>
          <w:p>
            <w:pPr>
              <w:pStyle w:val="TableContents"/>
              <w:bidi w:val="0"/>
              <w:spacing w:before="0" w:after="283"/>
              <w:jc w:val="left"/>
              <w:rPr>
                <w:sz w:val="4"/>
                <w:szCs w:val="4"/>
              </w:rPr>
            </w:pPr>
            <w:r>
              <w:rPr>
                <w:sz w:val="4"/>
                <w:szCs w:val="4"/>
              </w:rPr>
            </w:r>
          </w:p>
        </w:tc>
        <w:tc>
          <w:tcPr>
            <w:tcW w:w="1502"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r>
      <w:tr>
        <w:trPr/>
        <w:tc>
          <w:tcPr>
            <w:tcW w:w="4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45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8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4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45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8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4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4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c>
      </w:tr>
    </w:tbl>
    <w:p>
      <w:pPr>
        <w:pStyle w:val="TextBody"/>
        <w:bidi w:val="0"/>
        <w:spacing w:lineRule="auto" w:line="288" w:before="180" w:after="283"/>
        <w:ind w:left="0" w:right="0" w:firstLine="495"/>
        <w:jc w:val="left"/>
        <w:rPr/>
      </w:pPr>
      <w:r>
        <w:rPr>
          <w:rFonts w:ascii="Times New Roman;serif" w:hAnsi="Times New Roman;serif"/>
          <w:b w:val="false"/>
          <w:color w:val="000000"/>
          <w:sz w:val="18"/>
        </w:rPr>
        <w:t>I</w:t>
      </w:r>
      <w:r>
        <w:rPr>
          <w:rFonts w:ascii="Times New Roman;serif" w:hAnsi="Times New Roman;serif"/>
          <w:b w:val="false"/>
          <w:color w:val="000000"/>
          <w:sz w:val="16"/>
        </w:rPr>
        <w:t>ndicate by check mark whether the registrant is a shell company (as defined in Rule 12b-2 of the Exchange Act).    Yes  </w:t>
      </w:r>
      <w:r>
        <w:rPr>
          <w:color w:val="000000"/>
        </w:rPr>
        <w:t>☐    </w:t>
      </w:r>
      <w:r>
        <w:rPr>
          <w:rFonts w:ascii="Times New Roman;serif" w:hAnsi="Times New Roman;serif"/>
          <w:b w:val="false"/>
          <w:color w:val="000000"/>
          <w:sz w:val="16"/>
        </w:rPr>
        <w:t>No </w:t>
      </w:r>
      <w:r>
        <w:rPr>
          <w:color w:val="000000"/>
        </w:rPr>
        <w:t>☒</w:t>
      </w:r>
    </w:p>
    <w:p>
      <w:pPr>
        <w:pStyle w:val="TextBody"/>
        <w:bidi w:val="0"/>
        <w:spacing w:lineRule="auto" w:line="288" w:before="180" w:after="283"/>
        <w:ind w:left="0" w:right="0" w:firstLine="495"/>
        <w:jc w:val="left"/>
        <w:rPr>
          <w:rFonts w:ascii="Times New Roman;serif" w:hAnsi="Times New Roman;serif"/>
          <w:b w:val="false"/>
          <w:color w:val="000000"/>
          <w:sz w:val="16"/>
        </w:rPr>
      </w:pPr>
      <w:r>
        <w:rPr>
          <w:rFonts w:ascii="Times New Roman;serif" w:hAnsi="Times New Roman;serif"/>
          <w:b w:val="false"/>
          <w:color w:val="000000"/>
          <w:sz w:val="16"/>
        </w:rPr>
        <w:t>As of May 1, 2026, the number of shares outstanding of the registrant’s Common Stock, $0.0001 par value, was 71,618,127.</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46685"/>
                <wp:effectExtent l="0" t="0" r="0" b="0"/>
                <wp:wrapNone/>
                <wp:docPr id="1" name="Frame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1 </w:t>
                      </w:r>
                    </w:p>
                  </w:txbxContent>
                </v:textbox>
                <w10:wrap type="none"/>
              </v:rect>
            </w:pict>
          </mc:Fallback>
        </mc:AlternateContent>
      </w:r>
    </w:p>
    <w:p>
      <w:pPr>
        <w:pStyle w:val="TextBody"/>
        <w:bidi w:val="0"/>
        <w:spacing w:lineRule="auto" w:line="288" w:before="0" w:after="0"/>
        <w:jc w:val="left"/>
        <w:rPr/>
      </w:pPr>
      <w:hyperlink w:anchor="i7a02b169d6be4765847899a2d1aa61f4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before="180" w:after="283"/>
        <w:jc w:val="center"/>
        <w:rPr/>
      </w:pPr>
      <w:r>
        <w:rPr/>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ALIGN TECHNOLOGY, INC.</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lineRule="auto" w:line="288" w:before="0" w:after="0"/>
        <w:jc w:val="left"/>
        <w:rPr>
          <w:color w:val="000000"/>
        </w:rPr>
      </w:pPr>
      <w:r>
        <w:rPr>
          <w:color w:val="000000"/>
        </w:rPr>
        <w:t> </w:t>
      </w:r>
    </w:p>
    <w:tbl>
      <w:tblPr>
        <w:tblW w:w="8547" w:type="dxa"/>
        <w:jc w:val="left"/>
        <w:tblInd w:w="0" w:type="dxa"/>
        <w:tblLayout w:type="fixed"/>
        <w:tblCellMar>
          <w:top w:w="28" w:type="dxa"/>
          <w:left w:w="28" w:type="dxa"/>
          <w:bottom w:w="28" w:type="dxa"/>
          <w:right w:w="28" w:type="dxa"/>
        </w:tblCellMar>
      </w:tblPr>
      <w:tblGrid>
        <w:gridCol w:w="292"/>
        <w:gridCol w:w="257"/>
        <w:gridCol w:w="262"/>
        <w:gridCol w:w="2453"/>
        <w:gridCol w:w="2453"/>
        <w:gridCol w:w="2458"/>
        <w:gridCol w:w="109"/>
        <w:gridCol w:w="109"/>
        <w:gridCol w:w="154"/>
      </w:tblGrid>
      <w:tr>
        <w:trPr/>
        <w:tc>
          <w:tcPr>
            <w:tcW w:w="292"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453" w:type="dxa"/>
            <w:tcBorders/>
            <w:vAlign w:val="center"/>
          </w:tcPr>
          <w:p>
            <w:pPr>
              <w:pStyle w:val="TableContents"/>
              <w:bidi w:val="0"/>
              <w:spacing w:before="0" w:after="283"/>
              <w:jc w:val="left"/>
              <w:rPr>
                <w:sz w:val="4"/>
                <w:szCs w:val="4"/>
              </w:rPr>
            </w:pPr>
            <w:r>
              <w:rPr>
                <w:sz w:val="4"/>
                <w:szCs w:val="4"/>
              </w:rPr>
            </w:r>
          </w:p>
        </w:tc>
        <w:tc>
          <w:tcPr>
            <w:tcW w:w="2453" w:type="dxa"/>
            <w:tcBorders/>
            <w:vAlign w:val="center"/>
          </w:tcPr>
          <w:p>
            <w:pPr>
              <w:pStyle w:val="TableContents"/>
              <w:bidi w:val="0"/>
              <w:spacing w:before="0" w:after="283"/>
              <w:jc w:val="left"/>
              <w:rPr>
                <w:sz w:val="4"/>
                <w:szCs w:val="4"/>
              </w:rPr>
            </w:pPr>
            <w:r>
              <w:rPr>
                <w:sz w:val="4"/>
                <w:szCs w:val="4"/>
              </w:rPr>
            </w:r>
          </w:p>
        </w:tc>
        <w:tc>
          <w:tcPr>
            <w:tcW w:w="24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PART I</w:t>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a02b169d6be4765847899a2d1aa61f4_10">
              <w:r>
                <w:rPr>
                  <w:rStyle w:val="InternetLink"/>
                  <w:rFonts w:ascii="Times New Roman;serif" w:hAnsi="Times New Roman;serif"/>
                  <w:b w:val="false"/>
                  <w:color w:val="0000FF"/>
                  <w:sz w:val="20"/>
                  <w:u w:val="single"/>
                </w:rPr>
                <w:t>FINANCIAL INFORMATION</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a02b169d6be4765847899a2d1aa61f4_10">
              <w:r>
                <w:rPr>
                  <w:rStyle w:val="InternetLink"/>
                  <w:rFonts w:ascii="Times New Roman;serif" w:hAnsi="Times New Roman;serif"/>
                  <w:b w:val="false"/>
                  <w:color w:val="0000FF"/>
                  <w:sz w:val="20"/>
                  <w:u w:val="single"/>
                </w:rPr>
                <w:t>3</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a02b169d6be4765847899a2d1aa61f4_13">
              <w:r>
                <w:rPr>
                  <w:rStyle w:val="InternetLink"/>
                  <w:rFonts w:ascii="Times New Roman;serif" w:hAnsi="Times New Roman;serif"/>
                  <w:b w:val="false"/>
                  <w:color w:val="0000FF"/>
                  <w:sz w:val="20"/>
                  <w:u w:val="single"/>
                </w:rPr>
                <w:t>Financial Statements (Unaudited):</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a02b169d6be4765847899a2d1aa61f4_13">
              <w:r>
                <w:rPr>
                  <w:rStyle w:val="InternetLink"/>
                  <w:rFonts w:ascii="Times New Roman;serif" w:hAnsi="Times New Roman;serif"/>
                  <w:b w:val="false"/>
                  <w:color w:val="0000FF"/>
                  <w:sz w:val="20"/>
                  <w:u w:val="single"/>
                </w:rPr>
                <w:t>3</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a02b169d6be4765847899a2d1aa61f4_16">
              <w:r>
                <w:rPr>
                  <w:rStyle w:val="InternetLink"/>
                  <w:rFonts w:ascii="Times New Roman;serif" w:hAnsi="Times New Roman;serif"/>
                  <w:b w:val="false"/>
                  <w:color w:val="0000FF"/>
                  <w:sz w:val="20"/>
                  <w:u w:val="single"/>
                </w:rPr>
                <w:t>Condensed Consolidated Statements of Operations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a02b169d6be4765847899a2d1aa61f4_16">
              <w:r>
                <w:rPr>
                  <w:rStyle w:val="InternetLink"/>
                  <w:rFonts w:ascii="Times New Roman;serif" w:hAnsi="Times New Roman;serif"/>
                  <w:b w:val="false"/>
                  <w:color w:val="0000FF"/>
                  <w:sz w:val="20"/>
                  <w:u w:val="single"/>
                </w:rPr>
                <w:t>3</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a02b169d6be4765847899a2d1aa61f4_19">
              <w:r>
                <w:rPr>
                  <w:rStyle w:val="InternetLink"/>
                  <w:rFonts w:ascii="Times New Roman;serif" w:hAnsi="Times New Roman;serif"/>
                  <w:b w:val="false"/>
                  <w:color w:val="0000FF"/>
                  <w:sz w:val="20"/>
                  <w:u w:val="single"/>
                </w:rPr>
                <w:t xml:space="preserve">Condensed Consolidated Statements of Comprehensive Income </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a02b169d6be4765847899a2d1aa61f4_19">
              <w:r>
                <w:rPr>
                  <w:rStyle w:val="InternetLink"/>
                  <w:rFonts w:ascii="Times New Roman;serif" w:hAnsi="Times New Roman;serif"/>
                  <w:b w:val="false"/>
                  <w:color w:val="0000FF"/>
                  <w:sz w:val="20"/>
                  <w:u w:val="single"/>
                </w:rPr>
                <w:t>4</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a02b169d6be4765847899a2d1aa61f4_22">
              <w:r>
                <w:rPr>
                  <w:rStyle w:val="InternetLink"/>
                  <w:rFonts w:ascii="Times New Roman;serif" w:hAnsi="Times New Roman;serif"/>
                  <w:b w:val="false"/>
                  <w:color w:val="0000FF"/>
                  <w:sz w:val="20"/>
                  <w:u w:val="single"/>
                </w:rPr>
                <w:t>Condensed Consolidated Balance Sheets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a02b169d6be4765847899a2d1aa61f4_22">
              <w:r>
                <w:rPr>
                  <w:rStyle w:val="InternetLink"/>
                  <w:rFonts w:ascii="Times New Roman;serif" w:hAnsi="Times New Roman;serif"/>
                  <w:b w:val="false"/>
                  <w:color w:val="0000FF"/>
                  <w:sz w:val="20"/>
                  <w:u w:val="single"/>
                </w:rPr>
                <w:t>5</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a02b169d6be4765847899a2d1aa61f4_25">
              <w:r>
                <w:rPr>
                  <w:rStyle w:val="InternetLink"/>
                  <w:rFonts w:ascii="Times New Roman;serif" w:hAnsi="Times New Roman;serif"/>
                  <w:b w:val="false"/>
                  <w:color w:val="0000FF"/>
                  <w:sz w:val="20"/>
                  <w:u w:val="single"/>
                </w:rPr>
                <w:t>Condensed Consolidated Statements of Stockholders’ Equity</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a02b169d6be4765847899a2d1aa61f4_25">
              <w:r>
                <w:rPr>
                  <w:rStyle w:val="InternetLink"/>
                  <w:rFonts w:ascii="Times New Roman;serif" w:hAnsi="Times New Roman;serif"/>
                  <w:b w:val="false"/>
                  <w:color w:val="0000FF"/>
                  <w:sz w:val="20"/>
                  <w:u w:val="single"/>
                </w:rPr>
                <w:t>6</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a02b169d6be4765847899a2d1aa61f4_28">
              <w:r>
                <w:rPr>
                  <w:rStyle w:val="InternetLink"/>
                  <w:rFonts w:ascii="Times New Roman;serif" w:hAnsi="Times New Roman;serif"/>
                  <w:b w:val="false"/>
                  <w:color w:val="0000FF"/>
                  <w:sz w:val="20"/>
                  <w:u w:val="single"/>
                </w:rPr>
                <w:t>Condensed Consolidated Statements of Cash Flows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a02b169d6be4765847899a2d1aa61f4_28">
              <w:r>
                <w:rPr>
                  <w:rStyle w:val="InternetLink"/>
                  <w:rFonts w:ascii="Times New Roman;serif" w:hAnsi="Times New Roman;serif"/>
                  <w:b w:val="false"/>
                  <w:color w:val="0000FF"/>
                  <w:sz w:val="20"/>
                  <w:u w:val="single"/>
                </w:rPr>
                <w:t>7</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a02b169d6be4765847899a2d1aa61f4_31">
              <w:r>
                <w:rPr>
                  <w:rStyle w:val="InternetLink"/>
                  <w:rFonts w:ascii="Times New Roman;serif" w:hAnsi="Times New Roman;serif"/>
                  <w:b w:val="false"/>
                  <w:color w:val="0000FF"/>
                  <w:sz w:val="20"/>
                  <w:u w:val="single"/>
                </w:rPr>
                <w:t>Notes to Condensed Consolidated Financial Statements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a02b169d6be4765847899a2d1aa61f4_31">
              <w:r>
                <w:rPr>
                  <w:rStyle w:val="InternetLink"/>
                  <w:rFonts w:ascii="Times New Roman;serif" w:hAnsi="Times New Roman;serif"/>
                  <w:b w:val="false"/>
                  <w:color w:val="0000FF"/>
                  <w:sz w:val="20"/>
                  <w:u w:val="single"/>
                </w:rPr>
                <w:t>8</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a02b169d6be4765847899a2d1aa61f4_85">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a02b169d6be4765847899a2d1aa61f4_91">
              <w:r>
                <w:rPr>
                  <w:rStyle w:val="InternetLink"/>
                  <w:rFonts w:ascii="Times New Roman;serif" w:hAnsi="Times New Roman;serif"/>
                  <w:b w:val="false"/>
                  <w:color w:val="0000FF"/>
                  <w:sz w:val="20"/>
                  <w:u w:val="single"/>
                </w:rPr>
                <w:t>27</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a02b169d6be4765847899a2d1aa61f4_130">
              <w:r>
                <w:rPr>
                  <w:rStyle w:val="InternetLink"/>
                  <w:rFonts w:ascii="Times New Roman;serif" w:hAnsi="Times New Roman;serif"/>
                  <w:b w:val="false"/>
                  <w:color w:val="0000FF"/>
                  <w:sz w:val="20"/>
                  <w:u w:val="single"/>
                </w:rPr>
                <w:t>Quantitative and Qualitative Disclosures About Market Risk</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a02b169d6be4765847899a2d1aa61f4_130">
              <w:r>
                <w:rPr>
                  <w:rStyle w:val="InternetLink"/>
                  <w:rFonts w:ascii="Times New Roman;serif" w:hAnsi="Times New Roman;serif"/>
                  <w:b w:val="false"/>
                  <w:color w:val="0000FF"/>
                  <w:sz w:val="20"/>
                  <w:u w:val="single"/>
                </w:rPr>
                <w:t>36</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a02b169d6be4765847899a2d1aa61f4_133">
              <w:r>
                <w:rPr>
                  <w:rStyle w:val="InternetLink"/>
                  <w:rFonts w:ascii="Times New Roman;serif" w:hAnsi="Times New Roman;serif"/>
                  <w:b w:val="false"/>
                  <w:color w:val="0000FF"/>
                  <w:sz w:val="20"/>
                  <w:u w:val="single"/>
                </w:rPr>
                <w:t>Controls and Procedures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a02b169d6be4765847899a2d1aa61f4_133">
              <w:r>
                <w:rPr>
                  <w:rStyle w:val="InternetLink"/>
                  <w:rFonts w:ascii="Times New Roman;serif" w:hAnsi="Times New Roman;serif"/>
                  <w:b w:val="false"/>
                  <w:color w:val="0000FF"/>
                  <w:sz w:val="20"/>
                  <w:u w:val="single"/>
                </w:rPr>
                <w:t>37</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PART II</w:t>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a02b169d6be4765847899a2d1aa61f4_136">
              <w:r>
                <w:rPr>
                  <w:rStyle w:val="InternetLink"/>
                  <w:rFonts w:ascii="Times New Roman;serif" w:hAnsi="Times New Roman;serif"/>
                  <w:b w:val="false"/>
                  <w:color w:val="0000FF"/>
                  <w:sz w:val="20"/>
                  <w:u w:val="single"/>
                </w:rPr>
                <w:t>OTHER INFORMATION</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a02b169d6be4765847899a2d1aa61f4_136">
              <w:r>
                <w:rPr>
                  <w:rStyle w:val="InternetLink"/>
                  <w:rFonts w:ascii="Times New Roman;serif" w:hAnsi="Times New Roman;serif"/>
                  <w:b w:val="false"/>
                  <w:color w:val="0000FF"/>
                  <w:sz w:val="20"/>
                  <w:u w:val="single"/>
                </w:rPr>
                <w:t>37</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a02b169d6be4765847899a2d1aa61f4_139">
              <w:r>
                <w:rPr>
                  <w:rStyle w:val="InternetLink"/>
                  <w:rFonts w:ascii="Times New Roman;serif" w:hAnsi="Times New Roman;serif"/>
                  <w:b w:val="false"/>
                  <w:color w:val="0000FF"/>
                  <w:sz w:val="20"/>
                  <w:u w:val="single"/>
                </w:rPr>
                <w:t>Legal Proceedings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a02b169d6be4765847899a2d1aa61f4_139">
              <w:r>
                <w:rPr>
                  <w:rStyle w:val="InternetLink"/>
                  <w:rFonts w:ascii="Times New Roman;serif" w:hAnsi="Times New Roman;serif"/>
                  <w:b w:val="false"/>
                  <w:color w:val="0000FF"/>
                  <w:sz w:val="20"/>
                  <w:u w:val="single"/>
                </w:rPr>
                <w:t>37</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1A.</w:t>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a02b169d6be4765847899a2d1aa61f4_142">
              <w:r>
                <w:rPr>
                  <w:rStyle w:val="InternetLink"/>
                  <w:rFonts w:ascii="Times New Roman;serif" w:hAnsi="Times New Roman;serif"/>
                  <w:b w:val="false"/>
                  <w:color w:val="0000FF"/>
                  <w:sz w:val="20"/>
                  <w:u w:val="single"/>
                </w:rPr>
                <w:t>Risk Factors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a02b169d6be4765847899a2d1aa61f4_142">
              <w:r>
                <w:rPr>
                  <w:rStyle w:val="InternetLink"/>
                  <w:rFonts w:ascii="Times New Roman;serif" w:hAnsi="Times New Roman;serif"/>
                  <w:b w:val="false"/>
                  <w:color w:val="0000FF"/>
                  <w:sz w:val="20"/>
                  <w:u w:val="single"/>
                </w:rPr>
                <w:t>38</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a02b169d6be4765847899a2d1aa61f4_145">
              <w:r>
                <w:rPr>
                  <w:rStyle w:val="InternetLink"/>
                  <w:rFonts w:ascii="Times New Roman;serif" w:hAnsi="Times New Roman;serif"/>
                  <w:b w:val="false"/>
                  <w:color w:val="0000FF"/>
                  <w:sz w:val="20"/>
                  <w:u w:val="single"/>
                </w:rPr>
                <w:t>Unregistered Sales of Equity Securities and Use of Proceeds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a02b169d6be4765847899a2d1aa61f4_145">
              <w:r>
                <w:rPr>
                  <w:rStyle w:val="InternetLink"/>
                  <w:rFonts w:ascii="Times New Roman;serif" w:hAnsi="Times New Roman;serif"/>
                  <w:b w:val="false"/>
                  <w:color w:val="0000FF"/>
                  <w:sz w:val="20"/>
                  <w:u w:val="single"/>
                </w:rPr>
                <w:t>52</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a02b169d6be4765847899a2d1aa61f4_148">
              <w:r>
                <w:rPr>
                  <w:rStyle w:val="InternetLink"/>
                  <w:rFonts w:ascii="Times New Roman;serif" w:hAnsi="Times New Roman;serif"/>
                  <w:b w:val="false"/>
                  <w:color w:val="0000FF"/>
                  <w:sz w:val="20"/>
                  <w:u w:val="single"/>
                </w:rPr>
                <w:t>Defaults Upon Senior Securities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a02b169d6be4765847899a2d1aa61f4_148">
              <w:r>
                <w:rPr>
                  <w:rStyle w:val="InternetLink"/>
                  <w:rFonts w:ascii="Times New Roman;serif" w:hAnsi="Times New Roman;serif"/>
                  <w:b w:val="false"/>
                  <w:color w:val="0000FF"/>
                  <w:sz w:val="20"/>
                  <w:u w:val="single"/>
                </w:rPr>
                <w:t>52</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a02b169d6be4765847899a2d1aa61f4_151">
              <w:r>
                <w:rPr>
                  <w:rStyle w:val="InternetLink"/>
                  <w:rFonts w:ascii="Times New Roman;serif" w:hAnsi="Times New Roman;serif"/>
                  <w:b w:val="false"/>
                  <w:color w:val="0000FF"/>
                  <w:sz w:val="20"/>
                  <w:u w:val="single"/>
                </w:rPr>
                <w:t>Mine Safety Disclosures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a02b169d6be4765847899a2d1aa61f4_151">
              <w:r>
                <w:rPr>
                  <w:rStyle w:val="InternetLink"/>
                  <w:rFonts w:ascii="Times New Roman;serif" w:hAnsi="Times New Roman;serif"/>
                  <w:b w:val="false"/>
                  <w:color w:val="0000FF"/>
                  <w:sz w:val="20"/>
                  <w:u w:val="single"/>
                </w:rPr>
                <w:t>52</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5.</w:t>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a02b169d6be4765847899a2d1aa61f4_154">
              <w:r>
                <w:rPr>
                  <w:rStyle w:val="InternetLink"/>
                  <w:rFonts w:ascii="Times New Roman;serif" w:hAnsi="Times New Roman;serif"/>
                  <w:b w:val="false"/>
                  <w:color w:val="0000FF"/>
                  <w:sz w:val="20"/>
                  <w:u w:val="single"/>
                </w:rPr>
                <w:t>Other Information</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a02b169d6be4765847899a2d1aa61f4_154">
              <w:r>
                <w:rPr>
                  <w:rStyle w:val="InternetLink"/>
                  <w:rFonts w:ascii="Times New Roman;serif" w:hAnsi="Times New Roman;serif"/>
                  <w:b w:val="false"/>
                  <w:color w:val="0000FF"/>
                  <w:sz w:val="20"/>
                  <w:u w:val="single"/>
                </w:rPr>
                <w:t>52</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6.</w:t>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a02b169d6be4765847899a2d1aa61f4_157">
              <w:r>
                <w:rPr>
                  <w:rStyle w:val="InternetLink"/>
                  <w:rFonts w:ascii="Times New Roman;serif" w:hAnsi="Times New Roman;serif"/>
                  <w:b w:val="false"/>
                  <w:color w:val="0000FF"/>
                  <w:sz w:val="20"/>
                  <w:u w:val="single"/>
                </w:rPr>
                <w:t>Exhibits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a02b169d6be4765847899a2d1aa61f4_157">
              <w:r>
                <w:rPr>
                  <w:rStyle w:val="InternetLink"/>
                  <w:rFonts w:ascii="Times New Roman;serif" w:hAnsi="Times New Roman;serif"/>
                  <w:b w:val="false"/>
                  <w:color w:val="0000FF"/>
                  <w:sz w:val="20"/>
                  <w:u w:val="single"/>
                </w:rPr>
                <w:t>53</w:t>
              </w:r>
            </w:hyperlink>
          </w:p>
        </w:tc>
      </w:tr>
      <w:tr>
        <w:trPr/>
        <w:tc>
          <w:tcPr>
            <w:tcW w:w="8175"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7a02b169d6be4765847899a2d1aa61f4_160">
              <w:r>
                <w:rPr>
                  <w:rStyle w:val="InternetLink"/>
                  <w:rFonts w:ascii="Times New Roman;serif" w:hAnsi="Times New Roman;serif"/>
                  <w:b w:val="false"/>
                  <w:color w:val="0000FF"/>
                  <w:sz w:val="20"/>
                  <w:u w:val="single"/>
                </w:rPr>
                <w:t>Signatures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a02b169d6be4765847899a2d1aa61f4_160">
              <w:r>
                <w:rPr>
                  <w:rStyle w:val="InternetLink"/>
                  <w:rFonts w:ascii="Times New Roman;serif" w:hAnsi="Times New Roman;serif"/>
                  <w:b w:val="false"/>
                  <w:color w:val="0000FF"/>
                  <w:sz w:val="20"/>
                  <w:u w:val="single"/>
                </w:rPr>
                <w:t>54</w:t>
              </w:r>
            </w:hyperlink>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Invisalign, Align, the Invisalign logo, ClinCheck, Invisalign Assist, Invisalign First, Invisalign Go, the Invisalign sonic logo, Vivera, SmartForce, SmartTrack, SmartStage, SmileView, iTero, iTero Element, iTero Lumina, Orthocad, exocad, Align Digital Platform, Align Oral Health Suite, Invisalign Smile Architect, Smile Architect, iTero exocad Connector, exocad Dental CAD, and Cubicure, among others, are trademarks and/or service marks of Align Technology, Inc. or one of its subsidiaries or affiliated companies and may be registered in the United States and/or other countries.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2 </w:t>
                      </w:r>
                    </w:p>
                  </w:txbxContent>
                </v:textbox>
                <w10:wrap type="none"/>
              </v:rect>
            </w:pict>
          </mc:Fallback>
        </mc:AlternateContent>
      </w:r>
    </w:p>
    <w:p>
      <w:pPr>
        <w:pStyle w:val="TextBody"/>
        <w:bidi w:val="0"/>
        <w:spacing w:lineRule="auto" w:line="288" w:before="0" w:after="0"/>
        <w:jc w:val="left"/>
        <w:rPr/>
      </w:pPr>
      <w:hyperlink w:anchor="i7a02b169d6be4765847899a2d1aa61f4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I—FINANCIAL INFORMATION</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shd w:fill="FFFFFF" w:val="clear"/>
        </w:rPr>
        <w:t>Item 1.</w:t>
      </w:r>
      <w:r>
        <w:rPr>
          <w:color w:val="000000"/>
        </w:rPr>
        <w:t>        </w:t>
      </w:r>
      <w:r>
        <w:rPr>
          <w:rFonts w:ascii="Times New Roman;serif" w:hAnsi="Times New Roman;serif"/>
          <w:b/>
          <w:color w:val="000000"/>
          <w:sz w:val="20"/>
          <w:shd w:fill="FFFFFF" w:val="clear"/>
        </w:rPr>
        <w:t xml:space="preserve">Financial Statements.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ALIGN TECHNOLOGY, INC. </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CONDENSED CONSOLIDATED STATEMENTS OF OPERATIONS</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(in thousands, except per share data)</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(unaudited)</w:t>
      </w:r>
    </w:p>
    <w:p>
      <w:pPr>
        <w:pStyle w:val="TextBody"/>
        <w:bidi w:val="0"/>
        <w:spacing w:before="0" w:after="0"/>
        <w:jc w:val="center"/>
        <w:rPr/>
      </w:pPr>
      <w:r>
        <w:rPr/>
      </w:r>
    </w:p>
    <w:tbl>
      <w:tblPr>
        <w:tblW w:w="8407" w:type="dxa"/>
        <w:jc w:val="left"/>
        <w:tblInd w:w="0" w:type="dxa"/>
        <w:tblLayout w:type="fixed"/>
        <w:tblCellMar>
          <w:top w:w="28" w:type="dxa"/>
          <w:left w:w="28" w:type="dxa"/>
          <w:bottom w:w="28" w:type="dxa"/>
          <w:right w:w="28" w:type="dxa"/>
        </w:tblCellMar>
      </w:tblPr>
      <w:tblGrid>
        <w:gridCol w:w="1746"/>
        <w:gridCol w:w="1539"/>
        <w:gridCol w:w="1545"/>
        <w:gridCol w:w="109"/>
        <w:gridCol w:w="109"/>
        <w:gridCol w:w="109"/>
        <w:gridCol w:w="211"/>
        <w:gridCol w:w="976"/>
        <w:gridCol w:w="109"/>
        <w:gridCol w:w="109"/>
        <w:gridCol w:w="109"/>
        <w:gridCol w:w="109"/>
        <w:gridCol w:w="211"/>
        <w:gridCol w:w="826"/>
        <w:gridCol w:w="109"/>
        <w:gridCol w:w="109"/>
        <w:gridCol w:w="109"/>
        <w:gridCol w:w="109"/>
        <w:gridCol w:w="154"/>
      </w:tblGrid>
      <w:tr>
        <w:trPr/>
        <w:tc>
          <w:tcPr>
            <w:tcW w:w="1746"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c>
          <w:tcPr>
            <w:tcW w:w="15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1,040,087 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979,262 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net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736,587 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680,108 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447,629 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98,658 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Legal settlements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594,632 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549,008 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141,955 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131,100 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and other income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interest income and other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before 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148,886 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140,442 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112,771 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93,230 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3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used in computing net income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3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71,614 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73,615 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3 </w:t>
                      </w:r>
                    </w:p>
                  </w:txbxContent>
                </v:textbox>
                <w10:wrap type="none"/>
              </v:rect>
            </w:pict>
          </mc:Fallback>
        </mc:AlternateContent>
      </w:r>
    </w:p>
    <w:p>
      <w:pPr>
        <w:pStyle w:val="TextBody"/>
        <w:bidi w:val="0"/>
        <w:spacing w:lineRule="auto" w:line="288" w:before="0" w:after="0"/>
        <w:jc w:val="left"/>
        <w:rPr/>
      </w:pPr>
      <w:hyperlink w:anchor="i7a02b169d6be4765847899a2d1aa61f4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ALIGN TECHNOLOGY, INC.</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CONDENSED CONSOLIDATED STATEMENTS OF COMPREHENSIVE INCOME</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(in thousands)</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(unaudited)</w:t>
      </w:r>
    </w:p>
    <w:p>
      <w:pPr>
        <w:pStyle w:val="TextBody"/>
        <w:bidi w:val="0"/>
        <w:spacing w:lineRule="auto" w:line="288" w:before="0" w:after="0"/>
        <w:jc w:val="left"/>
        <w:rPr>
          <w:color w:val="000000"/>
        </w:rPr>
      </w:pPr>
      <w:r>
        <w:rPr>
          <w:color w:val="000000"/>
        </w:rPr>
        <w:t> </w:t>
      </w:r>
    </w:p>
    <w:tbl>
      <w:tblPr>
        <w:tblW w:w="8482" w:type="dxa"/>
        <w:jc w:val="left"/>
        <w:tblInd w:w="0" w:type="dxa"/>
        <w:tblLayout w:type="fixed"/>
        <w:tblCellMar>
          <w:top w:w="28" w:type="dxa"/>
          <w:left w:w="28" w:type="dxa"/>
          <w:bottom w:w="28" w:type="dxa"/>
          <w:right w:w="28" w:type="dxa"/>
        </w:tblCellMar>
      </w:tblPr>
      <w:tblGrid>
        <w:gridCol w:w="1830"/>
        <w:gridCol w:w="1606"/>
        <w:gridCol w:w="1619"/>
        <w:gridCol w:w="109"/>
        <w:gridCol w:w="109"/>
        <w:gridCol w:w="109"/>
        <w:gridCol w:w="211"/>
        <w:gridCol w:w="826"/>
        <w:gridCol w:w="109"/>
        <w:gridCol w:w="109"/>
        <w:gridCol w:w="109"/>
        <w:gridCol w:w="109"/>
        <w:gridCol w:w="211"/>
        <w:gridCol w:w="826"/>
        <w:gridCol w:w="109"/>
        <w:gridCol w:w="109"/>
        <w:gridCol w:w="109"/>
        <w:gridCol w:w="109"/>
        <w:gridCol w:w="154"/>
      </w:tblGrid>
      <w:tr>
        <w:trPr/>
        <w:tc>
          <w:tcPr>
            <w:tcW w:w="1830"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16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112,771 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93,230 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foreign currency translation adjustment,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107,476 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105,429 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4 </w:t>
                      </w:r>
                    </w:p>
                  </w:txbxContent>
                </v:textbox>
                <w10:wrap type="none"/>
              </v:rect>
            </w:pict>
          </mc:Fallback>
        </mc:AlternateContent>
      </w:r>
    </w:p>
    <w:p>
      <w:pPr>
        <w:pStyle w:val="TextBody"/>
        <w:bidi w:val="0"/>
        <w:spacing w:lineRule="auto" w:line="288" w:before="0" w:after="0"/>
        <w:jc w:val="left"/>
        <w:rPr/>
      </w:pPr>
      <w:hyperlink w:anchor="i7a02b169d6be4765847899a2d1aa61f4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ind w:left="0" w:right="0" w:firstLine="72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ALIGN TECHNOLOGY, INC.</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CONDENSED CONSOLIDATED BALANCE SHEETS</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(in thousands, except per share data)</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(unaudited)</w:t>
      </w:r>
    </w:p>
    <w:tbl>
      <w:tblPr>
        <w:tblW w:w="10205" w:type="dxa"/>
        <w:jc w:val="left"/>
        <w:tblInd w:w="0" w:type="dxa"/>
        <w:tblLayout w:type="fixed"/>
        <w:tblCellMar>
          <w:top w:w="28" w:type="dxa"/>
          <w:left w:w="28" w:type="dxa"/>
          <w:bottom w:w="28" w:type="dxa"/>
          <w:right w:w="28" w:type="dxa"/>
        </w:tblCellMar>
      </w:tblPr>
      <w:tblGrid>
        <w:gridCol w:w="2702"/>
        <w:gridCol w:w="2112"/>
        <w:gridCol w:w="2098"/>
        <w:gridCol w:w="109"/>
        <w:gridCol w:w="109"/>
        <w:gridCol w:w="109"/>
        <w:gridCol w:w="211"/>
        <w:gridCol w:w="976"/>
        <w:gridCol w:w="109"/>
        <w:gridCol w:w="109"/>
        <w:gridCol w:w="109"/>
        <w:gridCol w:w="109"/>
        <w:gridCol w:w="211"/>
        <w:gridCol w:w="976"/>
        <w:gridCol w:w="156"/>
      </w:tblGrid>
      <w:tr>
        <w:trPr/>
        <w:tc>
          <w:tcPr>
            <w:tcW w:w="2702" w:type="dxa"/>
            <w:tcBorders/>
            <w:vAlign w:val="center"/>
          </w:tcPr>
          <w:p>
            <w:pPr>
              <w:pStyle w:val="TableContents"/>
              <w:bidi w:val="0"/>
              <w:spacing w:before="0" w:after="283"/>
              <w:jc w:val="left"/>
              <w:rPr>
                <w:sz w:val="4"/>
                <w:szCs w:val="4"/>
              </w:rPr>
            </w:pPr>
            <w:r>
              <w:rPr>
                <w:sz w:val="4"/>
                <w:szCs w:val="4"/>
              </w:rPr>
            </w:r>
          </w:p>
        </w:tc>
        <w:tc>
          <w:tcPr>
            <w:tcW w:w="2112" w:type="dxa"/>
            <w:tcBorders/>
            <w:vAlign w:val="center"/>
          </w:tcPr>
          <w:p>
            <w:pPr>
              <w:pStyle w:val="TableContents"/>
              <w:bidi w:val="0"/>
              <w:spacing w:before="0" w:after="283"/>
              <w:jc w:val="left"/>
              <w:rPr>
                <w:sz w:val="4"/>
                <w:szCs w:val="4"/>
              </w:rPr>
            </w:pPr>
            <w:r>
              <w:rPr>
                <w:sz w:val="4"/>
                <w:szCs w:val="4"/>
              </w:rPr>
            </w:r>
          </w:p>
        </w:tc>
        <w:tc>
          <w:tcPr>
            <w:tcW w:w="20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1,059,834 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1,094,908 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Accounts receivable, net of allowance for doubtful accounts of $36,361 and $34,213,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1,125,114 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1,101,757 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214,944 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226,343 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215,706 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165,571 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Assets held for 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27,983 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2,655,430 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2,616,562 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1,108,092 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1,131,453 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110,223 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108,322 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503,041 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491,833 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100,818 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93,933 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1,471,425 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1,513,542 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278,048 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6,314,173 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6,233,693 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123,720 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121,450 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546,879 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536,749 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Deferred revenues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1,235,254 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1,261,816 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1,905,853 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1,920,015 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68,200 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82,507 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108,192 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113,824 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2,164,754 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2,184,546 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6 and Note 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Preferred stock, $0.0001 par value (5,000 shares authorized; none issued)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$0.0001 par value (200,000 shares authorized; 71,617 and 71,364 issued and outstanding,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1,530,934 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1,509,595 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75,388 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2,548,385 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2,464,157 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4,149,419 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4,049,147 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6,314,173 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6,233,693 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5 </w:t>
                      </w:r>
                    </w:p>
                  </w:txbxContent>
                </v:textbox>
                <w10:wrap type="none"/>
              </v:rect>
            </w:pict>
          </mc:Fallback>
        </mc:AlternateContent>
      </w:r>
    </w:p>
    <w:p>
      <w:pPr>
        <w:pStyle w:val="TextBody"/>
        <w:bidi w:val="0"/>
        <w:spacing w:lineRule="auto" w:line="288" w:before="0" w:after="0"/>
        <w:jc w:val="left"/>
        <w:rPr/>
      </w:pPr>
      <w:hyperlink w:anchor="i7a02b169d6be4765847899a2d1aa61f4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ALIGN TECHNOLOGY,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744"/>
        <w:gridCol w:w="320"/>
        <w:gridCol w:w="323"/>
        <w:gridCol w:w="109"/>
        <w:gridCol w:w="109"/>
        <w:gridCol w:w="109"/>
        <w:gridCol w:w="360"/>
        <w:gridCol w:w="361"/>
        <w:gridCol w:w="196"/>
        <w:gridCol w:w="109"/>
        <w:gridCol w:w="109"/>
        <w:gridCol w:w="109"/>
        <w:gridCol w:w="253"/>
        <w:gridCol w:w="307"/>
        <w:gridCol w:w="131"/>
        <w:gridCol w:w="109"/>
        <w:gridCol w:w="109"/>
        <w:gridCol w:w="109"/>
        <w:gridCol w:w="214"/>
        <w:gridCol w:w="990"/>
        <w:gridCol w:w="110"/>
        <w:gridCol w:w="109"/>
        <w:gridCol w:w="109"/>
        <w:gridCol w:w="109"/>
        <w:gridCol w:w="260"/>
        <w:gridCol w:w="893"/>
        <w:gridCol w:w="135"/>
        <w:gridCol w:w="109"/>
        <w:gridCol w:w="109"/>
        <w:gridCol w:w="109"/>
        <w:gridCol w:w="211"/>
        <w:gridCol w:w="978"/>
        <w:gridCol w:w="109"/>
        <w:gridCol w:w="109"/>
        <w:gridCol w:w="109"/>
        <w:gridCol w:w="109"/>
        <w:gridCol w:w="211"/>
        <w:gridCol w:w="976"/>
        <w:gridCol w:w="161"/>
      </w:tblGrid>
      <w:tr>
        <w:trPr/>
        <w:tc>
          <w:tcPr>
            <w:tcW w:w="74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Income (Loss), Net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 Earnings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38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Three Months Ended 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8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9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34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8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71,364 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1,509,595 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75,388 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2,464,157 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4,049,147 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112,771 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r>
      <w:tr>
        <w:trPr/>
        <w:tc>
          <w:tcPr>
            <w:tcW w:w="13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foreign currency translation adjustment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(5,295)</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(5,295)</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relating to employee equity compensation plans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11,718 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11,718 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withholdings related to net share settlements of equity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(28,651)</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(28,651)</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repurchased and retired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(2,652)</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(31,195)</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r>
      <w:tr>
        <w:trPr/>
        <w:tc>
          <w:tcPr>
            <w:tcW w:w="13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40,924 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40,924 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71,617 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1,530,934 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70,093 </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2,548,385 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4,149,419 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744"/>
        <w:gridCol w:w="320"/>
        <w:gridCol w:w="323"/>
        <w:gridCol w:w="109"/>
        <w:gridCol w:w="109"/>
        <w:gridCol w:w="109"/>
        <w:gridCol w:w="360"/>
        <w:gridCol w:w="361"/>
        <w:gridCol w:w="196"/>
        <w:gridCol w:w="109"/>
        <w:gridCol w:w="109"/>
        <w:gridCol w:w="109"/>
        <w:gridCol w:w="253"/>
        <w:gridCol w:w="307"/>
        <w:gridCol w:w="131"/>
        <w:gridCol w:w="109"/>
        <w:gridCol w:w="109"/>
        <w:gridCol w:w="109"/>
        <w:gridCol w:w="214"/>
        <w:gridCol w:w="990"/>
        <w:gridCol w:w="110"/>
        <w:gridCol w:w="109"/>
        <w:gridCol w:w="109"/>
        <w:gridCol w:w="109"/>
        <w:gridCol w:w="260"/>
        <w:gridCol w:w="893"/>
        <w:gridCol w:w="135"/>
        <w:gridCol w:w="109"/>
        <w:gridCol w:w="109"/>
        <w:gridCol w:w="109"/>
        <w:gridCol w:w="211"/>
        <w:gridCol w:w="978"/>
        <w:gridCol w:w="109"/>
        <w:gridCol w:w="109"/>
        <w:gridCol w:w="109"/>
        <w:gridCol w:w="109"/>
        <w:gridCol w:w="211"/>
        <w:gridCol w:w="976"/>
        <w:gridCol w:w="161"/>
      </w:tblGrid>
      <w:tr>
        <w:trPr/>
        <w:tc>
          <w:tcPr>
            <w:tcW w:w="74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Income (Loss), Net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 Earnings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38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Three Months Ended 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8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9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34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8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73,849 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1,362,234 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5,978 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2,483,766 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3,851,985 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93,230 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r>
      <w:tr>
        <w:trPr/>
        <w:tc>
          <w:tcPr>
            <w:tcW w:w="13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foreign currency translation adjustment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12,199 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12,199 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relating to employee equity compensation plans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13,909 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13,909 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withholdings related to net share settlements of equity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(19,577)</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(19,577)</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repurchased and retired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(14,756)</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(187,744)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(202,500)</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r>
      <w:tr>
        <w:trPr/>
        <w:tc>
          <w:tcPr>
            <w:tcW w:w="13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44,997 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44,997 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March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73,057 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1,386,807 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18,177 </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2,389,252 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3,794,243 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unaudited Condensed Consolidated Financial Statements.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6 </w:t>
                      </w:r>
                    </w:p>
                  </w:txbxContent>
                </v:textbox>
                <w10:wrap type="none"/>
              </v:rect>
            </w:pict>
          </mc:Fallback>
        </mc:AlternateContent>
      </w:r>
    </w:p>
    <w:p>
      <w:pPr>
        <w:pStyle w:val="TextBody"/>
        <w:bidi w:val="0"/>
        <w:spacing w:lineRule="auto" w:line="288" w:before="0" w:after="0"/>
        <w:jc w:val="left"/>
        <w:rPr/>
      </w:pPr>
      <w:hyperlink w:anchor="i7a02b169d6be4765847899a2d1aa61f4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ALIGN TECHNOLOGY, INC.</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CONDENSED CONSOLIDATED STATEMENTS OF CASH FLOWS</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(in thousands) </w:t>
      </w:r>
    </w:p>
    <w:p>
      <w:pPr>
        <w:pStyle w:val="TextBody"/>
        <w:bidi w:val="0"/>
        <w:spacing w:lineRule="auto" w:line="288" w:before="0" w:after="0"/>
        <w:jc w:val="center"/>
        <w:rPr/>
      </w:pPr>
      <w:r>
        <w:rPr>
          <w:rFonts w:ascii="Times New Roman;serif" w:hAnsi="Times New Roman;serif"/>
          <w:b/>
          <w:color w:val="000000"/>
          <w:sz w:val="20"/>
          <w:shd w:fill="FFFFFF" w:val="clear"/>
        </w:rPr>
        <w:t>(unaudited</w:t>
      </w:r>
      <w:r>
        <w:rPr>
          <w:rFonts w:ascii="Times New Roman;serif" w:hAnsi="Times New Roman;serif"/>
          <w:b w:val="false"/>
          <w:color w:val="000000"/>
          <w:sz w:val="20"/>
          <w:shd w:fill="FFFFFF" w:val="clear"/>
        </w:rPr>
        <w:t xml:space="preserve">) </w:t>
      </w:r>
    </w:p>
    <w:p>
      <w:pPr>
        <w:pStyle w:val="TextBody"/>
        <w:bidi w:val="0"/>
        <w:spacing w:before="0" w:after="0"/>
        <w:jc w:val="center"/>
        <w:rPr/>
      </w:pPr>
      <w:r>
        <w:rPr/>
      </w:r>
    </w:p>
    <w:tbl>
      <w:tblPr>
        <w:tblW w:w="10146" w:type="dxa"/>
        <w:jc w:val="center"/>
        <w:tblInd w:w="0" w:type="dxa"/>
        <w:tblLayout w:type="fixed"/>
        <w:tblCellMar>
          <w:top w:w="28" w:type="dxa"/>
          <w:left w:w="28" w:type="dxa"/>
          <w:bottom w:w="28" w:type="dxa"/>
          <w:right w:w="28" w:type="dxa"/>
        </w:tblCellMar>
      </w:tblPr>
      <w:tblGrid>
        <w:gridCol w:w="2540"/>
        <w:gridCol w:w="2230"/>
        <w:gridCol w:w="2235"/>
        <w:gridCol w:w="109"/>
        <w:gridCol w:w="109"/>
        <w:gridCol w:w="109"/>
        <w:gridCol w:w="211"/>
        <w:gridCol w:w="976"/>
        <w:gridCol w:w="109"/>
        <w:gridCol w:w="109"/>
        <w:gridCol w:w="109"/>
        <w:gridCol w:w="109"/>
        <w:gridCol w:w="211"/>
        <w:gridCol w:w="826"/>
        <w:gridCol w:w="154"/>
      </w:tblGrid>
      <w:tr>
        <w:trPr/>
        <w:tc>
          <w:tcPr>
            <w:tcW w:w="2540" w:type="dxa"/>
            <w:tcBorders/>
            <w:vAlign w:val="center"/>
          </w:tcPr>
          <w:p>
            <w:pPr>
              <w:pStyle w:val="TableContents"/>
              <w:bidi w:val="0"/>
              <w:spacing w:before="0" w:after="283"/>
              <w:jc w:val="left"/>
              <w:rPr>
                <w:sz w:val="4"/>
                <w:szCs w:val="4"/>
              </w:rPr>
            </w:pPr>
            <w:r>
              <w:rPr>
                <w:sz w:val="4"/>
                <w:szCs w:val="4"/>
              </w:rPr>
            </w:r>
          </w:p>
        </w:tc>
        <w:tc>
          <w:tcPr>
            <w:tcW w:w="2230" w:type="dxa"/>
            <w:tcBorders/>
            <w:vAlign w:val="center"/>
          </w:tcPr>
          <w:p>
            <w:pPr>
              <w:pStyle w:val="TableContents"/>
              <w:bidi w:val="0"/>
              <w:spacing w:before="0" w:after="283"/>
              <w:jc w:val="left"/>
              <w:rPr>
                <w:sz w:val="4"/>
                <w:szCs w:val="4"/>
              </w:rPr>
            </w:pPr>
            <w:r>
              <w:rPr>
                <w:sz w:val="4"/>
                <w:szCs w:val="4"/>
              </w:rPr>
            </w:r>
          </w:p>
        </w:tc>
        <w:tc>
          <w:tcPr>
            <w:tcW w:w="22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r>
      <w:tr>
        <w:trPr/>
        <w:tc>
          <w:tcPr>
            <w:tcW w:w="7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7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112,771 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93,230 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provided by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operating lease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Gain on Assets held for 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Fair value adjustment for equity investment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non-cash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assets and liabilities, net of effects of acquisitions: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(65,302)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(21,970)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and other long-term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(67,877)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income tax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(34,927)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Net cash provided</w:t>
            </w:r>
            <w:r>
              <w:rPr>
                <w:color w:val="EE2724"/>
              </w:rPr>
              <w:t xml:space="preserve"> </w:t>
            </w:r>
            <w:r>
              <w:rPr>
                <w:rFonts w:ascii="Times New Roman;serif" w:hAnsi="Times New Roman;serif"/>
                <w:b w:val="false"/>
                <w:color w:val="000000"/>
                <w:sz w:val="20"/>
              </w:rPr>
              <w:t>by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151,042 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52,676 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Acquisitions, net of cash acquired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property, plant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(25,289)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Investment in convertible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equity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(131,581)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(25,289)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 of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repurchases, net of excise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(201,088)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Payroll taxes paid upon the vesting of equity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(19,577)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(48,128)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(206,756)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foreign exchange rate changes on 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Net decrease</w:t>
            </w:r>
            <w:r>
              <w:rPr>
                <w:color w:val="EE2724"/>
              </w:rPr>
              <w:t xml:space="preserve"> </w:t>
            </w:r>
            <w:r>
              <w:rPr>
                <w:rFonts w:ascii="Times New Roman;serif" w:hAnsi="Times New Roman;serif"/>
                <w:b w:val="false"/>
                <w:color w:val="000000"/>
                <w:sz w:val="20"/>
              </w:rPr>
              <w:t>in cash, cash equivalents,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(35,054)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(170,889)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beginning of the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1,096,186 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1,044,963 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end of the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1,061,132 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874,074 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7 </w:t>
                      </w:r>
                    </w:p>
                  </w:txbxContent>
                </v:textbox>
                <w10:wrap type="none"/>
              </v:rect>
            </w:pict>
          </mc:Fallback>
        </mc:AlternateContent>
      </w:r>
    </w:p>
    <w:p>
      <w:pPr>
        <w:pStyle w:val="TextBody"/>
        <w:bidi w:val="0"/>
        <w:spacing w:lineRule="auto" w:line="288" w:before="0" w:after="0"/>
        <w:jc w:val="left"/>
        <w:rPr/>
      </w:pPr>
      <w:hyperlink w:anchor="i7a02b169d6be4765847899a2d1aa61f4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ALIGN TECHNOLOGY,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Note 1. Summary of Significant Accounting Policies</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i/>
          <w:color w:val="000000"/>
          <w:sz w:val="20"/>
        </w:rPr>
      </w:pPr>
      <w:r>
        <w:rPr>
          <w:rFonts w:ascii="Times New Roman;serif" w:hAnsi="Times New Roman;serif"/>
          <w:b/>
          <w:i/>
          <w:color w:val="000000"/>
          <w:sz w:val="20"/>
        </w:rPr>
        <w:t>Basis of Presentation and Preparation</w:t>
      </w:r>
    </w:p>
    <w:p>
      <w:pPr>
        <w:pStyle w:val="TextBody"/>
        <w:bidi w:val="0"/>
        <w:spacing w:before="0" w:after="0"/>
        <w:ind w:left="0" w:right="0" w:firstLine="225"/>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accompanying unaudited Condensed Consolidated Financial Statements have been prepared by Align Technology, Inc. (“we”, “our”, the “Company” or “Align”) on a consistent basis with the audited Consolidated Financial Statements for the year ended December 31, 2025, and contain all adjustments, including normal recurring adjustments, necessary to fairly state the information set forth herein. These unaudited Condensed Consolidated Financial Statements have been prepared in accordance with the rules and regulations of the Securities and Exchange Commission (“SEC”), and, therefore, omit certain information and footnote disclosures necessary to present the unaudited Condensed Consolidated Financial Statements in accordance with accounting principles generally accepted in the United States of America (“U.S. GAAP”).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information included in this Quarterly Report on Form 10-Q should be read in conjunction with the Consolidated Financial Statements and notes thereto included in Item 8 of our Annual Report on Form 10-K for the year ended December 31, 2025, as filed with the SEC on February 27, 2026. The results of operations for the three months ended March 31, 2026 are not necessarily indicative of the results that may be expected for the year ending December 31, 2026 or any other future period, and we make no representations related thereto.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U.S. GAAP requires management to make estimates and assumptions that affect the amounts reported in our consolidated financial statements and accompanying notes. Actual results could differ materially from those estimates. On an ongoing basis, we evaluate our estimates, including those related to revenue recognition and deferred revenues, useful lives of intangible assets and property, plant and equipment, goodwill, income taxes, contingent liabilities, the fair values of financial instruments, stock-based compensation and the valuation of investments in privately held companies among others. We base our estimates on historical experience and on various other assumptions that are believed to be reasonable, the results of which form the basis for making judgments about the carrying values of assets and liabilities.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pPr>
      <w:r>
        <w:rPr>
          <w:rFonts w:ascii="Times New Roman;serif" w:hAnsi="Times New Roman;serif"/>
          <w:b w:val="false"/>
          <w:color w:val="000000"/>
          <w:sz w:val="20"/>
        </w:rPr>
        <w:t xml:space="preserve">In connection with the 2025 Restructuring activities discussed in </w:t>
      </w:r>
      <w:r>
        <w:rPr>
          <w:rFonts w:ascii="Times New Roman;serif" w:hAnsi="Times New Roman;serif"/>
          <w:b w:val="false"/>
          <w:i/>
          <w:color w:val="000000"/>
          <w:sz w:val="20"/>
        </w:rPr>
        <w:t xml:space="preserve">Note 14 “Restructuring and Other Charges,” </w:t>
      </w:r>
      <w:r>
        <w:rPr>
          <w:rFonts w:ascii="Times New Roman;serif" w:hAnsi="Times New Roman;serif"/>
          <w:b w:val="false"/>
          <w:color w:val="000000"/>
          <w:sz w:val="20"/>
        </w:rPr>
        <w:t>we committed to a plan to dispose of, other than by sale, specifically identified manufacturing assets prior to the end of their estimated useful lives during the third quarter of 2025. Accordingly, we have revised the estimated useful lives of these assets to reflect our use through the disposal date. For the three months ended March 31, 2026, we recorded $15.6 million of accelerated depreciation expense related to these assets. The increase in depreciation expense negatively impacted Net income, net of tax, by $11.8 million or $0.17 per basic share and $0.16 per diluted share. We have materially completed the disposition of these assets as of March 31, 2026.</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i/>
          <w:color w:val="000000"/>
          <w:sz w:val="20"/>
        </w:rPr>
      </w:pPr>
      <w:r>
        <w:rPr>
          <w:rFonts w:ascii="Times New Roman;serif" w:hAnsi="Times New Roman;serif"/>
          <w:b/>
          <w:i/>
          <w:color w:val="000000"/>
          <w:sz w:val="20"/>
        </w:rPr>
        <w:t>Certain Risks and Uncertainties</w:t>
      </w:r>
    </w:p>
    <w:p>
      <w:pPr>
        <w:pStyle w:val="TextBody"/>
        <w:bidi w:val="0"/>
        <w:spacing w:before="0" w:after="0"/>
        <w:ind w:left="0" w:right="0" w:firstLine="36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Financial instruments which potentially expose the Company to concentration of credit risk, consist principally of cash and cash equivalents. These instruments have minimal credit risk exposures. Management regularly monitors their compositions and maturities. The Company maintains its cash and cash equivalents in bank accounts that exceed federally insured FDIC limits. Through March 31, 2026, the Company has not experienced any material credit losses on such deposits.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purchase certain inventory from sole suppliers. Additionally, we rely on a limited number of hardware manufacturers. The inability of any supplier or manufacturer to fulfill our supply requirements could materially and adversely impact our future operating results.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i/>
          <w:color w:val="000000"/>
          <w:sz w:val="20"/>
        </w:rPr>
      </w:pPr>
      <w:r>
        <w:rPr>
          <w:rFonts w:ascii="Times New Roman;serif" w:hAnsi="Times New Roman;serif"/>
          <w:b/>
          <w:i/>
          <w:color w:val="000000"/>
          <w:sz w:val="20"/>
        </w:rPr>
        <w:t>Recent Accounting Pronouncements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(i) New Accounting Pronouncements Recently Adopted</w:t>
      </w:r>
    </w:p>
    <w:p>
      <w:pPr>
        <w:pStyle w:val="TextBody"/>
        <w:bidi w:val="0"/>
        <w:spacing w:before="0" w:after="0"/>
        <w:ind w:left="0" w:right="0" w:firstLine="360"/>
        <w:jc w:val="both"/>
        <w:rPr/>
      </w:pPr>
      <w:r>
        <w:rPr/>
      </w:r>
    </w:p>
    <w:p>
      <w:pPr>
        <w:pStyle w:val="TextBody"/>
        <w:bidi w:val="0"/>
        <w:spacing w:lineRule="auto" w:line="288" w:before="0" w:after="0"/>
        <w:ind w:left="0" w:right="0" w:firstLine="450"/>
        <w:jc w:val="both"/>
        <w:rPr/>
      </w:pPr>
      <w:r>
        <w:rPr>
          <w:rFonts w:ascii="Times New Roman;serif" w:hAnsi="Times New Roman;serif"/>
          <w:b w:val="false"/>
          <w:color w:val="252525"/>
          <w:sz w:val="20"/>
        </w:rPr>
        <w:t xml:space="preserve">On July 30, 2025, the Financial Accounting Standards Board (“FASB”) issued Accounting Standards Update (“ASU”) 2025-05 (“ASU 2025-05”), </w:t>
      </w:r>
      <w:r>
        <w:rPr>
          <w:color w:val="252525"/>
        </w:rPr>
        <w:t>“</w:t>
      </w:r>
      <w:r>
        <w:rPr>
          <w:rFonts w:ascii="Times New Roman;serif" w:hAnsi="Times New Roman;serif"/>
          <w:b w:val="false"/>
          <w:i/>
          <w:color w:val="252525"/>
          <w:sz w:val="20"/>
        </w:rPr>
        <w:t>Financial Instruments—Credit Losses (Topic 326): Measurement of Credit Losses for Accounts Receivable and Contract Assets.”</w:t>
      </w:r>
      <w:r>
        <w:rPr>
          <w:color w:val="252525"/>
        </w:rPr>
        <w:t xml:space="preserve"> </w:t>
      </w:r>
      <w:r>
        <w:rPr>
          <w:rFonts w:ascii="Times New Roman;serif" w:hAnsi="Times New Roman;serif"/>
          <w:b w:val="false"/>
          <w:color w:val="252525"/>
          <w:sz w:val="20"/>
        </w:rPr>
        <w:t xml:space="preserve">The amendments in this update provide a practical expedient for entities estimating expected credit losses for current accounts receivable and current contract assets arising from transactions accounted for under ASC 606,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8 </w:t>
                      </w:r>
                    </w:p>
                  </w:txbxContent>
                </v:textbox>
                <w10:wrap type="none"/>
              </v:rect>
            </w:pict>
          </mc:Fallback>
        </mc:AlternateContent>
      </w:r>
    </w:p>
    <w:p>
      <w:pPr>
        <w:pStyle w:val="TextBody"/>
        <w:bidi w:val="0"/>
        <w:spacing w:lineRule="auto" w:line="288" w:before="0" w:after="0"/>
        <w:jc w:val="left"/>
        <w:rPr/>
      </w:pPr>
      <w:hyperlink w:anchor="i7a02b169d6be4765847899a2d1aa61f4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252525"/>
          <w:sz w:val="20"/>
        </w:rPr>
        <w:t>R</w:t>
      </w:r>
      <w:r>
        <w:rPr>
          <w:rFonts w:ascii="Times New Roman;serif" w:hAnsi="Times New Roman;serif"/>
          <w:b w:val="false"/>
          <w:i/>
          <w:color w:val="252525"/>
          <w:sz w:val="20"/>
        </w:rPr>
        <w:t>evenue from Contracts with Customers</w:t>
      </w:r>
      <w:r>
        <w:rPr>
          <w:rFonts w:ascii="Times New Roman;serif" w:hAnsi="Times New Roman;serif"/>
          <w:b w:val="false"/>
          <w:color w:val="252525"/>
          <w:sz w:val="20"/>
        </w:rPr>
        <w:t>. Under this practical expedient, an entity is allowed to assume that the current conditions it has applied in determining credit loss allowances for current accounts receivable and current contract assets remain unchanged for the remaining life of those assets. The guidance is effective for fiscal years beginning after December 15, 2025, and interim reporting periods in those years. The Company adopted ASU 2025-05 effective January 1, 2026 on a prospective basis. The adoption of ASU 2025-05 did not have a material impact on the financial statements and related disclosures.</w:t>
      </w:r>
    </w:p>
    <w:p>
      <w:pPr>
        <w:pStyle w:val="TextBody"/>
        <w:bidi w:val="0"/>
        <w:spacing w:before="0" w:after="0"/>
        <w:ind w:left="0" w:right="0" w:firstLine="450"/>
        <w:jc w:val="both"/>
        <w:rPr/>
      </w:pPr>
      <w:r>
        <w:rPr/>
      </w:r>
    </w:p>
    <w:p>
      <w:pPr>
        <w:pStyle w:val="TextBody"/>
        <w:bidi w:val="0"/>
        <w:spacing w:lineRule="auto" w:line="288" w:before="0" w:after="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(ii) Recent Accounting Pronouncements Not Yet Effective</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September 29, 2025, the FASB issued ASU 2025-07, "Derivatives and Hedging (Topic 815) and Revenue from Contracts with Customers (Topic 606): Derivatives Scope Refinements and Scope Clarification for Share-Based Noncash Consideration from a Customer in a Revenue Contract," which applies to all entities that enter into non-exchange-traded contracts with underlyings based on operations or activities specific to one of the parties to the contract. The new guidance excludes from derivative accounting non-exchange-traded contracts with underlyings that are based on operations or activities specific to one of the parties to the contract. ASU 2025-07 is effective for annual reporting periods beginning after December 15, 2026, and interim reporting periods within those periods. Early adoption is permitted. The Company does not believe the adoption of the standard will have a material effect on the Company’s consolidated financial position or results of operations.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September 18, 2025, the FASB issued ASU 2025-06, “Intangibles-Goodwill and Other-Internal-Use Software.” The amendments in this ASU simplify the accounting for internal-use software by eliminating the existing project development stages and introducing new guidance for evaluating the probable-to-complete threshold for capitalization. The amendments in this ASU also require the application of ASC 360-10 disclosure requirements for all capitalized internal-use software costs, regardless of how those costs are presented in the financial statements. The provisions of ASU 2025-06 are effective for all entities for fiscal years beginning after December 15, 2027, and interim periods within those fiscal years. Early adoption is permitted. The Company is evaluating the effect of this pronouncement on its annual consolidated financial statements.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pPr>
      <w:r>
        <w:rPr>
          <w:rFonts w:ascii="Times New Roman;serif" w:hAnsi="Times New Roman;serif"/>
          <w:b w:val="false"/>
          <w:color w:val="252525"/>
          <w:sz w:val="20"/>
        </w:rPr>
        <w:t>On November 4, 2024, the FASB issued ASU 2024-03, “Income Statement-Reporting Comprehensive Income-Expense Disaggregation Disclosures.</w:t>
      </w:r>
      <w:r>
        <w:rPr>
          <w:color w:val="000000"/>
        </w:rPr>
        <w:t>”</w:t>
      </w:r>
      <w:r>
        <w:rPr>
          <w:color w:val="252525"/>
        </w:rPr>
        <w:t xml:space="preserve"> </w:t>
      </w:r>
      <w:r>
        <w:rPr>
          <w:rFonts w:ascii="Times New Roman;serif" w:hAnsi="Times New Roman;serif"/>
          <w:b w:val="false"/>
          <w:color w:val="252525"/>
          <w:sz w:val="20"/>
        </w:rPr>
        <w:t xml:space="preserve">The amendments in this ASU require a public entity to disclose, in the notes to the financial statements, specified information about certain costs and expenses, including the amounts of inventory purchases, employee compensation, depreciation and intangible asset amortization. For public business entities, the provisions of ASU 2024-03 are effective for fiscal years beginning after December 15, 2026, and interim periods within fiscal years beginning after December 15, 2027. Early adoption is permitted. There will be no impact to our consolidated balance sheets or statements of operations; however, the Company is evaluating the effect of this pronouncement on our consolidated financial statement disclosures. </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9 </w:t>
                      </w:r>
                    </w:p>
                  </w:txbxContent>
                </v:textbox>
                <w10:wrap type="none"/>
              </v:rect>
            </w:pict>
          </mc:Fallback>
        </mc:AlternateContent>
      </w:r>
    </w:p>
    <w:p>
      <w:pPr>
        <w:pStyle w:val="TextBody"/>
        <w:bidi w:val="0"/>
        <w:spacing w:lineRule="auto" w:line="288" w:before="0" w:after="0"/>
        <w:jc w:val="left"/>
        <w:rPr/>
      </w:pPr>
      <w:hyperlink w:anchor="i7a02b169d6be4765847899a2d1aa61f4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2. Financial Instruments</w:t>
      </w:r>
    </w:p>
    <w:p>
      <w:pPr>
        <w:pStyle w:val="TextBody"/>
        <w:bidi w:val="0"/>
        <w:spacing w:before="0" w:after="0"/>
        <w:jc w:val="left"/>
        <w:rPr/>
      </w:pPr>
      <w:r>
        <w:rPr/>
      </w:r>
    </w:p>
    <w:p>
      <w:pPr>
        <w:pStyle w:val="TextBody"/>
        <w:bidi w:val="0"/>
        <w:spacing w:lineRule="auto" w:line="288" w:before="6"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Cash, Cash Equivalents and Marketable Securities</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tables summarize our cash, cash equivalents and marketable securities balances in our Condensed Consolidated Balance Sheets as of March 31, 2026 and December 31, 2025 (in thousands):</w:t>
      </w:r>
    </w:p>
    <w:tbl>
      <w:tblPr>
        <w:tblW w:w="10205" w:type="dxa"/>
        <w:jc w:val="left"/>
        <w:tblInd w:w="0" w:type="dxa"/>
        <w:tblLayout w:type="fixed"/>
        <w:tblCellMar>
          <w:top w:w="28" w:type="dxa"/>
          <w:left w:w="28" w:type="dxa"/>
          <w:bottom w:w="28" w:type="dxa"/>
          <w:right w:w="28" w:type="dxa"/>
        </w:tblCellMar>
      </w:tblPr>
      <w:tblGrid>
        <w:gridCol w:w="661"/>
        <w:gridCol w:w="491"/>
        <w:gridCol w:w="496"/>
        <w:gridCol w:w="109"/>
        <w:gridCol w:w="109"/>
        <w:gridCol w:w="109"/>
        <w:gridCol w:w="211"/>
        <w:gridCol w:w="976"/>
        <w:gridCol w:w="109"/>
        <w:gridCol w:w="109"/>
        <w:gridCol w:w="109"/>
        <w:gridCol w:w="109"/>
        <w:gridCol w:w="257"/>
        <w:gridCol w:w="495"/>
        <w:gridCol w:w="134"/>
        <w:gridCol w:w="109"/>
        <w:gridCol w:w="109"/>
        <w:gridCol w:w="109"/>
        <w:gridCol w:w="257"/>
        <w:gridCol w:w="495"/>
        <w:gridCol w:w="134"/>
        <w:gridCol w:w="109"/>
        <w:gridCol w:w="109"/>
        <w:gridCol w:w="109"/>
        <w:gridCol w:w="211"/>
        <w:gridCol w:w="976"/>
        <w:gridCol w:w="109"/>
        <w:gridCol w:w="109"/>
        <w:gridCol w:w="109"/>
        <w:gridCol w:w="109"/>
        <w:gridCol w:w="302"/>
        <w:gridCol w:w="1398"/>
        <w:gridCol w:w="156"/>
        <w:gridCol w:w="109"/>
        <w:gridCol w:w="109"/>
        <w:gridCol w:w="109"/>
        <w:gridCol w:w="109"/>
        <w:gridCol w:w="109"/>
        <w:gridCol w:w="157"/>
      </w:tblGrid>
      <w:tr>
        <w:trPr/>
        <w:tc>
          <w:tcPr>
            <w:tcW w:w="66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39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Reported as: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6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w:t>
              <w:b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br/>
              <w:t>Unrealized</w:t>
              <w:br/>
              <w:t>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b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Cash and Cash Equivalents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64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860,883 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860,883 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860,883 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6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183,339 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6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Certificate of deposits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15,612 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6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6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6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6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6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6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1,059,834 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1,059,834 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1,059,834 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101"/>
        <w:jc w:val="both"/>
        <w:rPr/>
      </w:pPr>
      <w:r>
        <w:rPr/>
      </w:r>
    </w:p>
    <w:p>
      <w:pPr>
        <w:pStyle w:val="TextBody"/>
        <w:bidi w:val="0"/>
        <w:spacing w:before="0" w:after="0"/>
        <w:ind w:left="0" w:right="0" w:firstLine="450"/>
        <w:jc w:val="both"/>
        <w:rPr/>
      </w:pPr>
      <w:r>
        <w:rPr/>
      </w:r>
    </w:p>
    <w:tbl>
      <w:tblPr>
        <w:tblW w:w="10205" w:type="dxa"/>
        <w:jc w:val="left"/>
        <w:tblInd w:w="0" w:type="dxa"/>
        <w:tblLayout w:type="fixed"/>
        <w:tblCellMar>
          <w:top w:w="28" w:type="dxa"/>
          <w:left w:w="28" w:type="dxa"/>
          <w:bottom w:w="28" w:type="dxa"/>
          <w:right w:w="28" w:type="dxa"/>
        </w:tblCellMar>
      </w:tblPr>
      <w:tblGrid>
        <w:gridCol w:w="661"/>
        <w:gridCol w:w="555"/>
        <w:gridCol w:w="556"/>
        <w:gridCol w:w="109"/>
        <w:gridCol w:w="109"/>
        <w:gridCol w:w="109"/>
        <w:gridCol w:w="211"/>
        <w:gridCol w:w="976"/>
        <w:gridCol w:w="109"/>
        <w:gridCol w:w="109"/>
        <w:gridCol w:w="109"/>
        <w:gridCol w:w="109"/>
        <w:gridCol w:w="257"/>
        <w:gridCol w:w="495"/>
        <w:gridCol w:w="134"/>
        <w:gridCol w:w="109"/>
        <w:gridCol w:w="109"/>
        <w:gridCol w:w="109"/>
        <w:gridCol w:w="257"/>
        <w:gridCol w:w="495"/>
        <w:gridCol w:w="134"/>
        <w:gridCol w:w="109"/>
        <w:gridCol w:w="109"/>
        <w:gridCol w:w="109"/>
        <w:gridCol w:w="211"/>
        <w:gridCol w:w="976"/>
        <w:gridCol w:w="109"/>
        <w:gridCol w:w="109"/>
        <w:gridCol w:w="109"/>
        <w:gridCol w:w="109"/>
        <w:gridCol w:w="317"/>
        <w:gridCol w:w="1469"/>
        <w:gridCol w:w="164"/>
        <w:gridCol w:w="109"/>
        <w:gridCol w:w="109"/>
        <w:gridCol w:w="109"/>
        <w:gridCol w:w="157"/>
      </w:tblGrid>
      <w:tr>
        <w:trPr/>
        <w:tc>
          <w:tcPr>
            <w:tcW w:w="661"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Reported as: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7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w:t>
              <w:b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br/>
              <w:t>Unrealized</w:t>
              <w:br/>
              <w:t>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b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Cash and Cash Equivalents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7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770,051 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770,051 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770,051 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7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308,940 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308,940 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308,940 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7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Certificates of deposit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15,917 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7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1,094,908 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1,094,908 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1,094,908 </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had no short-term or long-term marketable securities as of March 31, 2026 or December 31, 2025.</w:t>
      </w:r>
    </w:p>
    <w:p>
      <w:pPr>
        <w:pStyle w:val="TextBody"/>
        <w:bidi w:val="0"/>
        <w:spacing w:before="6" w:after="283"/>
        <w:ind w:left="0" w:right="0" w:firstLine="450"/>
        <w:jc w:val="both"/>
        <w:rPr/>
      </w:pPr>
      <w:r>
        <w:rPr/>
      </w:r>
    </w:p>
    <w:p>
      <w:pPr>
        <w:pStyle w:val="TextBody"/>
        <w:bidi w:val="0"/>
        <w:spacing w:lineRule="auto" w:line="288" w:before="6"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Fair Value Measurements</w:t>
      </w:r>
    </w:p>
    <w:p>
      <w:pPr>
        <w:pStyle w:val="TextBody"/>
        <w:bidi w:val="0"/>
        <w:spacing w:before="6" w:after="283"/>
        <w:ind w:left="0" w:right="0" w:firstLine="450"/>
        <w:jc w:val="both"/>
        <w:rPr/>
      </w:pPr>
      <w:r>
        <w:rPr/>
      </w:r>
    </w:p>
    <w:p>
      <w:pPr>
        <w:pStyle w:val="TextBody"/>
        <w:bidi w:val="0"/>
        <w:spacing w:lineRule="auto" w:line="288" w:before="6"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Fair value is an exit price, representing the amount that would be received from selling an asset or paid to transfer a liability, in an orderly transaction between market participants at the measurement date. We use the U.S. GAAP fair value hierarchy that prioritizes the inputs to valuation techniques used to measure fair value. This hierarchy requires an entity to maximize the use of observable inputs and minimize the use of unobservable inputs when measuring fair value. The three levels of inputs that may be used to measure fair value:</w:t>
      </w:r>
    </w:p>
    <w:p>
      <w:pPr>
        <w:pStyle w:val="TextBody"/>
        <w:bidi w:val="0"/>
        <w:spacing w:before="6" w:after="283"/>
        <w:ind w:left="0" w:right="0" w:firstLine="450"/>
        <w:jc w:val="both"/>
        <w:rPr/>
      </w:pPr>
      <w:r>
        <w:rPr/>
      </w:r>
    </w:p>
    <w:p>
      <w:pPr>
        <w:pStyle w:val="TextBody"/>
        <w:bidi w:val="0"/>
        <w:spacing w:lineRule="auto" w:line="288" w:before="6" w:after="283"/>
        <w:ind w:left="0" w:right="0" w:firstLine="450"/>
        <w:jc w:val="both"/>
        <w:rPr/>
      </w:pPr>
      <w:r>
        <w:rPr>
          <w:rFonts w:ascii="Times New Roman;serif" w:hAnsi="Times New Roman;serif"/>
          <w:b w:val="false"/>
          <w:i/>
          <w:color w:val="000000"/>
          <w:sz w:val="20"/>
        </w:rPr>
        <w:t>Level 1 —</w:t>
      </w:r>
      <w:r>
        <w:rPr>
          <w:color w:val="000000"/>
        </w:rPr>
        <w:t xml:space="preserve"> </w:t>
      </w:r>
      <w:r>
        <w:rPr>
          <w:rFonts w:ascii="Times New Roman;serif" w:hAnsi="Times New Roman;serif"/>
          <w:b w:val="false"/>
          <w:color w:val="000000"/>
          <w:sz w:val="20"/>
        </w:rPr>
        <w:t>Inputs to the valuation techniques that are quoted prices in active markets for identical assets or liabilities.</w:t>
      </w:r>
    </w:p>
    <w:p>
      <w:pPr>
        <w:pStyle w:val="TextBody"/>
        <w:bidi w:val="0"/>
        <w:spacing w:before="6" w:after="283"/>
        <w:ind w:left="0" w:right="0" w:firstLine="450"/>
        <w:jc w:val="both"/>
        <w:rPr/>
      </w:pPr>
      <w:r>
        <w:rPr/>
      </w:r>
    </w:p>
    <w:p>
      <w:pPr>
        <w:pStyle w:val="TextBody"/>
        <w:bidi w:val="0"/>
        <w:spacing w:lineRule="auto" w:line="288" w:before="6" w:after="283"/>
        <w:ind w:left="0" w:right="0" w:firstLine="450"/>
        <w:jc w:val="both"/>
        <w:rPr/>
      </w:pPr>
      <w:r>
        <w:rPr>
          <w:rFonts w:ascii="Times New Roman;serif" w:hAnsi="Times New Roman;serif"/>
          <w:b w:val="false"/>
          <w:i/>
          <w:color w:val="000000"/>
          <w:sz w:val="20"/>
        </w:rPr>
        <w:t>Level 2 —</w:t>
      </w:r>
      <w:r>
        <w:rPr>
          <w:color w:val="000000"/>
        </w:rPr>
        <w:t xml:space="preserve"> </w:t>
      </w:r>
      <w:r>
        <w:rPr>
          <w:rFonts w:ascii="Times New Roman;serif" w:hAnsi="Times New Roman;serif"/>
          <w:b w:val="false"/>
          <w:color w:val="000000"/>
          <w:sz w:val="20"/>
        </w:rPr>
        <w:t xml:space="preserve">Inputs to the valuation techniques that are other than quoted prices but are observable for the assets or liabilities, either directly or indirectly. </w:t>
      </w:r>
    </w:p>
    <w:p>
      <w:pPr>
        <w:pStyle w:val="TextBody"/>
        <w:bidi w:val="0"/>
        <w:spacing w:before="6" w:after="283"/>
        <w:ind w:left="0" w:right="0" w:firstLine="450"/>
        <w:jc w:val="both"/>
        <w:rPr/>
      </w:pPr>
      <w:r>
        <w:rPr/>
      </w:r>
    </w:p>
    <w:p>
      <w:pPr>
        <w:pStyle w:val="TextBody"/>
        <w:bidi w:val="0"/>
        <w:spacing w:lineRule="auto" w:line="288" w:before="6" w:after="283"/>
        <w:ind w:left="0" w:right="0" w:firstLine="450"/>
        <w:jc w:val="both"/>
        <w:rPr/>
      </w:pPr>
      <w:r>
        <w:rPr>
          <w:rFonts w:ascii="Times New Roman;serif" w:hAnsi="Times New Roman;serif"/>
          <w:b w:val="false"/>
          <w:i/>
          <w:color w:val="000000"/>
          <w:sz w:val="20"/>
        </w:rPr>
        <w:t>Level 3 —</w:t>
      </w:r>
      <w:r>
        <w:rPr>
          <w:color w:val="000000"/>
        </w:rPr>
        <w:t xml:space="preserve"> </w:t>
      </w:r>
      <w:r>
        <w:rPr>
          <w:rFonts w:ascii="Times New Roman;serif" w:hAnsi="Times New Roman;serif"/>
          <w:b w:val="false"/>
          <w:color w:val="000000"/>
          <w:sz w:val="20"/>
        </w:rPr>
        <w:t>Inputs to the valuation techniques that are unobservable for the assets or liabilities.</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tables summarize our financial assets measured at fair value as of March 31, 2026 and December 31, 2025 (in thousands):</w:t>
      </w:r>
    </w:p>
    <w:tbl>
      <w:tblPr>
        <w:tblW w:w="5782" w:type="dxa"/>
        <w:jc w:val="left"/>
        <w:tblInd w:w="0" w:type="dxa"/>
        <w:tblLayout w:type="fixed"/>
        <w:tblCellMar>
          <w:top w:w="28" w:type="dxa"/>
          <w:left w:w="28" w:type="dxa"/>
          <w:bottom w:w="28" w:type="dxa"/>
          <w:right w:w="28" w:type="dxa"/>
        </w:tblCellMar>
      </w:tblPr>
      <w:tblGrid>
        <w:gridCol w:w="687"/>
        <w:gridCol w:w="604"/>
        <w:gridCol w:w="614"/>
        <w:gridCol w:w="109"/>
        <w:gridCol w:w="109"/>
        <w:gridCol w:w="109"/>
        <w:gridCol w:w="232"/>
        <w:gridCol w:w="908"/>
        <w:gridCol w:w="119"/>
        <w:gridCol w:w="109"/>
        <w:gridCol w:w="109"/>
        <w:gridCol w:w="109"/>
        <w:gridCol w:w="211"/>
        <w:gridCol w:w="826"/>
        <w:gridCol w:w="109"/>
        <w:gridCol w:w="109"/>
        <w:gridCol w:w="109"/>
        <w:gridCol w:w="109"/>
        <w:gridCol w:w="491"/>
      </w:tblGrid>
      <w:tr>
        <w:trPr/>
        <w:tc>
          <w:tcPr>
            <w:tcW w:w="687"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Balance as of</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ind w:left="0" w:right="0" w:firstLine="360"/>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183,339 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ind w:left="0" w:right="0" w:firstLine="360"/>
              <w:jc w:val="left"/>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 of deposits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15,612 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198,951 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198,951 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144"/>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10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10 </w:t>
                      </w:r>
                    </w:p>
                  </w:txbxContent>
                </v:textbox>
                <w10:wrap type="none"/>
              </v:rect>
            </w:pict>
          </mc:Fallback>
        </mc:AlternateContent>
      </w:r>
    </w:p>
    <w:p>
      <w:pPr>
        <w:pStyle w:val="TextBody"/>
        <w:bidi w:val="0"/>
        <w:spacing w:lineRule="auto" w:line="288" w:before="0" w:after="0"/>
        <w:jc w:val="left"/>
        <w:rPr/>
      </w:pPr>
      <w:hyperlink w:anchor="i7a02b169d6be4765847899a2d1aa61f4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tbl>
      <w:tblPr>
        <w:tblW w:w="6240" w:type="dxa"/>
        <w:jc w:val="left"/>
        <w:tblInd w:w="0" w:type="dxa"/>
        <w:tblLayout w:type="fixed"/>
        <w:tblCellMar>
          <w:top w:w="28" w:type="dxa"/>
          <w:left w:w="28" w:type="dxa"/>
          <w:bottom w:w="28" w:type="dxa"/>
          <w:right w:w="28" w:type="dxa"/>
        </w:tblCellMar>
      </w:tblPr>
      <w:tblGrid>
        <w:gridCol w:w="690"/>
        <w:gridCol w:w="607"/>
        <w:gridCol w:w="608"/>
        <w:gridCol w:w="109"/>
        <w:gridCol w:w="109"/>
        <w:gridCol w:w="109"/>
        <w:gridCol w:w="276"/>
        <w:gridCol w:w="1081"/>
        <w:gridCol w:w="142"/>
        <w:gridCol w:w="109"/>
        <w:gridCol w:w="109"/>
        <w:gridCol w:w="109"/>
        <w:gridCol w:w="211"/>
        <w:gridCol w:w="826"/>
        <w:gridCol w:w="109"/>
        <w:gridCol w:w="109"/>
        <w:gridCol w:w="109"/>
        <w:gridCol w:w="109"/>
        <w:gridCol w:w="109"/>
        <w:gridCol w:w="109"/>
        <w:gridCol w:w="491"/>
      </w:tblGrid>
      <w:tr>
        <w:trPr/>
        <w:tc>
          <w:tcPr>
            <w:tcW w:w="690"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Balance as of </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ind w:left="0" w:right="0" w:firstLine="360"/>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308,940 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308,940 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ind w:left="0" w:right="0" w:firstLine="360"/>
              <w:jc w:val="left"/>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 of deposits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15,917 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324,857 </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324,857 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180"/>
        <w:jc w:val="both"/>
        <w:rPr/>
      </w:pPr>
      <w:r>
        <w:rPr/>
      </w:r>
    </w:p>
    <w:p>
      <w:pPr>
        <w:pStyle w:val="TextBody"/>
        <w:bidi w:val="0"/>
        <w:spacing w:lineRule="auto" w:line="276"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have investments in convertible notes of $40.5 million that are classified as loans receivable and measured on an amortized cost basis, net of an allowance for credit losses and included in Other assets within our Condensed Consolidated Balance Sheets. The instruments are classified within Level 3 of the fair value hierarchy as the fair value is derived from techniques in which one or more significant inputs are unobservable. As of March 31, 2026, the carrying value of our loans receivable approximated the fair value. </w:t>
      </w:r>
    </w:p>
    <w:p>
      <w:pPr>
        <w:pStyle w:val="TextBody"/>
        <w:bidi w:val="0"/>
        <w:spacing w:before="5" w:after="283"/>
        <w:ind w:left="0" w:right="0" w:firstLine="450"/>
        <w:jc w:val="both"/>
        <w:rPr/>
      </w:pPr>
      <w:r>
        <w:rPr/>
      </w:r>
    </w:p>
    <w:p>
      <w:pPr>
        <w:pStyle w:val="TextBody"/>
        <w:bidi w:val="0"/>
        <w:spacing w:lineRule="auto" w:line="26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had no Level 2 instruments as of March 31, 2026 or December 31, 2025.</w:t>
      </w:r>
    </w:p>
    <w:p>
      <w:pPr>
        <w:pStyle w:val="TextBody"/>
        <w:bidi w:val="0"/>
        <w:spacing w:before="0" w:after="0"/>
        <w:ind w:left="0" w:right="0" w:firstLine="450"/>
        <w:jc w:val="left"/>
        <w:rPr/>
      </w:pPr>
      <w:r>
        <w:rPr/>
      </w:r>
    </w:p>
    <w:p>
      <w:pPr>
        <w:pStyle w:val="TextBody"/>
        <w:bidi w:val="0"/>
        <w:spacing w:lineRule="auto" w:line="288" w:before="5"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Accounts Receivable Factoring</w:t>
      </w:r>
    </w:p>
    <w:p>
      <w:pPr>
        <w:pStyle w:val="TextBody"/>
        <w:bidi w:val="0"/>
        <w:spacing w:before="5" w:after="283"/>
        <w:ind w:left="0" w:right="0" w:firstLine="360"/>
        <w:jc w:val="both"/>
        <w:rPr/>
      </w:pPr>
      <w:r>
        <w:rPr/>
      </w:r>
    </w:p>
    <w:p>
      <w:pPr>
        <w:pStyle w:val="TextBody"/>
        <w:bidi w:val="0"/>
        <w:spacing w:lineRule="auto" w:line="288" w:before="5"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enter into factoring transactions on a non-recourse basis with financial institutions to sell certain of our non-U.S. accounts receivable. We account for these transactions as sales of financial assets and include the cash proceeds as a part of our cash flows from operations in the Condensed Consolidated Statements of Cash Flows. Total accounts receivable sold under factoring arrangements were $11.2 million and $6.4 million during the three months ended March 31, 2026 and 2025, respectively. Factoring fees on the sales of receivables were recorded in Other income (expense), net in our Condensed Consolidated Statements of Operations and were not material.</w:t>
      </w:r>
    </w:p>
    <w:p>
      <w:pPr>
        <w:pStyle w:val="TextBody"/>
        <w:bidi w:val="0"/>
        <w:spacing w:before="5" w:after="283"/>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i/>
          <w:color w:val="000000"/>
          <w:sz w:val="20"/>
        </w:rPr>
      </w:pPr>
      <w:r>
        <w:rPr>
          <w:rFonts w:ascii="Times New Roman;serif" w:hAnsi="Times New Roman;serif"/>
          <w:b/>
          <w:i/>
          <w:color w:val="000000"/>
          <w:sz w:val="20"/>
        </w:rPr>
        <w:t>Investments in Privately Held Companies</w:t>
      </w:r>
    </w:p>
    <w:p>
      <w:pPr>
        <w:pStyle w:val="TextBody"/>
        <w:bidi w:val="0"/>
        <w:spacing w:before="0" w:after="0"/>
        <w:ind w:left="0" w:right="0" w:firstLine="36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investments in privately held companies in which we cannot exercise significant influence and do not own a majority equity interest or otherwise control are accounted for as investments in equity securities. We have elected to account for all investments in equity securities in accordance with the measurement alternative. Under the measurement alternative, we record the value of our investments in equity securities at cost, minus impairment, if any. Additionally, we adjust the carrying value of our investments in equity securities for observable transactions for identical or similar investments of the same issuer.</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On April 24, 2023 and April 22, 2024, we entered into Subscription Agreements (the “Heartland Subscription Agreements”) with Heartland Dental Holding Corporation (“Heartland”). Pursuant to the Subscription Agreements, we acquired less than a 5% equity interest in total through the purchase of Class A Common Stock for $150.0 million ($75.0 million each in April 2023 and April 2024). In the fourth quarters of 2024 and 2025, we recorded a $6.0 million and $18.0 million increase to the carrying value of our Heartland investment, respectively. These adjustments increased the total carrying value of our investment in Heartland to $174.0 million as of December 31, 2025.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On March 19, 2026, we entered into a new Subscription Agreement with Heartland (the “March 2026 Subscription Agreement”). Pursuant to the March 2026 Subscription Agreement, we acquired additional Class A Common Stock for $50.0 million. Following this investment, our total equity interest in Heartland was still less than 5%. Based on a review of the relevant facts and circumstances, primarily observable transactions for identical investments, we recorded a $7.7 million increase to the carrying value of our Heartland investment in the first quarter of 2026. The total carrying value of our investment in Heartland was $231.7 million as of March 31, 2026.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On December 19, 2024 and June 5, 2025, we entered into Subscription Agreements (the “Smile Doctors Subscription Agreements”) with New SD Holding Company, L.P. (“SD Holding Company”). Pursuant to the Smile Doctors Subscription Agreements, we acquired less than a 3% equity interest through the purchase of Class A Common Units for $40 million. SD Holding Company owns a controlling interest, through intermediary entities, in Smile Doctors, LLC. Based on a review of the relevant facts and circumstances, primarily observable transactions for identical investments, we determined that no adjustment to the carrying value of our investment was necessary for the three months ended March 31, 2026.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investments in privately held companies in which we can exercise significant influence are accounted for as equity method investments. We have elected to account for our equity method investments under the fair value option. As of March 31, 2026, we did not hold any material investments in which we exercised significant influence.</w:t>
      </w:r>
    </w:p>
    <w:p>
      <w:pPr>
        <w:pStyle w:val="TextBody"/>
        <w:bidi w:val="0"/>
        <w:spacing w:before="0" w:after="0"/>
        <w:ind w:left="0" w:right="0" w:firstLine="45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11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11 </w:t>
                      </w:r>
                    </w:p>
                  </w:txbxContent>
                </v:textbox>
                <w10:wrap type="none"/>
              </v:rect>
            </w:pict>
          </mc:Fallback>
        </mc:AlternateContent>
      </w:r>
    </w:p>
    <w:p>
      <w:pPr>
        <w:pStyle w:val="TextBody"/>
        <w:bidi w:val="0"/>
        <w:spacing w:lineRule="auto" w:line="288" w:before="0" w:after="0"/>
        <w:jc w:val="left"/>
        <w:rPr/>
      </w:pPr>
      <w:hyperlink w:anchor="i7a02b169d6be4765847899a2d1aa61f4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carrying value of our investments in equity securities and equity method investments are reported in our Condensed Consolidated Balance Sheets as Other assets and any price adjustments or impairment, if any, are recorded in Other income (expense), net in our Condensed Consolidated Statements of Operations. </w:t>
      </w:r>
    </w:p>
    <w:p>
      <w:pPr>
        <w:pStyle w:val="TextBody"/>
        <w:bidi w:val="0"/>
        <w:spacing w:before="0" w:after="0"/>
        <w:ind w:left="0" w:right="0" w:firstLine="360"/>
        <w:jc w:val="both"/>
        <w:rPr/>
      </w:pPr>
      <w:r>
        <w:rPr/>
      </w:r>
    </w:p>
    <w:p>
      <w:pPr>
        <w:pStyle w:val="TextBody"/>
        <w:bidi w:val="0"/>
        <w:spacing w:lineRule="auto" w:line="288" w:before="0" w:after="0"/>
        <w:ind w:left="0" w:right="0" w:firstLine="450"/>
        <w:jc w:val="both"/>
        <w:rPr>
          <w:rFonts w:ascii="Times New Roman;serif" w:hAnsi="Times New Roman;serif"/>
          <w:b/>
          <w:i/>
          <w:color w:val="000000"/>
          <w:sz w:val="20"/>
        </w:rPr>
      </w:pPr>
      <w:r>
        <w:rPr>
          <w:rFonts w:ascii="Times New Roman;serif" w:hAnsi="Times New Roman;serif"/>
          <w:b/>
          <w:i/>
          <w:color w:val="000000"/>
          <w:sz w:val="20"/>
        </w:rPr>
        <w:t>Derivatives Not Designated as Hedging Instruments</w:t>
      </w:r>
    </w:p>
    <w:p>
      <w:pPr>
        <w:pStyle w:val="TextBody"/>
        <w:bidi w:val="0"/>
        <w:spacing w:before="0" w:after="0"/>
        <w:ind w:left="0" w:right="0" w:firstLine="36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enter into foreign currency forward contracts to minimize the short-term impact of foreign currency exchange rate fluctuations on certain assets and liabilities. These forward contracts are classified within Level 2 of the fair value hierarchy. As a result of the settlement of foreign currency forward contracts, we recognized a net gain of $8.0 million and a net loss of $11.5 million during the three months ended March 31, 2026 and 2025, respectively. Recognized gains and losses from the settlement of foreign currency forward contracts are recorded in Other income (expense), net in our Condensed Consolidated Statements of Operations. As of March 31, 2026 and December 31, 2025, the fair value of outstanding foreign exchange forward contracts was not material.</w:t>
      </w:r>
    </w:p>
    <w:p>
      <w:pPr>
        <w:pStyle w:val="TextBody"/>
        <w:bidi w:val="0"/>
        <w:spacing w:before="0" w:after="0"/>
        <w:ind w:left="0" w:right="0" w:firstLine="45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12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12 </w:t>
                      </w:r>
                    </w:p>
                  </w:txbxContent>
                </v:textbox>
                <w10:wrap type="none"/>
              </v:rect>
            </w:pict>
          </mc:Fallback>
        </mc:AlternateContent>
      </w:r>
    </w:p>
    <w:p>
      <w:pPr>
        <w:pStyle w:val="TextBody"/>
        <w:bidi w:val="0"/>
        <w:spacing w:lineRule="auto" w:line="288" w:before="0" w:after="0"/>
        <w:jc w:val="left"/>
        <w:rPr/>
      </w:pPr>
      <w:hyperlink w:anchor="i7a02b169d6be4765847899a2d1aa61f4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tables present the gross notional value of all our foreign exchange forward contracts outstanding as of March 31, 2026 and December 31, 2025 (in thousands):</w:t>
      </w:r>
    </w:p>
    <w:tbl>
      <w:tblPr>
        <w:tblW w:w="7464" w:type="dxa"/>
        <w:jc w:val="left"/>
        <w:tblInd w:w="0" w:type="dxa"/>
        <w:tblLayout w:type="fixed"/>
        <w:tblCellMar>
          <w:top w:w="28" w:type="dxa"/>
          <w:left w:w="28" w:type="dxa"/>
          <w:bottom w:w="28" w:type="dxa"/>
          <w:right w:w="28" w:type="dxa"/>
        </w:tblCellMar>
      </w:tblPr>
      <w:tblGrid>
        <w:gridCol w:w="961"/>
        <w:gridCol w:w="839"/>
        <w:gridCol w:w="854"/>
        <w:gridCol w:w="624"/>
        <w:gridCol w:w="624"/>
        <w:gridCol w:w="626"/>
        <w:gridCol w:w="109"/>
        <w:gridCol w:w="109"/>
        <w:gridCol w:w="109"/>
        <w:gridCol w:w="462"/>
        <w:gridCol w:w="1810"/>
        <w:gridCol w:w="337"/>
      </w:tblGrid>
      <w:tr>
        <w:trPr/>
        <w:tc>
          <w:tcPr>
            <w:tcW w:w="961"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810"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Local Currency Amount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Notional Contract Amount (USD)</w:t>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w:t>
            </w:r>
          </w:p>
        </w:tc>
        <w:tc>
          <w:tcPr>
            <w:tcW w:w="187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r>
              <w:rPr>
                <w:rFonts w:ascii="Times New Roman;serif" w:hAnsi="Times New Roman;serif"/>
                <w:b w:val="false"/>
                <w:color w:val="000000"/>
                <w:sz w:val="20"/>
              </w:rPr>
              <w:t>227,700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262,936 </w:t>
            </w:r>
          </w:p>
        </w:tc>
        <w:tc>
          <w:tcPr>
            <w:tcW w:w="3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Canadian Dollar</w:t>
            </w:r>
          </w:p>
        </w:tc>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C$87,800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63,105 </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Polish Zloty</w:t>
            </w:r>
          </w:p>
        </w:tc>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PLN176,500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47,451 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British Pound</w:t>
            </w:r>
          </w:p>
        </w:tc>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47,032 </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Israeli Shekel</w:t>
            </w:r>
          </w:p>
        </w:tc>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ILS80,500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25,479 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Japanese Yen</w:t>
            </w:r>
          </w:p>
        </w:tc>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18,286 </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Brazilian Real</w:t>
            </w:r>
          </w:p>
        </w:tc>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R$88,000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16,726 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Chinese Yuan</w:t>
            </w:r>
          </w:p>
        </w:tc>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5,784 </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Swiss Franc</w:t>
            </w:r>
          </w:p>
        </w:tc>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CHF2,700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3,386 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Taiwan Dollar</w:t>
            </w:r>
          </w:p>
        </w:tc>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NT$106,600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3,306 </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Zealand Dollar</w:t>
            </w:r>
          </w:p>
        </w:tc>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NZ$4,700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2,697 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Korean Won</w:t>
            </w:r>
          </w:p>
        </w:tc>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r>
              <w:rPr>
                <w:rFonts w:ascii="Times New Roman;serif" w:hAnsi="Times New Roman;serif"/>
                <w:b w:val="false"/>
                <w:color w:val="000000"/>
                <w:sz w:val="20"/>
              </w:rPr>
              <w:t>3,870,000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2,529 </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Australian Dollar</w:t>
            </w:r>
          </w:p>
        </w:tc>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A$3,400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2,337 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vAlign w:val="center"/>
          </w:tcPr>
          <w:p>
            <w:pPr>
              <w:pStyle w:val="TableContents"/>
              <w:bidi w:val="0"/>
              <w:spacing w:before="0" w:after="283"/>
              <w:jc w:val="left"/>
              <w:rPr>
                <w:sz w:val="4"/>
                <w:szCs w:val="4"/>
              </w:rPr>
            </w:pPr>
            <w:r>
              <w:rPr>
                <w:sz w:val="4"/>
                <w:szCs w:val="4"/>
              </w:rPr>
            </w:r>
          </w:p>
        </w:tc>
        <w:tc>
          <w:tcPr>
            <w:tcW w:w="1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09" w:type="dxa"/>
            <w:gridSpan w:val="3"/>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Czech Koruna</w:t>
            </w:r>
          </w:p>
        </w:tc>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Kč13,700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645 </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notional contract amount</w:t>
            </w:r>
          </w:p>
        </w:tc>
        <w:tc>
          <w:tcPr>
            <w:tcW w:w="18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501,699 </w:t>
            </w:r>
          </w:p>
        </w:tc>
        <w:tc>
          <w:tcPr>
            <w:tcW w:w="3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50"/>
        <w:jc w:val="left"/>
        <w:rPr/>
      </w:pPr>
      <w:r>
        <w:rPr/>
      </w:r>
    </w:p>
    <w:tbl>
      <w:tblPr>
        <w:tblW w:w="7464" w:type="dxa"/>
        <w:jc w:val="center"/>
        <w:tblInd w:w="0" w:type="dxa"/>
        <w:tblLayout w:type="fixed"/>
        <w:tblCellMar>
          <w:top w:w="28" w:type="dxa"/>
          <w:left w:w="28" w:type="dxa"/>
          <w:bottom w:w="28" w:type="dxa"/>
          <w:right w:w="28" w:type="dxa"/>
        </w:tblCellMar>
      </w:tblPr>
      <w:tblGrid>
        <w:gridCol w:w="961"/>
        <w:gridCol w:w="839"/>
        <w:gridCol w:w="854"/>
        <w:gridCol w:w="624"/>
        <w:gridCol w:w="624"/>
        <w:gridCol w:w="626"/>
        <w:gridCol w:w="109"/>
        <w:gridCol w:w="109"/>
        <w:gridCol w:w="109"/>
        <w:gridCol w:w="462"/>
        <w:gridCol w:w="1810"/>
        <w:gridCol w:w="337"/>
      </w:tblGrid>
      <w:tr>
        <w:trPr/>
        <w:tc>
          <w:tcPr>
            <w:tcW w:w="961"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810"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Local Currency Amount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Notional Contract Amount (USD)</w:t>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w:t>
            </w:r>
          </w:p>
        </w:tc>
        <w:tc>
          <w:tcPr>
            <w:tcW w:w="187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r>
              <w:rPr>
                <w:rFonts w:ascii="Times New Roman;serif" w:hAnsi="Times New Roman;serif"/>
                <w:b w:val="false"/>
                <w:color w:val="000000"/>
                <w:sz w:val="20"/>
              </w:rPr>
              <w:t>183,700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215,895 </w:t>
            </w:r>
          </w:p>
        </w:tc>
        <w:tc>
          <w:tcPr>
            <w:tcW w:w="3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Canadian Dollar</w:t>
            </w:r>
          </w:p>
        </w:tc>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C$90,000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65,802 </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British Pound</w:t>
            </w:r>
          </w:p>
        </w:tc>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51,782 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Polish Zloty</w:t>
            </w:r>
          </w:p>
        </w:tc>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PLN174,800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48,605 </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Israeli Shekel</w:t>
            </w:r>
          </w:p>
        </w:tc>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ILS80,500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25,283 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Japanese Yen</w:t>
            </w:r>
          </w:p>
        </w:tc>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20,447 </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Brazilian Real</w:t>
            </w:r>
          </w:p>
        </w:tc>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R$63,500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11,440 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Chinese Yuan</w:t>
            </w:r>
          </w:p>
        </w:tc>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7,461 </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Swiss Franc</w:t>
            </w:r>
          </w:p>
        </w:tc>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CHF4,200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5,316 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Taiwan Dollar</w:t>
            </w:r>
          </w:p>
        </w:tc>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NT$121,500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3,851 </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Zealand Dollar</w:t>
            </w:r>
          </w:p>
        </w:tc>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NZ$6,020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3,474 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Korean Won</w:t>
            </w:r>
          </w:p>
        </w:tc>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r>
              <w:rPr>
                <w:rFonts w:ascii="Times New Roman;serif" w:hAnsi="Times New Roman;serif"/>
                <w:b w:val="false"/>
                <w:color w:val="000000"/>
                <w:sz w:val="20"/>
              </w:rPr>
              <w:t>4,600,000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3,207 </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Australian Dollar</w:t>
            </w:r>
          </w:p>
        </w:tc>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A$3,500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2,337 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Czech Koruna</w:t>
            </w:r>
          </w:p>
        </w:tc>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Kč26,000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1,262 </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vAlign w:val="center"/>
          </w:tcPr>
          <w:p>
            <w:pPr>
              <w:pStyle w:val="TableContents"/>
              <w:bidi w:val="0"/>
              <w:spacing w:before="0" w:after="283"/>
              <w:jc w:val="left"/>
              <w:rPr>
                <w:sz w:val="4"/>
                <w:szCs w:val="4"/>
              </w:rPr>
            </w:pPr>
            <w:r>
              <w:rPr>
                <w:sz w:val="4"/>
                <w:szCs w:val="4"/>
              </w:rPr>
            </w:r>
          </w:p>
        </w:tc>
        <w:tc>
          <w:tcPr>
            <w:tcW w:w="1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09" w:type="dxa"/>
            <w:gridSpan w:val="3"/>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notional contract amount</w:t>
            </w:r>
          </w:p>
        </w:tc>
        <w:tc>
          <w:tcPr>
            <w:tcW w:w="18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466,162 </w:t>
            </w:r>
          </w:p>
        </w:tc>
        <w:tc>
          <w:tcPr>
            <w:tcW w:w="3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13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13 </w:t>
                      </w:r>
                    </w:p>
                  </w:txbxContent>
                </v:textbox>
                <w10:wrap type="none"/>
              </v:rect>
            </w:pict>
          </mc:Fallback>
        </mc:AlternateContent>
      </w:r>
    </w:p>
    <w:p>
      <w:pPr>
        <w:pStyle w:val="TextBody"/>
        <w:bidi w:val="0"/>
        <w:spacing w:lineRule="auto" w:line="288" w:before="0" w:after="0"/>
        <w:jc w:val="left"/>
        <w:rPr/>
      </w:pPr>
      <w:hyperlink w:anchor="i7a02b169d6be4765847899a2d1aa61f4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Note 3. Balance Sheet Components </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Inventories consist of the following (in thousands): </w:t>
      </w:r>
    </w:p>
    <w:tbl>
      <w:tblPr>
        <w:tblW w:w="4505" w:type="dxa"/>
        <w:jc w:val="left"/>
        <w:tblInd w:w="0" w:type="dxa"/>
        <w:tblLayout w:type="fixed"/>
        <w:tblCellMar>
          <w:top w:w="28" w:type="dxa"/>
          <w:left w:w="28" w:type="dxa"/>
          <w:bottom w:w="28" w:type="dxa"/>
          <w:right w:w="28" w:type="dxa"/>
        </w:tblCellMar>
      </w:tblPr>
      <w:tblGrid>
        <w:gridCol w:w="548"/>
        <w:gridCol w:w="481"/>
        <w:gridCol w:w="485"/>
        <w:gridCol w:w="109"/>
        <w:gridCol w:w="109"/>
        <w:gridCol w:w="109"/>
        <w:gridCol w:w="211"/>
        <w:gridCol w:w="826"/>
        <w:gridCol w:w="109"/>
        <w:gridCol w:w="109"/>
        <w:gridCol w:w="109"/>
        <w:gridCol w:w="109"/>
        <w:gridCol w:w="211"/>
        <w:gridCol w:w="826"/>
        <w:gridCol w:w="154"/>
      </w:tblGrid>
      <w:tr>
        <w:trPr/>
        <w:tc>
          <w:tcPr>
            <w:tcW w:w="548"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96,429 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107,296 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 in process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inventories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214,944 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226,343 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 consist of the following (in thousands):</w:t>
      </w:r>
    </w:p>
    <w:tbl>
      <w:tblPr>
        <w:tblW w:w="6921" w:type="dxa"/>
        <w:jc w:val="left"/>
        <w:tblInd w:w="0" w:type="dxa"/>
        <w:tblLayout w:type="fixed"/>
        <w:tblCellMar>
          <w:top w:w="28" w:type="dxa"/>
          <w:left w:w="28" w:type="dxa"/>
          <w:bottom w:w="28" w:type="dxa"/>
          <w:right w:w="28" w:type="dxa"/>
        </w:tblCellMar>
      </w:tblPr>
      <w:tblGrid>
        <w:gridCol w:w="1422"/>
        <w:gridCol w:w="1252"/>
        <w:gridCol w:w="1256"/>
        <w:gridCol w:w="109"/>
        <w:gridCol w:w="109"/>
        <w:gridCol w:w="109"/>
        <w:gridCol w:w="211"/>
        <w:gridCol w:w="826"/>
        <w:gridCol w:w="109"/>
        <w:gridCol w:w="109"/>
        <w:gridCol w:w="109"/>
        <w:gridCol w:w="109"/>
        <w:gridCol w:w="211"/>
        <w:gridCol w:w="826"/>
        <w:gridCol w:w="154"/>
      </w:tblGrid>
      <w:tr>
        <w:trPr/>
        <w:tc>
          <w:tcPr>
            <w:tcW w:w="1422"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Value added tax receivables</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55,819 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215,706 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165,571 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both"/>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 xml:space="preserve">Refer to </w:t>
      </w:r>
      <w:r>
        <w:rPr>
          <w:rFonts w:ascii="Times New Roman;serif" w:hAnsi="Times New Roman;serif"/>
          <w:b w:val="false"/>
          <w:i/>
          <w:color w:val="000000"/>
          <w:sz w:val="18"/>
        </w:rPr>
        <w:t xml:space="preserve">Note 7 "Commitments and Contingencies" of the Notes to Condensed Consolidated Financial Statements </w:t>
      </w:r>
      <w:r>
        <w:rPr>
          <w:rFonts w:ascii="Times New Roman;serif" w:hAnsi="Times New Roman;serif"/>
          <w:b w:val="false"/>
          <w:color w:val="000000"/>
          <w:sz w:val="18"/>
        </w:rPr>
        <w:t>for discussion of tax matter.</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pPr>
      <w:r>
        <w:rPr>
          <w:rFonts w:ascii="Times New Roman;serif" w:hAnsi="Times New Roman;serif"/>
          <w:b w:val="false"/>
          <w:color w:val="000000"/>
          <w:sz w:val="20"/>
        </w:rPr>
        <w:t>Accrued liabilities consist of the following (in thousands):</w:t>
      </w:r>
      <w:r>
        <w:rPr>
          <w:color w:val="000000"/>
        </w:rPr>
        <w:t> </w:t>
      </w:r>
    </w:p>
    <w:tbl>
      <w:tblPr>
        <w:tblW w:w="6291" w:type="dxa"/>
        <w:jc w:val="left"/>
        <w:tblInd w:w="0" w:type="dxa"/>
        <w:tblLayout w:type="fixed"/>
        <w:tblCellMar>
          <w:top w:w="28" w:type="dxa"/>
          <w:left w:w="28" w:type="dxa"/>
          <w:bottom w:w="28" w:type="dxa"/>
          <w:right w:w="28" w:type="dxa"/>
        </w:tblCellMar>
      </w:tblPr>
      <w:tblGrid>
        <w:gridCol w:w="1194"/>
        <w:gridCol w:w="1049"/>
        <w:gridCol w:w="1057"/>
        <w:gridCol w:w="109"/>
        <w:gridCol w:w="109"/>
        <w:gridCol w:w="109"/>
        <w:gridCol w:w="211"/>
        <w:gridCol w:w="826"/>
        <w:gridCol w:w="109"/>
        <w:gridCol w:w="109"/>
        <w:gridCol w:w="109"/>
        <w:gridCol w:w="109"/>
        <w:gridCol w:w="211"/>
        <w:gridCol w:w="826"/>
        <w:gridCol w:w="154"/>
      </w:tblGrid>
      <w:tr>
        <w:trPr/>
        <w:tc>
          <w:tcPr>
            <w:tcW w:w="1194"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payroll and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205,321 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226,149 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professional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sales and marketing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property, plant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accrued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115,607 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120,908 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accrued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546,879 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536,749 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Accrued warranty, which is included in the “Other accrued liabilities” category of the Total accrued liabilities table above, consists of the following activity (in thousands):</w:t>
      </w:r>
    </w:p>
    <w:tbl>
      <w:tblPr>
        <w:tblW w:w="5451" w:type="dxa"/>
        <w:jc w:val="left"/>
        <w:tblInd w:w="0" w:type="dxa"/>
        <w:tblLayout w:type="fixed"/>
        <w:tblCellMar>
          <w:top w:w="28" w:type="dxa"/>
          <w:left w:w="28" w:type="dxa"/>
          <w:bottom w:w="28" w:type="dxa"/>
          <w:right w:w="28" w:type="dxa"/>
        </w:tblCellMar>
      </w:tblPr>
      <w:tblGrid>
        <w:gridCol w:w="967"/>
        <w:gridCol w:w="850"/>
        <w:gridCol w:w="853"/>
        <w:gridCol w:w="109"/>
        <w:gridCol w:w="109"/>
        <w:gridCol w:w="109"/>
        <w:gridCol w:w="211"/>
        <w:gridCol w:w="721"/>
        <w:gridCol w:w="109"/>
        <w:gridCol w:w="109"/>
        <w:gridCol w:w="109"/>
        <w:gridCol w:w="109"/>
        <w:gridCol w:w="211"/>
        <w:gridCol w:w="721"/>
        <w:gridCol w:w="154"/>
      </w:tblGrid>
      <w:tr>
        <w:trPr/>
        <w:tc>
          <w:tcPr>
            <w:tcW w:w="967"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31,211 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Charged to cost of net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Actual warranty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14,887 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32,598 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Deferred revenues consist of the following (in thousands):</w:t>
      </w:r>
    </w:p>
    <w:tbl>
      <w:tblPr>
        <w:tblW w:w="5931" w:type="dxa"/>
        <w:jc w:val="left"/>
        <w:tblInd w:w="0" w:type="dxa"/>
        <w:tblLayout w:type="fixed"/>
        <w:tblCellMar>
          <w:top w:w="28" w:type="dxa"/>
          <w:left w:w="28" w:type="dxa"/>
          <w:bottom w:w="28" w:type="dxa"/>
          <w:right w:w="28" w:type="dxa"/>
        </w:tblCellMar>
      </w:tblPr>
      <w:tblGrid>
        <w:gridCol w:w="954"/>
        <w:gridCol w:w="841"/>
        <w:gridCol w:w="845"/>
        <w:gridCol w:w="109"/>
        <w:gridCol w:w="109"/>
        <w:gridCol w:w="109"/>
        <w:gridCol w:w="211"/>
        <w:gridCol w:w="976"/>
        <w:gridCol w:w="109"/>
        <w:gridCol w:w="109"/>
        <w:gridCol w:w="109"/>
        <w:gridCol w:w="109"/>
        <w:gridCol w:w="211"/>
        <w:gridCol w:w="976"/>
        <w:gridCol w:w="154"/>
      </w:tblGrid>
      <w:tr>
        <w:trPr/>
        <w:tc>
          <w:tcPr>
            <w:tcW w:w="954"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revenues - 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1,235,254 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1,261,816 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Deferred revenues - long-term</w:t>
            </w:r>
            <w:r>
              <w:rPr>
                <w:color w:val="000000"/>
              </w:rPr>
              <w:t xml:space="preserve"> </w:t>
            </w:r>
            <w:r>
              <w:rPr>
                <w:rFonts w:ascii="Times New Roman;serif" w:hAnsi="Times New Roman;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77,863 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85,543 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deferred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1,313,117 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1,347,359 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both"/>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Included in Other long-term liabilities within our Condensed Consolidated Balance Sheets.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14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14 </w:t>
                      </w:r>
                    </w:p>
                  </w:txbxContent>
                </v:textbox>
                <w10:wrap type="none"/>
              </v:rect>
            </w:pict>
          </mc:Fallback>
        </mc:AlternateContent>
      </w:r>
    </w:p>
    <w:p>
      <w:pPr>
        <w:pStyle w:val="TextBody"/>
        <w:bidi w:val="0"/>
        <w:spacing w:lineRule="auto" w:line="288" w:before="0" w:after="0"/>
        <w:jc w:val="left"/>
        <w:rPr/>
      </w:pPr>
      <w:hyperlink w:anchor="i7a02b169d6be4765847899a2d1aa61f4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and 2025, we recognized $1,040.1 million and $979.3 million of net revenues, respectively, of which $246.4 million and $246.0 million was included in the deferred revenues balance at December 31, 2025 and 2024, respectively.</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unfulfilled performance obligations, including deferred revenues and backlog, as of March 31, 2026 were $1,314.3 million. These performance obligations are expected to be fulfilled over a period of up to five years.</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Note 4</w:t>
      </w:r>
      <w:r>
        <w:rPr>
          <w:rFonts w:ascii="Times New Roman;serif" w:hAnsi="Times New Roman;serif"/>
          <w:b/>
          <w:color w:val="000000"/>
          <w:sz w:val="20"/>
          <w:shd w:fill="FFFFFF" w:val="clear"/>
        </w:rPr>
        <w:t xml:space="preserve">. Goodwill and Intangible Assets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i/>
          <w:color w:val="000000"/>
          <w:sz w:val="20"/>
        </w:rPr>
      </w:pPr>
      <w:r>
        <w:rPr>
          <w:rFonts w:ascii="Times New Roman;serif" w:hAnsi="Times New Roman;serif"/>
          <w:b/>
          <w:i/>
          <w:color w:val="000000"/>
          <w:sz w:val="20"/>
        </w:rPr>
        <w:t xml:space="preserve">Goodwill </w:t>
      </w:r>
    </w:p>
    <w:p>
      <w:pPr>
        <w:pStyle w:val="TextBody"/>
        <w:bidi w:val="0"/>
        <w:spacing w:before="0" w:after="0"/>
        <w:ind w:left="0" w:right="0" w:firstLine="36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change in the carrying value of goodwill for the three months ended March 31, 2026, categorized by reportable segment, is as follows (in thousands):</w:t>
      </w:r>
    </w:p>
    <w:tbl>
      <w:tblPr>
        <w:tblW w:w="8105" w:type="dxa"/>
        <w:jc w:val="left"/>
        <w:tblInd w:w="0" w:type="dxa"/>
        <w:tblLayout w:type="fixed"/>
        <w:tblCellMar>
          <w:top w:w="28" w:type="dxa"/>
          <w:left w:w="28" w:type="dxa"/>
          <w:bottom w:w="28" w:type="dxa"/>
          <w:right w:w="28" w:type="dxa"/>
        </w:tblCellMar>
      </w:tblPr>
      <w:tblGrid>
        <w:gridCol w:w="1266"/>
        <w:gridCol w:w="1113"/>
        <w:gridCol w:w="1115"/>
        <w:gridCol w:w="211"/>
        <w:gridCol w:w="826"/>
        <w:gridCol w:w="109"/>
        <w:gridCol w:w="109"/>
        <w:gridCol w:w="109"/>
        <w:gridCol w:w="109"/>
        <w:gridCol w:w="298"/>
        <w:gridCol w:w="1168"/>
        <w:gridCol w:w="154"/>
        <w:gridCol w:w="109"/>
        <w:gridCol w:w="109"/>
        <w:gridCol w:w="109"/>
        <w:gridCol w:w="211"/>
        <w:gridCol w:w="826"/>
        <w:gridCol w:w="154"/>
      </w:tblGrid>
      <w:tr>
        <w:trPr/>
        <w:tc>
          <w:tcPr>
            <w:tcW w:w="1266"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Clear Aligner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Systems and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2025</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164,255 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327,578 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491,833 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Additions from acquisition</w:t>
            </w:r>
            <w:r>
              <w:rPr>
                <w:rFonts w:ascii="Times New Roman;serif" w:hAnsi="Times New Roman;serif"/>
                <w:b w:val="false"/>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Foreign currency translation adjustments</w:t>
            </w:r>
            <w:r>
              <w:rPr>
                <w:color w:val="000000"/>
              </w:rPr>
              <w:t xml:space="preserve">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March 31, 2026</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162,640 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340,401 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503,041 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01"/>
        <w:jc w:val="both"/>
        <w:rPr/>
      </w:pPr>
      <w:r>
        <w:rPr>
          <w:rFonts w:ascii="Times New Roman;serif" w:hAnsi="Times New Roman;serif"/>
          <w:b w:val="false"/>
          <w:color w:val="000000"/>
          <w:sz w:val="12"/>
        </w:rPr>
        <w:t xml:space="preserve">1 </w:t>
      </w:r>
      <w:r>
        <w:rPr>
          <w:rFonts w:ascii="Times New Roman;serif" w:hAnsi="Times New Roman;serif"/>
          <w:b w:val="false"/>
          <w:color w:val="000000"/>
          <w:sz w:val="18"/>
        </w:rPr>
        <w:t>We recorded $18.6 million of goodwill within the Systems and Services segment for an immaterial acquisition that was completed in the first quarter of 2026. The amount recorded is based on preliminary estimates of the fair values of assets acquired and liabilities assumed and is subject to adjustment during the measurement period.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Intangible Assets</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Acquired intangible assets, excluding intangibles that were fully amortized, are as follows (in thousands): </w:t>
      </w:r>
    </w:p>
    <w:tbl>
      <w:tblPr>
        <w:tblW w:w="10205" w:type="dxa"/>
        <w:jc w:val="left"/>
        <w:tblInd w:w="0" w:type="dxa"/>
        <w:tblLayout w:type="fixed"/>
        <w:tblCellMar>
          <w:top w:w="28" w:type="dxa"/>
          <w:left w:w="28" w:type="dxa"/>
          <w:bottom w:w="28" w:type="dxa"/>
          <w:right w:w="28" w:type="dxa"/>
        </w:tblCellMar>
      </w:tblPr>
      <w:tblGrid>
        <w:gridCol w:w="981"/>
        <w:gridCol w:w="784"/>
        <w:gridCol w:w="789"/>
        <w:gridCol w:w="749"/>
        <w:gridCol w:w="749"/>
        <w:gridCol w:w="751"/>
        <w:gridCol w:w="109"/>
        <w:gridCol w:w="109"/>
        <w:gridCol w:w="109"/>
        <w:gridCol w:w="338"/>
        <w:gridCol w:w="1325"/>
        <w:gridCol w:w="174"/>
        <w:gridCol w:w="109"/>
        <w:gridCol w:w="109"/>
        <w:gridCol w:w="109"/>
        <w:gridCol w:w="211"/>
        <w:gridCol w:w="781"/>
        <w:gridCol w:w="109"/>
        <w:gridCol w:w="109"/>
        <w:gridCol w:w="109"/>
        <w:gridCol w:w="109"/>
        <w:gridCol w:w="109"/>
        <w:gridCol w:w="109"/>
        <w:gridCol w:w="222"/>
        <w:gridCol w:w="873"/>
        <w:gridCol w:w="170"/>
      </w:tblGrid>
      <w:tr>
        <w:trPr/>
        <w:tc>
          <w:tcPr>
            <w:tcW w:w="981"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Weighted Average Amortization Period </w:t>
              <w:b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Gross Carrying Amount as of </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Net Carrying </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Value as of </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March 31, 2026</w:t>
            </w:r>
          </w:p>
        </w:tc>
      </w:tr>
      <w:tr>
        <w:trPr/>
        <w:tc>
          <w:tcPr>
            <w:tcW w:w="2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Existing technology</w:t>
            </w:r>
          </w:p>
        </w:tc>
        <w:tc>
          <w:tcPr>
            <w:tcW w:w="22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146,651 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(70,849)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75,802 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2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21,500 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8,600 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Trademarks and tradenames</w:t>
            </w:r>
          </w:p>
        </w:tc>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9,800 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1,400 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Patents </w:t>
            </w:r>
          </w:p>
        </w:tc>
        <w:tc>
          <w:tcPr>
            <w:tcW w:w="2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Total finite-lived intangible assets</w:t>
            </w:r>
          </w:p>
        </w:tc>
        <w:tc>
          <w:tcPr>
            <w:tcW w:w="22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178,431 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(92,479)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85,952 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In-process research and development</w:t>
            </w:r>
            <w:r>
              <w:rPr>
                <w:rFonts w:ascii="Times New Roman;serif" w:hAnsi="Times New Roman;serif"/>
                <w:b w:val="false"/>
                <w:color w:val="000000"/>
                <w:sz w:val="13"/>
              </w:rPr>
              <w:t>1</w:t>
            </w:r>
          </w:p>
        </w:tc>
        <w:tc>
          <w:tcPr>
            <w:tcW w:w="22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12,554 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12,554 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22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2,312 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Total intangible assets, net</w:t>
            </w:r>
          </w:p>
        </w:tc>
        <w:tc>
          <w:tcPr>
            <w:tcW w:w="22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100,818 </w:t>
            </w:r>
          </w:p>
        </w:tc>
        <w:tc>
          <w:tcPr>
            <w:tcW w:w="1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01"/>
        <w:jc w:val="both"/>
        <w:rPr/>
      </w:pPr>
      <w:r>
        <w:rPr>
          <w:rFonts w:ascii="Times New Roman;serif" w:hAnsi="Times New Roman;serif"/>
          <w:b w:val="false"/>
          <w:color w:val="000000"/>
          <w:sz w:val="12"/>
        </w:rPr>
        <w:t xml:space="preserve">1 </w:t>
      </w:r>
      <w:r>
        <w:rPr>
          <w:rFonts w:ascii="Times New Roman;serif" w:hAnsi="Times New Roman;serif"/>
          <w:b w:val="false"/>
          <w:color w:val="000000"/>
          <w:sz w:val="18"/>
        </w:rPr>
        <w:t xml:space="preserve">In connection with the immaterial acquisition completed during the first quarter of 2026, the Company recorded $12.6 million in acquired in-process research and development within the Systems and Services segment.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15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15 </w:t>
                      </w:r>
                    </w:p>
                  </w:txbxContent>
                </v:textbox>
                <w10:wrap type="none"/>
              </v:rect>
            </w:pict>
          </mc:Fallback>
        </mc:AlternateContent>
      </w:r>
    </w:p>
    <w:p>
      <w:pPr>
        <w:pStyle w:val="TextBody"/>
        <w:bidi w:val="0"/>
        <w:spacing w:lineRule="auto" w:line="288" w:before="0" w:after="0"/>
        <w:jc w:val="left"/>
        <w:rPr/>
      </w:pPr>
      <w:hyperlink w:anchor="i7a02b169d6be4765847899a2d1aa61f4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before="0" w:after="0"/>
        <w:ind w:left="0" w:right="0" w:hanging="101"/>
        <w:jc w:val="both"/>
        <w:rPr/>
      </w:pPr>
      <w:r>
        <w:rPr/>
      </w:r>
    </w:p>
    <w:tbl>
      <w:tblPr>
        <w:tblW w:w="10205" w:type="dxa"/>
        <w:jc w:val="left"/>
        <w:tblInd w:w="0" w:type="dxa"/>
        <w:tblLayout w:type="fixed"/>
        <w:tblCellMar>
          <w:top w:w="28" w:type="dxa"/>
          <w:left w:w="28" w:type="dxa"/>
          <w:bottom w:w="28" w:type="dxa"/>
          <w:right w:w="28" w:type="dxa"/>
        </w:tblCellMar>
      </w:tblPr>
      <w:tblGrid>
        <w:gridCol w:w="912"/>
        <w:gridCol w:w="753"/>
        <w:gridCol w:w="757"/>
        <w:gridCol w:w="721"/>
        <w:gridCol w:w="721"/>
        <w:gridCol w:w="723"/>
        <w:gridCol w:w="109"/>
        <w:gridCol w:w="109"/>
        <w:gridCol w:w="109"/>
        <w:gridCol w:w="358"/>
        <w:gridCol w:w="1405"/>
        <w:gridCol w:w="185"/>
        <w:gridCol w:w="109"/>
        <w:gridCol w:w="109"/>
        <w:gridCol w:w="109"/>
        <w:gridCol w:w="211"/>
        <w:gridCol w:w="780"/>
        <w:gridCol w:w="109"/>
        <w:gridCol w:w="109"/>
        <w:gridCol w:w="109"/>
        <w:gridCol w:w="109"/>
        <w:gridCol w:w="109"/>
        <w:gridCol w:w="109"/>
        <w:gridCol w:w="264"/>
        <w:gridCol w:w="905"/>
        <w:gridCol w:w="202"/>
      </w:tblGrid>
      <w:tr>
        <w:trPr/>
        <w:tc>
          <w:tcPr>
            <w:tcW w:w="912"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24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Weighted Average Amortization Period </w:t>
              <w:b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Gross Carrying</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Amount as of 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Accumulated</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Net Carrying</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Value as of</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Existing technology</w:t>
            </w:r>
          </w:p>
        </w:tc>
        <w:tc>
          <w:tcPr>
            <w:tcW w:w="21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146,651 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(67,138)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79,513 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2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21,500 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9,137 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Trademarks and tradenames</w:t>
            </w:r>
            <w:r>
              <w:rPr>
                <w:rFonts w:ascii="Times New Roman;serif" w:hAnsi="Times New Roman;serif"/>
                <w:b w:val="false"/>
                <w:color w:val="000000"/>
                <w:sz w:val="13"/>
              </w:rPr>
              <w:t>1</w:t>
            </w:r>
          </w:p>
        </w:tc>
        <w:tc>
          <w:tcPr>
            <w:tcW w:w="2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9,800 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1,750 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Patents</w:t>
            </w:r>
          </w:p>
        </w:tc>
        <w:tc>
          <w:tcPr>
            <w:tcW w:w="2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178,431 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(87,871)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90,560 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21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3,373 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Total intangible assets, net</w:t>
            </w:r>
          </w:p>
        </w:tc>
        <w:tc>
          <w:tcPr>
            <w:tcW w:w="21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93,933 </w:t>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01"/>
        <w:jc w:val="both"/>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The weighted average amortization period decreased from 10 years to 7 years due to an intangible asset with a useful life of 15 years becoming fully amortized during the first quarter of 2025.</w:t>
      </w:r>
    </w:p>
    <w:p>
      <w:pPr>
        <w:pStyle w:val="TextBody"/>
        <w:bidi w:val="0"/>
        <w:spacing w:before="0" w:after="0"/>
        <w:ind w:left="0" w:right="0" w:hanging="18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total estimated future amortization expense for the acquired finite-lived intangible assets as of March 31, 2026 is as follows (in thousands):</w:t>
      </w:r>
    </w:p>
    <w:p>
      <w:pPr>
        <w:pStyle w:val="TextBody"/>
        <w:bidi w:val="0"/>
        <w:spacing w:before="0" w:after="0"/>
        <w:ind w:left="0" w:right="0" w:firstLine="450"/>
        <w:jc w:val="both"/>
        <w:rPr/>
      </w:pPr>
      <w:r>
        <w:rPr/>
      </w:r>
    </w:p>
    <w:tbl>
      <w:tblPr>
        <w:tblW w:w="3988" w:type="dxa"/>
        <w:jc w:val="left"/>
        <w:tblInd w:w="0" w:type="dxa"/>
        <w:tblLayout w:type="fixed"/>
        <w:tblCellMar>
          <w:top w:w="28" w:type="dxa"/>
          <w:left w:w="28" w:type="dxa"/>
          <w:bottom w:w="28" w:type="dxa"/>
          <w:right w:w="28" w:type="dxa"/>
        </w:tblCellMar>
      </w:tblPr>
      <w:tblGrid>
        <w:gridCol w:w="916"/>
        <w:gridCol w:w="808"/>
        <w:gridCol w:w="811"/>
        <w:gridCol w:w="109"/>
        <w:gridCol w:w="109"/>
        <w:gridCol w:w="109"/>
        <w:gridCol w:w="218"/>
        <w:gridCol w:w="747"/>
        <w:gridCol w:w="161"/>
      </w:tblGrid>
      <w:tr>
        <w:trPr/>
        <w:tc>
          <w:tcPr>
            <w:tcW w:w="916"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Fiscal Year Ending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Amortization</w:t>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Remainder of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13,314 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15,607 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18,078 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85,952 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pPr>
      <w:r>
        <w:rPr>
          <w:rFonts w:ascii="Times New Roman;serif" w:hAnsi="Times New Roman;serif"/>
          <w:b w:val="false"/>
          <w:color w:val="000000"/>
          <w:sz w:val="20"/>
        </w:rPr>
        <w:t>Amortization expense for</w:t>
      </w:r>
      <w:r>
        <w:rPr>
          <w:color w:val="EE2724"/>
        </w:rPr>
        <w:t xml:space="preserve"> </w:t>
      </w:r>
      <w:r>
        <w:rPr>
          <w:rFonts w:ascii="Times New Roman;serif" w:hAnsi="Times New Roman;serif"/>
          <w:b w:val="false"/>
          <w:color w:val="000000"/>
          <w:sz w:val="20"/>
        </w:rPr>
        <w:t>the three months ended March 31, 2026 and 2025 was $4.8 million and $4.6 million, respectively.</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Note 5</w:t>
      </w:r>
      <w:r>
        <w:rPr>
          <w:rFonts w:ascii="Times New Roman;serif" w:hAnsi="Times New Roman;serif"/>
          <w:b/>
          <w:color w:val="000000"/>
          <w:sz w:val="20"/>
          <w:shd w:fill="FFFFFF" w:val="clear"/>
        </w:rPr>
        <w:t>. Credit Facility</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maintain a credit facility, as amended in March 2026, that includes a $300.0 million unsecured revolving line of credit and a $50.0 million letter of credit sub-limit. The facility matures on December 23, 2027 and loans under the facility accrue interest, at our election, based on either the Secured Overnight Financing Rate (“SOFR”) for the applicable period or a base rate, in each case plus an applicable margin.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facility includes financial covenants and performance requirements. As of March 31, 2026, we had no outstanding borrowings under the facility and were in compliance with the terms and conditions of the facility in all material respects.</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Note 6. Legal Proceedings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Under Securities and Exchange Commission Regulation S-K, Item 103, we are required to briefly describe any material pending legal proceedings other than ordinary routine litigation incidental to our business, to which we or any of our subsidiaries are a party or of which any of our or our subsidiaries’ property is subject. </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descriptions below are intended to comply with such regulations based on information reasonably known to us as of the date of this Quarterly Report on Form 10-Q. These descriptions are not intended to imply or predict outcomes in any of the matters described or any other litigation or disputes to which we are or may hereafter be a party. We are currently unable to predict the outcome of these lawsuits or any future litigation, and therefore we cannot determine the likelihood of loss, if any, nor estimate a range of possible loss.</w:t>
      </w:r>
    </w:p>
    <w:p>
      <w:pPr>
        <w:pStyle w:val="TextBody"/>
        <w:bidi w:val="0"/>
        <w:spacing w:before="0" w:after="0"/>
        <w:ind w:left="0" w:right="0" w:firstLine="360"/>
        <w:jc w:val="both"/>
        <w:rPr/>
      </w:pPr>
      <w:r>
        <w:rPr/>
      </w:r>
    </w:p>
    <w:p>
      <w:pPr>
        <w:pStyle w:val="TextBody"/>
        <w:bidi w:val="0"/>
        <w:spacing w:lineRule="auto" w:line="26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ending March 31, 2026, we accrued $30.6 million for legal settlements.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16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16 </w:t>
                      </w:r>
                    </w:p>
                  </w:txbxContent>
                </v:textbox>
                <w10:wrap type="none"/>
              </v:rect>
            </w:pict>
          </mc:Fallback>
        </mc:AlternateContent>
      </w:r>
    </w:p>
    <w:p>
      <w:pPr>
        <w:pStyle w:val="TextBody"/>
        <w:bidi w:val="0"/>
        <w:spacing w:lineRule="auto" w:line="288" w:before="0" w:after="0"/>
        <w:jc w:val="left"/>
        <w:rPr/>
      </w:pPr>
      <w:hyperlink w:anchor="i7a02b169d6be4765847899a2d1aa61f4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68" w:before="0" w:after="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Antitrust Class Actions</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June 5, 2020, a dental practice, Simon and Simon, PC (doing business as City Smiles), brought an antitrust action in the U.S. District Court for the Northern District of California on behalf of itself and a putative class of similarly situated practices seeking treble monetary damages, interest, costs, attorneys’ fees, and injunctive relief relating to our alleged market activities in alleged clear aligner and intraoral scanner markets. Plaintiff filed an amended complaint and added VIP Dental Spas as a plaintiff on August 14, 2020. On December 18, 2023, the court certified a class of persons or entities that purchased Invisalign directly from us between January 1, 2019 and March 31, 2022. The court denied Plaintiffs’ motion to certify a class of purchasers of scanners. On February 21, 2024, the court granted our motion for summary judgment on all claims brought by the plaintiffs. Plaintiffs have appealed the district court’s summary judgment ruling to the United States Court of Appeals for the Ninth Circuit. Oral argument was held on April 10, 2025.</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May 3, 2021, an individual named Misty Snow brought an antitrust action in the U.S. District Court for the Northern District of California on behalf of herself and a putative class of similarly situated individuals seeking treble monetary damages, interest, costs, attorneys’ fees, and injunctive relief relating to our alleged market activities in alleged clear aligner and intraoral scanner markets based on Section 2 of the Sherman Act. Plaintiffs have since filed several amended complaints adding new plaintiffs and various state law claims. On November 29, 2023, the court certified a class of indirect purchasers of Invisalign between July 1, 2018 and December 31, 2023 and a class of indirect purchasers of Invisalign seeking injunctive relief. On February 21, 2024, the court granted our motion for summary judgment on the claims related to Section 2 allegations. The court entered judgment for the Section 2 and related state law claims on March 22, 2024. Plaintiffs have appealed the district court’s summary judgment ruling to the United States Court of Appeals for the Ninth Circuit. Oral argument was held on April 10, 2025.</w:t>
      </w:r>
    </w:p>
    <w:p>
      <w:pPr>
        <w:pStyle w:val="TextBody"/>
        <w:bidi w:val="0"/>
        <w:spacing w:before="0" w:after="0"/>
        <w:ind w:left="0" w:right="0" w:firstLine="450"/>
        <w:jc w:val="both"/>
        <w:rPr/>
      </w:pPr>
      <w:r>
        <w:rPr/>
      </w:r>
    </w:p>
    <w:p>
      <w:pPr>
        <w:pStyle w:val="TextBody"/>
        <w:bidi w:val="0"/>
        <w:spacing w:lineRule="auto" w:line="288" w:before="0" w:after="0"/>
        <w:ind w:left="0" w:right="0" w:firstLine="36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Straumann Litigation</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On April 11, 2024, we filed a lawsuit in the U.S. District Court for the Western District of Texas against ClearCorrect Operating, LLC, ClearCorrect Holdings, Inc. and Institut Straumann AG, (collectively the “Defendants”). The complaint asserted infringement of our patents related to aligner material, treatment planning, and intraoral scanner technologies. Among other things, the complaint seeks relief enjoining the Defendants’ infringement of multiple Align multilayer material patents through Defendants’ manufacture, sale and offer for sale of aligners made with Zendura FLX/ClearQuartz materials. On September 12, 2025, Defendants filed a motion to dismiss the amended complaint. That motion to dismiss remains pending. Defendants are also seeking to invalidate all of our asserted patents at the district court.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pPr>
      <w:r>
        <w:rPr>
          <w:rFonts w:ascii="Times New Roman;serif" w:hAnsi="Times New Roman;serif"/>
          <w:b w:val="false"/>
          <w:color w:val="000000"/>
          <w:sz w:val="20"/>
        </w:rPr>
        <w:t xml:space="preserve">On July 9, 2024, Defendants filed counterclaims against us alleging antitrust violations and unfair competition. Among other things, the counterclaims seek injunctive relief and money damages. On August 29, 2025, Defendants filed amended counterclaims, which additionally allege that Align procured certain materials patents by fraud. On September 26, 2025, Align filed a motion to dismiss the amended counterclaims. That motion is still pending. On March 24, 2026, both Plaintiffs and Defendants filed summary-judgment and </w:t>
      </w:r>
      <w:r>
        <w:rPr>
          <w:rFonts w:ascii="Times New Roman;serif" w:hAnsi="Times New Roman;serif"/>
          <w:b w:val="false"/>
          <w:i/>
          <w:color w:val="000000"/>
          <w:sz w:val="20"/>
        </w:rPr>
        <w:t>Daubert</w:t>
      </w:r>
      <w:r>
        <w:rPr>
          <w:color w:val="000000"/>
        </w:rPr>
        <w:t xml:space="preserve"> </w:t>
      </w:r>
      <w:r>
        <w:rPr>
          <w:rFonts w:ascii="Times New Roman;serif" w:hAnsi="Times New Roman;serif"/>
          <w:b w:val="false"/>
          <w:color w:val="000000"/>
          <w:sz w:val="20"/>
        </w:rPr>
        <w:t>motions. Briefing is ongoing. The matter is currently set for trial beginning on June 22, 2026.</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pPr>
      <w:r>
        <w:rPr>
          <w:rFonts w:ascii="Times New Roman;serif" w:hAnsi="Times New Roman;serif"/>
          <w:b w:val="false"/>
          <w:color w:val="000000"/>
          <w:sz w:val="20"/>
        </w:rPr>
        <w:t xml:space="preserve">On April 10, 12 and 14, 2025, Defendants filed eight </w:t>
      </w:r>
      <w:r>
        <w:rPr>
          <w:rFonts w:ascii="Times New Roman;serif" w:hAnsi="Times New Roman;serif"/>
          <w:b w:val="false"/>
          <w:i/>
          <w:color w:val="000000"/>
          <w:sz w:val="20"/>
        </w:rPr>
        <w:t>inter partes</w:t>
      </w:r>
      <w:r>
        <w:rPr>
          <w:color w:val="000000"/>
        </w:rPr>
        <w:t xml:space="preserve"> </w:t>
      </w:r>
      <w:r>
        <w:rPr>
          <w:rFonts w:ascii="Times New Roman;serif" w:hAnsi="Times New Roman;serif"/>
          <w:b w:val="false"/>
          <w:color w:val="000000"/>
          <w:sz w:val="20"/>
        </w:rPr>
        <w:t xml:space="preserve">review (“IPR”) petitions with the United States Patent Trial and Appeal Board (“PTAB”), alleging that eight of the patents asserted by Align against the Defendants are unpatentable. On October 23, 2025, the PTAB issued decisions denying institution of two of Defendants eight IPRs. On October 23, October 27, October 30, and November 6, 2025, the PTAB issued decisions instituting proceedings on the remaining six IPRs. We anticipate that the final decisions from the PTAB on each IPR will be issued no later than November 9, 2026. We believe the petitions are without merit and intend to defend ourselves vigorously.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believe Defendants’ counterclaims are without merit and intend to vigorously defend ourselves. </w:t>
      </w:r>
    </w:p>
    <w:p>
      <w:pPr>
        <w:pStyle w:val="TextBody"/>
        <w:bidi w:val="0"/>
        <w:spacing w:before="0" w:after="0"/>
        <w:ind w:left="0" w:right="0" w:firstLine="450"/>
        <w:jc w:val="both"/>
        <w:rPr/>
      </w:pPr>
      <w:r>
        <w:rPr/>
      </w:r>
    </w:p>
    <w:p>
      <w:pPr>
        <w:pStyle w:val="TextBody"/>
        <w:bidi w:val="0"/>
        <w:spacing w:lineRule="auto" w:line="288" w:before="0" w:after="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Angelalign Litigation</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August 15, 2025, we initiated two actions in the European Unified Patent Court against various Angelalign entities including Angelalign Technology, Inc.; Angelalign France Technology SASU; Europe Angelalign Technology B.V.; Angelalign Technology (Germany) GmbH; Italy Angelalign Technology S.R.L. and Shanghai EA Medical Instruments Co., Ltd. One of these actions, alleging infringement of a patent related to user interfaces for treatment planning, sought provisional measures (i.e., provisional remedies) including a preliminary injunction. The other action alleged infringement of a patent related to the “power ridge” feature of clear aligners. Subsequently, on November 27, 2025, we initiated a third action in the Unified Patent Court against the same entities seeking provisional measures for infringement of a patent related to treatments in complex cases. The accused entities challenged the validity of the asserted patent in each of these actions. On January 13, 2026,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17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17 </w:t>
                      </w:r>
                    </w:p>
                  </w:txbxContent>
                </v:textbox>
                <w10:wrap type="none"/>
              </v:rect>
            </w:pict>
          </mc:Fallback>
        </mc:AlternateContent>
      </w:r>
    </w:p>
    <w:p>
      <w:pPr>
        <w:pStyle w:val="TextBody"/>
        <w:bidi w:val="0"/>
        <w:spacing w:lineRule="auto" w:line="288" w:before="0" w:after="0"/>
        <w:jc w:val="left"/>
        <w:rPr/>
      </w:pPr>
      <w:hyperlink w:anchor="i7a02b169d6be4765847899a2d1aa61f4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Angelalign Technology (Germany) GmbH filed an action in the European Patent Office challenging the validity of the treatment-planning patent referenced above.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February 12, 2026, the Unified Patent Court issued its decision in the provisional-measures action related to treatment planning, entering a preliminary injunction in Align’s favor and against Angel that prohibits Angel from using its “Live Now” feature, a user interface for treatment planning. Angel must pay €20,000 EUR per day or cease offering this infringing software feature. Angel was also ordered to pay interim costs of €400,000 EUR to Align. Angel has appealed the decision issued in this provisional-measures action. On March 16, 2026, Align initiated a merits infringement action under the treatment-planning patent seeking a permanent injunction and damages. This merits action additionally named UK Angelalign Technology Ltd. and Angel Technology Spain, S.L. as defendants.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actions before the Unified Patent Court related to the “power ridge” feature and to treatments in complex cases referenced above are currently pending.</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August 18, 2025, we initiated an action in the U.S. District Court for the Eastern District of Texas against Angelalign Technology Inc; Wuxi EA Medical Instruments Technologies Ltd.; Wuxi EA Bio-Tech Co., Ltd.; and Shanghai EA Medical Instruments Co., Ltd. This action alleges infringement of patents related to multilayer materials for clear aligners and “bite ramp” and “power ridge” features of clear aligners. On January 2, 2026, following institution of an investigation by the U.S. International Trade Commission, referenced below, this action was stayed pending further order of the court.</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August 18, 2025, we initiated two actions in China’s Zhengzhou Intermediate People’s Court against Shanghai Angelalign Medical Devices Co., Ltd.; Wuxi Angelalign Medical Device Technology Co., Ltd.; and Wuxi Angelalign Biotechnology Co., Ltd. These actions allege infringement of patents related to tooth attachments and treatment planning. Separately, on September 10, 2025, we filed an action against the same entities in the Jinan Intermediate People’s Court alleging infringement of a patent related to extraction site closure. And on January 12, 2026, we filed an action against these entities in the Fuzhou Intermediate People’s Court alleging infringement of a patent related to extraction site closure. On April 4, 2026, we initiated an additional civil action against these entities alleging infringement of a patent related to treatment planning. These actions are currently pending.</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January 16, 2026, Shanghai Angelalign Medical Devices Co., Ltd. filed a petition with the China National Intellectual Property Administration (“CNIPA”) challenging the validity of our patent related to extraction site closure, which patent is the subject of the above-referenced infringement action filed before Jinan Intermediate People’s Court. On January 22 and February 12, 2026, Shanghai Angelalign Medical Devices Co., Ltd. filed two separate petitions with the CNIPA challenging the validity of our patent related to tooth attachments and another patent related to treatment planning, both of which are the subject of the above-referenced infringement actions filed with Zhengzhou Intermediate People’s Court. These invalidity actions are currently pending.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August 22, 2025, Shanghai Angelalign Medical Devices Co., Ltd. and Wuxi Angelalign Medical Devices Technology Co., Ltd. initiated an action against us in the Beijing Intellectual Property Court. The complaint alleges that we infringe a patent relating to undercut detection for mold manufacturing. We believe that these allegations are without merit and intend to defend ourselves vigorously. On January 19, 2026, we filed a petition with the CNIPA challenging the validity of the above-referenced Angel patent related to undercut detection for mold manufacturing.</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September 23, 2025, we filed a complaint at the U.S. International Trade Commission (“ITC”) against Angelalign Technology Inc., Wuxi EA Medical Instruments Technologies Ltd.; Wuxi EA Bio-Tech Co., Ltd.; Shanghai EA Medical Instruments Co., Ltd.; and USA Angelalign Technology Corp. (collectively, “the ITC Respondents”). This complaint alleges unlawful importation and sale of clear aligners that infringe patents related to multilayer materials for clear aligners and “bite ramp” and “power ridge” features of clear aligners, in violation of 19 U.S.C.§ 1337. Further, the complaint requests that the ITC institute an investigation and issue an exclusion order blocking the ITC Respondents’ importation of infringing products into the United States, and a cease-and-desist order prohibiting the ITC Respondents from selling, marketing, or transferring infringing products within the United States. On December 19, 2025, the ITC instituted the requested investigation, which is currently pending. On January 26, 2026, the Chief Administrative Law Judge (“CALJ”) presiding over the investigation set a 14.7-month target date of March 22, 2027, which is the date by which the ITC’s final determination is expected to be issued. On February 10, 2026, the CALJ issued a Procedural Schedule setting the evidentiary hearing (trial) in the investigation for July 20-24, 2026. The CALJ’s initial determination on the merits is due by November 20, 2026.</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to the above, in the ordinary course of our operations, we are involved in a variety of claims, suits, investigations, and proceedings, including actions with respect to intellectual property claims, patent infringement claims, government investigations, labor and employment claims, breach of contract claims, tax, and other matters. Regardless of the outcome, these proceedings can have an adverse impact on us because of defense costs, diversion of management resources,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18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18 </w:t>
                      </w:r>
                    </w:p>
                  </w:txbxContent>
                </v:textbox>
                <w10:wrap type="none"/>
              </v:rect>
            </w:pict>
          </mc:Fallback>
        </mc:AlternateContent>
      </w:r>
    </w:p>
    <w:p>
      <w:pPr>
        <w:pStyle w:val="TextBody"/>
        <w:bidi w:val="0"/>
        <w:spacing w:lineRule="auto" w:line="288" w:before="0" w:after="0"/>
        <w:jc w:val="left"/>
        <w:rPr/>
      </w:pPr>
      <w:hyperlink w:anchor="i7a02b169d6be4765847899a2d1aa61f4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and other factors. Although the results of complex legal proceedings are difficult to predict and our view of these matters may change in the future as litigation and events related thereto unfold; we currently do not believe that these matters, individually or in the aggregate, will materially affect our financial position, results of operations or cash flows.</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color w:val="000000"/>
          <w:sz w:val="20"/>
        </w:rPr>
        <w:t>Note 7</w:t>
      </w:r>
      <w:r>
        <w:rPr>
          <w:rFonts w:ascii="Times New Roman;serif" w:hAnsi="Times New Roman;serif"/>
          <w:b/>
          <w:color w:val="000000"/>
          <w:sz w:val="20"/>
          <w:shd w:fill="FFFFFF" w:val="clear"/>
        </w:rPr>
        <w:t xml:space="preserve">. Commitments and Contingencies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Tax Matter</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Beginning in the third quarter of 2023 and continuing through the first quarter of 2024, we received cumulative assessments of approximately $100 million from His Majesty’s Revenue and Customs (“HMRC”) for unpaid value added tax (“VAT”) related to certain clear aligner sales made during the period of October 2019 through May 2023. We were required to pay these assessments prior to contesting or litigating the matter in statutory appeal. We have historically asserted and continue to assert that doctor prescribed clear aligners sold by dentists for the orthodontic treatment of patient malocclusions are exempt from VAT, that we have reasonably relied upon statements and guidance by HMRC and that our interpretation of United Kingdom legislation is appropriate.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October 2024, the Company and HMRC reached a settlement agreement regarding the unpaid VAT related to certain aligner sales made during the period of October 2019 through mid-October 2023. As part of the settlement, HMRC agreed to vacate the judicial review (before the Administrative Court) originally scheduled for October 9th and October 10th, 2024, refund to the Company all assessments paid for the period of October 2019 through May 2023 and withdraw any potential assessments for the period from June 2023 through mid-October 2023. HMRC has refunded to the Company the assessed amounts, approximately $100 million.</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 statutory appeal (before the First-tier Tribunal - “Tax Tribunal”) was held on January 27th through January 30th, 2025. On April 24, 2025, the Tax Tribunal issued a ruling in our favor indicating that clear aligners are “dental prostheses for the purposes of VAT”, which is a key condition for the VAT exemption. On June 13, 2025, HMRC applied for permission to appeal the Tax Tribunal decision, which was granted on July 15, 2025. On August 1, 2025, HMRC lodged their grounds for appeal to the Upper Tribunal. A hearing in front of the Upper Tribunal has been scheduled for May 2026.</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August 2025, we stopped charging VAT to our United Kingdom customers. It is not possible at this stage to accurately evaluate the likelihood of an unfavorable outcome from the Upper Tribunal statutory appeal, nor estimate a range of possible loss.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Indemnification Provisions</w:t>
      </w:r>
    </w:p>
    <w:p>
      <w:pPr>
        <w:pStyle w:val="TextBody"/>
        <w:bidi w:val="0"/>
        <w:spacing w:before="0" w:after="0"/>
        <w:ind w:left="0" w:right="0" w:firstLine="495"/>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the normal course of business, to facilitate transactions in our services and products, we indemnify certain parties: customers, vendors, lessors and other parties with respect to certain matters, including, but not limited to, services to be provided by us and intellectual property infringement claims made by third parties. In addition, we have entered into indemnification agreements with our directors and our executive officers that will require us, among other things, to indemnify them against certain liabilities that may arise by reason of their status or service as directors or officers. Several of these agreements limit the time within which an indemnification claim can be made and the amount of the claim.</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pPr>
      <w:r>
        <w:rPr>
          <w:rFonts w:ascii="Times New Roman;serif" w:hAnsi="Times New Roman;serif"/>
          <w:b w:val="false"/>
          <w:color w:val="000000"/>
          <w:sz w:val="20"/>
          <w:shd w:fill="FFFFFF" w:val="clear"/>
        </w:rPr>
        <w:t>It is not possible to make a reasonable estimate of the maximum potential amount of future payments, if any, under these indemnification agreements due to the unique facts and circumstances involved in each particular agreement. Additionally, we have a limited history of prior indemnification claims and the payments we have made under such agreements have not had a material adverse effect on our results of operations, cash flows or financial position. However, to the extent that valid indemnification claims arise in the future, future payments by us could be significant and could have a material adverse effect on our results of operations or cash flows in a particular period. As of March 31, 2026, we did</w:t>
      </w:r>
      <w:r>
        <w:rPr>
          <w:color w:val="000000"/>
        </w:rPr>
        <w:t xml:space="preserve"> </w:t>
      </w:r>
      <w:r>
        <w:rPr>
          <w:rFonts w:ascii="Times New Roman;serif" w:hAnsi="Times New Roman;serif"/>
          <w:b w:val="false"/>
          <w:color w:val="000000"/>
          <w:sz w:val="20"/>
        </w:rPr>
        <w:t xml:space="preserve">not </w:t>
      </w:r>
      <w:r>
        <w:rPr>
          <w:rFonts w:ascii="Times New Roman;serif" w:hAnsi="Times New Roman;serif"/>
          <w:b w:val="false"/>
          <w:color w:val="000000"/>
          <w:sz w:val="20"/>
          <w:shd w:fill="FFFFFF" w:val="clear"/>
        </w:rPr>
        <w:t>have any material indemnification claims that were probable or reasonably possible.</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8. Stockholders’ Equity</w:t>
      </w:r>
    </w:p>
    <w:p>
      <w:pPr>
        <w:pStyle w:val="TextBody"/>
        <w:bidi w:val="0"/>
        <w:spacing w:before="0" w:after="0"/>
        <w:ind w:left="0" w:right="0" w:firstLine="36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of March 31, 2026, the Align Technology, Inc. 2005 Incentive Plan, as amended, has a total reserve of 34,668,895 shares, of which 2,815,995 shares are available for issuance.</w:t>
      </w:r>
    </w:p>
    <w:p>
      <w:pPr>
        <w:pStyle w:val="TextBody"/>
        <w:bidi w:val="0"/>
        <w:spacing w:before="0" w:after="0"/>
        <w:ind w:left="0" w:right="0" w:firstLine="450"/>
        <w:jc w:val="both"/>
        <w:rPr/>
      </w:pPr>
      <w:r>
        <w:rPr/>
      </w:r>
    </w:p>
    <w:p>
      <w:pPr>
        <w:pStyle w:val="TextBody"/>
        <w:bidi w:val="0"/>
        <w:spacing w:lineRule="auto" w:line="288" w:before="0" w:after="0"/>
        <w:ind w:left="0" w:right="0" w:firstLine="360"/>
        <w:jc w:val="both"/>
        <w:rPr>
          <w:rFonts w:ascii="Times New Roman;serif" w:hAnsi="Times New Roman;serif"/>
          <w:b/>
          <w:i/>
          <w:color w:val="000000"/>
          <w:sz w:val="20"/>
        </w:rPr>
      </w:pPr>
      <w:r>
        <w:rPr>
          <w:rFonts w:ascii="Times New Roman;serif" w:hAnsi="Times New Roman;serif"/>
          <w:b/>
          <w:i/>
          <w:color w:val="000000"/>
          <w:sz w:val="20"/>
        </w:rPr>
        <w:t>Summary of Stock-Based Compensation Expense</w:t>
      </w:r>
    </w:p>
    <w:p>
      <w:pPr>
        <w:pStyle w:val="TextBody"/>
        <w:bidi w:val="0"/>
        <w:spacing w:before="0" w:after="0"/>
        <w:ind w:left="0" w:right="0" w:firstLine="45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19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19 </w:t>
                      </w:r>
                    </w:p>
                  </w:txbxContent>
                </v:textbox>
                <w10:wrap type="none"/>
              </v:rect>
            </w:pict>
          </mc:Fallback>
        </mc:AlternateContent>
      </w:r>
    </w:p>
    <w:p>
      <w:pPr>
        <w:pStyle w:val="TextBody"/>
        <w:bidi w:val="0"/>
        <w:spacing w:lineRule="auto" w:line="288" w:before="0" w:after="0"/>
        <w:jc w:val="left"/>
        <w:rPr/>
      </w:pPr>
      <w:hyperlink w:anchor="i7a02b169d6be4765847899a2d1aa61f4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Stock-based compensation related to our stock-based awards and employee stock purchase plan for the three months ended March 31, 2026 and 2025 is as follows (in thousands):</w:t>
      </w:r>
    </w:p>
    <w:tbl>
      <w:tblPr>
        <w:tblW w:w="6171" w:type="dxa"/>
        <w:jc w:val="left"/>
        <w:tblInd w:w="0" w:type="dxa"/>
        <w:tblLayout w:type="fixed"/>
        <w:tblCellMar>
          <w:top w:w="28" w:type="dxa"/>
          <w:left w:w="28" w:type="dxa"/>
          <w:bottom w:w="28" w:type="dxa"/>
          <w:right w:w="28" w:type="dxa"/>
        </w:tblCellMar>
      </w:tblPr>
      <w:tblGrid>
        <w:gridCol w:w="1068"/>
        <w:gridCol w:w="941"/>
        <w:gridCol w:w="945"/>
        <w:gridCol w:w="109"/>
        <w:gridCol w:w="109"/>
        <w:gridCol w:w="109"/>
        <w:gridCol w:w="211"/>
        <w:gridCol w:w="721"/>
        <w:gridCol w:w="109"/>
        <w:gridCol w:w="109"/>
        <w:gridCol w:w="109"/>
        <w:gridCol w:w="109"/>
        <w:gridCol w:w="211"/>
        <w:gridCol w:w="721"/>
        <w:gridCol w:w="109"/>
        <w:gridCol w:w="109"/>
        <w:gridCol w:w="109"/>
        <w:gridCol w:w="109"/>
        <w:gridCol w:w="154"/>
      </w:tblGrid>
      <w:tr>
        <w:trPr/>
        <w:tc>
          <w:tcPr>
            <w:tcW w:w="1068"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net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i/>
          <w:color w:val="000000"/>
          <w:sz w:val="20"/>
        </w:rPr>
      </w:pPr>
      <w:r>
        <w:rPr>
          <w:rFonts w:ascii="Times New Roman;serif" w:hAnsi="Times New Roman;serif"/>
          <w:b/>
          <w:i/>
          <w:color w:val="000000"/>
          <w:sz w:val="20"/>
        </w:rPr>
        <w:t>Restricted Stock Units (“RSUs”)</w:t>
      </w:r>
    </w:p>
    <w:p>
      <w:pPr>
        <w:pStyle w:val="TextBody"/>
        <w:bidi w:val="0"/>
        <w:spacing w:before="0" w:after="0"/>
        <w:ind w:left="0" w:right="0" w:firstLine="495"/>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fair value of RSUs is based on the closing price of our stock on the date of grant. Generally, RSUs vest over a period of four years.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 summary for the three months ended March 31, 2026 is as follows:</w:t>
      </w:r>
    </w:p>
    <w:tbl>
      <w:tblPr>
        <w:tblW w:w="10205" w:type="dxa"/>
        <w:jc w:val="left"/>
        <w:tblInd w:w="0" w:type="dxa"/>
        <w:tblLayout w:type="fixed"/>
        <w:tblCellMar>
          <w:top w:w="28" w:type="dxa"/>
          <w:left w:w="28" w:type="dxa"/>
          <w:bottom w:w="28" w:type="dxa"/>
          <w:right w:w="28" w:type="dxa"/>
        </w:tblCellMar>
      </w:tblPr>
      <w:tblGrid>
        <w:gridCol w:w="830"/>
        <w:gridCol w:w="729"/>
        <w:gridCol w:w="731"/>
        <w:gridCol w:w="461"/>
        <w:gridCol w:w="461"/>
        <w:gridCol w:w="463"/>
        <w:gridCol w:w="109"/>
        <w:gridCol w:w="109"/>
        <w:gridCol w:w="109"/>
        <w:gridCol w:w="480"/>
        <w:gridCol w:w="1641"/>
        <w:gridCol w:w="247"/>
        <w:gridCol w:w="109"/>
        <w:gridCol w:w="109"/>
        <w:gridCol w:w="109"/>
        <w:gridCol w:w="656"/>
        <w:gridCol w:w="656"/>
        <w:gridCol w:w="658"/>
        <w:gridCol w:w="109"/>
        <w:gridCol w:w="109"/>
        <w:gridCol w:w="109"/>
        <w:gridCol w:w="213"/>
        <w:gridCol w:w="836"/>
        <w:gridCol w:w="162"/>
      </w:tblGrid>
      <w:tr>
        <w:trPr/>
        <w:tc>
          <w:tcPr>
            <w:tcW w:w="830"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641"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Number of Shares</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Underlying RSUs</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Grant Date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Remaining</w:t>
              <w:br/>
              <w:t>Contractual Term (in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Aggregate </w:t>
              <w:br/>
              <w:t>Intrinsic Value</w:t>
              <w:br/>
              <w:t>(in thousands)</w:t>
            </w:r>
          </w:p>
        </w:tc>
      </w:tr>
      <w:tr>
        <w:trPr/>
        <w:tc>
          <w:tcPr>
            <w:tcW w:w="22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Unvested as of December 31, 2025</w:t>
            </w:r>
          </w:p>
        </w:tc>
        <w:tc>
          <w:tcPr>
            <w:tcW w:w="9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1,250 </w:t>
            </w:r>
          </w:p>
        </w:tc>
        <w:tc>
          <w:tcPr>
            <w:tcW w:w="4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256.80 </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770 </w:t>
            </w:r>
          </w:p>
        </w:tc>
        <w:tc>
          <w:tcPr>
            <w:tcW w:w="4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189.99 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 and released</w:t>
            </w:r>
          </w:p>
        </w:tc>
        <w:tc>
          <w:tcPr>
            <w:tcW w:w="9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w:t>
            </w:r>
          </w:p>
        </w:tc>
        <w:tc>
          <w:tcPr>
            <w:tcW w:w="4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287.72 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4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235.20 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Unvested as of March 31, 2026</w:t>
            </w:r>
          </w:p>
        </w:tc>
        <w:tc>
          <w:tcPr>
            <w:tcW w:w="92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1,557 </w:t>
            </w:r>
          </w:p>
        </w:tc>
        <w:tc>
          <w:tcPr>
            <w:tcW w:w="4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215.68 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266,886 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of March 31, 2026, we expect to recognize $286.3 million of total unamortized compensation costs, net of estimated forfeitures, related to RSUs over a weighted average period of 3.1 years.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i/>
          <w:color w:val="000000"/>
          <w:sz w:val="20"/>
        </w:rPr>
      </w:pPr>
      <w:r>
        <w:rPr>
          <w:rFonts w:ascii="Times New Roman;serif" w:hAnsi="Times New Roman;serif"/>
          <w:b/>
          <w:i/>
          <w:color w:val="000000"/>
          <w:sz w:val="20"/>
        </w:rPr>
        <w:t>Market-Performance Based Restricted Stock Units (“MSUs”)</w:t>
      </w:r>
    </w:p>
    <w:p>
      <w:pPr>
        <w:pStyle w:val="TextBody"/>
        <w:bidi w:val="0"/>
        <w:spacing w:before="0" w:after="0"/>
        <w:ind w:left="0" w:right="0" w:firstLine="36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grant MSUs to members of senior management. Each MSU represents the right to one share of our common stock. The actual number of MSUs which will be eligible to vest will be based on the performance of our stock price relative to the performance of a stock market index over the vesting period. MSUs vest over a period of three years and the maximum number of shares eligible to vest is 250% of the MSUs initially granted.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pPr>
      <w:r>
        <w:rPr>
          <w:rFonts w:ascii="Times New Roman;serif" w:hAnsi="Times New Roman;serif"/>
          <w:b w:val="false"/>
          <w:color w:val="000000"/>
          <w:sz w:val="20"/>
        </w:rPr>
        <w:t>The following table summarizes the MSU performance activity for the three months ended March 31, 2026:</w:t>
      </w:r>
      <w:r>
        <w:rPr>
          <w:color w:val="000000"/>
        </w:rPr>
        <w:t> </w:t>
      </w:r>
    </w:p>
    <w:tbl>
      <w:tblPr>
        <w:tblW w:w="10205" w:type="dxa"/>
        <w:jc w:val="left"/>
        <w:tblInd w:w="0" w:type="dxa"/>
        <w:tblLayout w:type="fixed"/>
        <w:tblCellMar>
          <w:top w:w="28" w:type="dxa"/>
          <w:left w:w="28" w:type="dxa"/>
          <w:bottom w:w="28" w:type="dxa"/>
          <w:right w:w="28" w:type="dxa"/>
        </w:tblCellMar>
      </w:tblPr>
      <w:tblGrid>
        <w:gridCol w:w="842"/>
        <w:gridCol w:w="739"/>
        <w:gridCol w:w="741"/>
        <w:gridCol w:w="470"/>
        <w:gridCol w:w="470"/>
        <w:gridCol w:w="471"/>
        <w:gridCol w:w="109"/>
        <w:gridCol w:w="109"/>
        <w:gridCol w:w="109"/>
        <w:gridCol w:w="488"/>
        <w:gridCol w:w="1669"/>
        <w:gridCol w:w="252"/>
        <w:gridCol w:w="109"/>
        <w:gridCol w:w="109"/>
        <w:gridCol w:w="109"/>
        <w:gridCol w:w="635"/>
        <w:gridCol w:w="635"/>
        <w:gridCol w:w="637"/>
        <w:gridCol w:w="109"/>
        <w:gridCol w:w="109"/>
        <w:gridCol w:w="109"/>
        <w:gridCol w:w="227"/>
        <w:gridCol w:w="776"/>
        <w:gridCol w:w="172"/>
      </w:tblGrid>
      <w:tr>
        <w:trPr/>
        <w:tc>
          <w:tcPr>
            <w:tcW w:w="842"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66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23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Number of Shares</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Underlying MSUs</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Grant Date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Weighted Average</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Remaining</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Contractual Term (in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Aggregate</w:t>
              <w:br/>
              <w:t>Intrinsic Value</w:t>
              <w:br/>
              <w:t>(in thousands)</w:t>
            </w:r>
          </w:p>
        </w:tc>
      </w:tr>
      <w:tr>
        <w:trPr/>
        <w:tc>
          <w:tcPr>
            <w:tcW w:w="232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Unvested as of December 31, 2025</w:t>
            </w:r>
          </w:p>
        </w:tc>
        <w:tc>
          <w:tcPr>
            <w:tcW w:w="9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263 </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507.88 </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378.44 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Vested and released</w:t>
            </w:r>
            <w:r>
              <w:rPr>
                <w:rFonts w:ascii="Times New Roman;serif" w:hAnsi="Times New Roman;serif"/>
                <w:b w:val="false"/>
                <w:color w:val="000000"/>
                <w:sz w:val="13"/>
              </w:rPr>
              <w:t>1</w:t>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629.53 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559.27 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Unvested as of March 31, 2026</w:t>
            </w:r>
          </w:p>
        </w:tc>
        <w:tc>
          <w:tcPr>
            <w:tcW w:w="94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325 </w:t>
            </w:r>
          </w:p>
        </w:tc>
        <w:tc>
          <w:tcPr>
            <w:tcW w:w="4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421.83 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55,691 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90"/>
        <w:jc w:val="both"/>
        <w:rPr/>
      </w:pPr>
      <w:r>
        <w:rPr>
          <w:rFonts w:ascii="Times New Roman;serif" w:hAnsi="Times New Roman;serif"/>
          <w:b w:val="false"/>
          <w:color w:val="000000"/>
          <w:sz w:val="12"/>
        </w:rPr>
        <w:t xml:space="preserve">1 </w:t>
      </w:r>
      <w:r>
        <w:rPr>
          <w:rFonts w:ascii="Times New Roman;serif" w:hAnsi="Times New Roman;serif"/>
          <w:b w:val="false"/>
          <w:color w:val="000000"/>
          <w:sz w:val="18"/>
        </w:rPr>
        <w:t>Includes MSUs vested during the period below 100% of the original grant as actual shares released are based on our stock performance relative to a market index over the vesting period.</w:t>
      </w:r>
    </w:p>
    <w:p>
      <w:pPr>
        <w:pStyle w:val="TextBody"/>
        <w:bidi w:val="0"/>
        <w:spacing w:before="0" w:after="0"/>
        <w:ind w:left="0" w:right="0" w:hanging="18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of March 31, 2026, we expect to recognize $78.4 million of total unamortized compensation costs, net of estimated forfeitures, related to MSUs over a weighted average period of 2.14 years.</w:t>
      </w:r>
    </w:p>
    <w:p>
      <w:pPr>
        <w:pStyle w:val="TextBody"/>
        <w:bidi w:val="0"/>
        <w:spacing w:before="0" w:after="0"/>
        <w:ind w:left="0" w:right="0" w:firstLine="45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20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20 </w:t>
                      </w:r>
                    </w:p>
                  </w:txbxContent>
                </v:textbox>
                <w10:wrap type="none"/>
              </v:rect>
            </w:pict>
          </mc:Fallback>
        </mc:AlternateContent>
      </w:r>
    </w:p>
    <w:p>
      <w:pPr>
        <w:pStyle w:val="TextBody"/>
        <w:bidi w:val="0"/>
        <w:spacing w:lineRule="auto" w:line="288" w:before="0" w:after="0"/>
        <w:jc w:val="left"/>
        <w:rPr/>
      </w:pPr>
      <w:hyperlink w:anchor="i7a02b169d6be4765847899a2d1aa61f4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i/>
          <w:color w:val="000000"/>
          <w:sz w:val="20"/>
        </w:rPr>
      </w:pPr>
      <w:r>
        <w:rPr>
          <w:rFonts w:ascii="Times New Roman;serif" w:hAnsi="Times New Roman;serif"/>
          <w:b/>
          <w:i/>
          <w:color w:val="000000"/>
          <w:sz w:val="20"/>
        </w:rPr>
        <w:t>Restricted Stock Units with Performance Conditions (“PSUs”)</w:t>
      </w:r>
    </w:p>
    <w:p>
      <w:pPr>
        <w:pStyle w:val="TextBody"/>
        <w:bidi w:val="0"/>
        <w:spacing w:before="0" w:after="0"/>
        <w:ind w:left="0" w:right="0" w:firstLine="36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Our PSUs typically include a service and performance condition. We recognize share-based compensation expense for PSUs if it is probable that the performance condition will be achieved. As of March 31, 2026, the service and performance condition was not met, and there are no outstanding performance shares and no remaining unrecognized stock based compensation to record. </w:t>
      </w:r>
    </w:p>
    <w:p>
      <w:pPr>
        <w:pStyle w:val="TextBody"/>
        <w:bidi w:val="0"/>
        <w:spacing w:before="0" w:after="0"/>
        <w:ind w:left="0" w:right="0" w:firstLine="450"/>
        <w:jc w:val="both"/>
        <w:rPr/>
      </w:pPr>
      <w:r>
        <w:rPr/>
      </w:r>
    </w:p>
    <w:p>
      <w:pPr>
        <w:pStyle w:val="TextBody"/>
        <w:bidi w:val="0"/>
        <w:spacing w:lineRule="auto" w:line="288" w:before="0" w:after="0"/>
        <w:ind w:left="0" w:right="0" w:firstLine="360"/>
        <w:jc w:val="both"/>
        <w:rPr>
          <w:rFonts w:ascii="Times New Roman;serif" w:hAnsi="Times New Roman;serif"/>
          <w:b/>
          <w:i/>
          <w:color w:val="000000"/>
          <w:sz w:val="20"/>
        </w:rPr>
      </w:pPr>
      <w:r>
        <w:rPr>
          <w:rFonts w:ascii="Times New Roman;serif" w:hAnsi="Times New Roman;serif"/>
          <w:b/>
          <w:i/>
          <w:color w:val="000000"/>
          <w:sz w:val="20"/>
        </w:rPr>
        <w:t>Employee Stock Purchase Plan</w:t>
      </w:r>
    </w:p>
    <w:p>
      <w:pPr>
        <w:pStyle w:val="TextBody"/>
        <w:bidi w:val="0"/>
        <w:spacing w:before="0" w:after="0"/>
        <w:ind w:left="0" w:right="0" w:firstLine="495"/>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of March 31, 2026, we have 1,626,275 shares available for future issuance under the Align Technology, Inc. 2010 Employee Stock Purchase Plan (as amended and restated, the “2010 Purchase Plan”).</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fair value of the option component of the 2010 Purchase Plan shares was estimated at the grant date using the Black-Scholes option pricing model with the following weighted average assumptions:</w:t>
      </w:r>
    </w:p>
    <w:tbl>
      <w:tblPr>
        <w:tblW w:w="6780" w:type="dxa"/>
        <w:jc w:val="left"/>
        <w:tblInd w:w="0" w:type="dxa"/>
        <w:tblLayout w:type="fixed"/>
        <w:tblCellMar>
          <w:top w:w="28" w:type="dxa"/>
          <w:left w:w="28" w:type="dxa"/>
          <w:bottom w:w="28" w:type="dxa"/>
          <w:right w:w="28" w:type="dxa"/>
        </w:tblCellMar>
      </w:tblPr>
      <w:tblGrid>
        <w:gridCol w:w="1250"/>
        <w:gridCol w:w="1097"/>
        <w:gridCol w:w="1102"/>
        <w:gridCol w:w="109"/>
        <w:gridCol w:w="109"/>
        <w:gridCol w:w="109"/>
        <w:gridCol w:w="211"/>
        <w:gridCol w:w="616"/>
        <w:gridCol w:w="271"/>
        <w:gridCol w:w="109"/>
        <w:gridCol w:w="109"/>
        <w:gridCol w:w="109"/>
        <w:gridCol w:w="211"/>
        <w:gridCol w:w="616"/>
        <w:gridCol w:w="271"/>
        <w:gridCol w:w="109"/>
        <w:gridCol w:w="109"/>
        <w:gridCol w:w="109"/>
        <w:gridCol w:w="154"/>
      </w:tblGrid>
      <w:tr>
        <w:trPr/>
        <w:tc>
          <w:tcPr>
            <w:tcW w:w="1250"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term (in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dividends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fair value at grant date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of March 31, 2026, we expect to recognize $9.0 million of total unamortized compensation costs related to future employee stock purchases over a weighted average period of 0.9 years.</w:t>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9. Common Stock Repurchase Programs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January 2023, our Board of Directors authorized a plan to repurchase up to $1.0 billion of our common stock (the “January 2023 Repurchase Program”). The January 2023 Repurchase Program was completed in its entirety in the second quarter of 2025.</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April 2025, our Board of Directors authorized a plan to repurchase up to $1.0 billion of our common stock (the “April 2025 Repurchase Program”). The April 2025 Repurchase Program is expected to be completed over a period of up to three years. As of March 31, 2026, we have $800.0 million remaining available for repurchase under the April 2025 Repurchase Program.</w:t>
      </w:r>
    </w:p>
    <w:p>
      <w:pPr>
        <w:pStyle w:val="TextBody"/>
        <w:bidi w:val="0"/>
        <w:spacing w:before="0" w:after="0"/>
        <w:ind w:left="0" w:right="0" w:firstLine="45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21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21 </w:t>
                      </w:r>
                    </w:p>
                  </w:txbxContent>
                </v:textbox>
                <w10:wrap type="none"/>
              </v:rect>
            </w:pict>
          </mc:Fallback>
        </mc:AlternateContent>
      </w:r>
    </w:p>
    <w:p>
      <w:pPr>
        <w:pStyle w:val="TextBody"/>
        <w:bidi w:val="0"/>
        <w:spacing w:lineRule="auto" w:line="288" w:before="0" w:after="0"/>
        <w:jc w:val="left"/>
        <w:rPr/>
      </w:pPr>
      <w:hyperlink w:anchor="i7a02b169d6be4765847899a2d1aa61f4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tables summarize the total repurchases of our common stock pursuant to Accelerated Share Repurchase (“ASR”) agreements and Open Market Repurchase (“OMR”) programs under the January 2023 and April 2025 Repurchase Programs:</w:t>
      </w:r>
    </w:p>
    <w:p>
      <w:pPr>
        <w:pStyle w:val="TextBody"/>
        <w:bidi w:val="0"/>
        <w:spacing w:before="0" w:after="0"/>
        <w:ind w:left="0" w:right="0" w:firstLine="450"/>
        <w:jc w:val="both"/>
        <w:rPr/>
      </w:pPr>
      <w:r>
        <w:rPr/>
      </w:r>
    </w:p>
    <w:p>
      <w:pPr>
        <w:pStyle w:val="TextBody"/>
        <w:bidi w:val="0"/>
        <w:spacing w:lineRule="auto" w:line="288" w:before="0" w:after="0"/>
        <w:ind w:left="0" w:right="0" w:firstLine="360"/>
        <w:jc w:val="both"/>
        <w:rPr>
          <w:rFonts w:ascii="Times New Roman;serif" w:hAnsi="Times New Roman;serif"/>
          <w:b/>
          <w:i/>
          <w:color w:val="000000"/>
          <w:sz w:val="20"/>
        </w:rPr>
      </w:pPr>
      <w:r>
        <w:rPr>
          <w:rFonts w:ascii="Times New Roman;serif" w:hAnsi="Times New Roman;serif"/>
          <w:b/>
          <w:i/>
          <w:color w:val="000000"/>
          <w:sz w:val="20"/>
        </w:rPr>
        <w:t>Accelerated Share Repurchase Agreements</w:t>
      </w:r>
    </w:p>
    <w:tbl>
      <w:tblPr>
        <w:tblW w:w="9058" w:type="dxa"/>
        <w:jc w:val="left"/>
        <w:tblInd w:w="0" w:type="dxa"/>
        <w:tblLayout w:type="fixed"/>
        <w:tblCellMar>
          <w:top w:w="28" w:type="dxa"/>
          <w:left w:w="28" w:type="dxa"/>
          <w:bottom w:w="28" w:type="dxa"/>
          <w:right w:w="28" w:type="dxa"/>
        </w:tblCellMar>
      </w:tblPr>
      <w:tblGrid>
        <w:gridCol w:w="332"/>
        <w:gridCol w:w="291"/>
        <w:gridCol w:w="293"/>
        <w:gridCol w:w="109"/>
        <w:gridCol w:w="109"/>
        <w:gridCol w:w="109"/>
        <w:gridCol w:w="399"/>
        <w:gridCol w:w="399"/>
        <w:gridCol w:w="401"/>
        <w:gridCol w:w="109"/>
        <w:gridCol w:w="109"/>
        <w:gridCol w:w="109"/>
        <w:gridCol w:w="250"/>
        <w:gridCol w:w="731"/>
        <w:gridCol w:w="129"/>
        <w:gridCol w:w="109"/>
        <w:gridCol w:w="109"/>
        <w:gridCol w:w="109"/>
        <w:gridCol w:w="315"/>
        <w:gridCol w:w="315"/>
        <w:gridCol w:w="316"/>
        <w:gridCol w:w="109"/>
        <w:gridCol w:w="109"/>
        <w:gridCol w:w="109"/>
        <w:gridCol w:w="488"/>
        <w:gridCol w:w="488"/>
        <w:gridCol w:w="341"/>
        <w:gridCol w:w="109"/>
        <w:gridCol w:w="109"/>
        <w:gridCol w:w="109"/>
        <w:gridCol w:w="376"/>
        <w:gridCol w:w="1285"/>
        <w:gridCol w:w="274"/>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Agreement</w:t>
              <w:br/>
              <w: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Repurchase</w:t>
              <w:br/>
              <w:t> Program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Amount Paid </w:t>
              <w:b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Completion</w:t>
              <w:b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Shares</w:t>
              <w:br/>
              <w:t>Received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 Price per Share</w:t>
            </w:r>
          </w:p>
        </w:tc>
      </w:tr>
      <w:tr>
        <w:trPr/>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5" w:type="dxa"/>
            <w:gridSpan w:val="3"/>
            <w:tcBorders/>
            <w:vAlign w:val="center"/>
          </w:tcPr>
          <w:p>
            <w:pPr>
              <w:pStyle w:val="TableContents"/>
              <w:bidi w:val="0"/>
              <w:spacing w:before="0" w:after="283"/>
              <w:jc w:val="left"/>
              <w:rPr>
                <w:sz w:val="4"/>
                <w:szCs w:val="4"/>
              </w:rPr>
            </w:pPr>
            <w:r>
              <w:rPr>
                <w:sz w:val="4"/>
                <w:szCs w:val="4"/>
              </w:rPr>
            </w:r>
          </w:p>
        </w:tc>
      </w:tr>
      <w:tr>
        <w:trPr/>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5" w:type="dxa"/>
            <w:gridSpan w:val="3"/>
            <w:tcBorders/>
            <w:vAlign w:val="center"/>
          </w:tcPr>
          <w:p>
            <w:pPr>
              <w:pStyle w:val="TableContents"/>
              <w:bidi w:val="0"/>
              <w:spacing w:before="0" w:after="283"/>
              <w:jc w:val="left"/>
              <w:rPr>
                <w:sz w:val="4"/>
                <w:szCs w:val="4"/>
              </w:rPr>
            </w:pPr>
            <w:r>
              <w:rPr>
                <w:sz w:val="4"/>
                <w:szCs w:val="4"/>
              </w:rPr>
            </w:r>
          </w:p>
        </w:tc>
      </w:tr>
      <w:tr>
        <w:trPr/>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Q4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Q1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1,086,334 </w:t>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230.13 </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i/>
          <w:color w:val="000000"/>
          <w:sz w:val="20"/>
        </w:rPr>
      </w:pPr>
      <w:r>
        <w:rPr>
          <w:rFonts w:ascii="Times New Roman;serif" w:hAnsi="Times New Roman;serif"/>
          <w:b/>
          <w:i/>
          <w:color w:val="000000"/>
          <w:sz w:val="20"/>
        </w:rPr>
        <w:t>Open Market Repurchases</w:t>
      </w:r>
    </w:p>
    <w:tbl>
      <w:tblPr>
        <w:tblW w:w="9058" w:type="dxa"/>
        <w:jc w:val="left"/>
        <w:tblInd w:w="0" w:type="dxa"/>
        <w:tblLayout w:type="fixed"/>
        <w:tblCellMar>
          <w:top w:w="28" w:type="dxa"/>
          <w:left w:w="28" w:type="dxa"/>
          <w:bottom w:w="28" w:type="dxa"/>
          <w:right w:w="28" w:type="dxa"/>
        </w:tblCellMar>
      </w:tblPr>
      <w:tblGrid>
        <w:gridCol w:w="332"/>
        <w:gridCol w:w="291"/>
        <w:gridCol w:w="293"/>
        <w:gridCol w:w="109"/>
        <w:gridCol w:w="109"/>
        <w:gridCol w:w="109"/>
        <w:gridCol w:w="399"/>
        <w:gridCol w:w="399"/>
        <w:gridCol w:w="401"/>
        <w:gridCol w:w="109"/>
        <w:gridCol w:w="109"/>
        <w:gridCol w:w="109"/>
        <w:gridCol w:w="250"/>
        <w:gridCol w:w="731"/>
        <w:gridCol w:w="129"/>
        <w:gridCol w:w="109"/>
        <w:gridCol w:w="109"/>
        <w:gridCol w:w="109"/>
        <w:gridCol w:w="315"/>
        <w:gridCol w:w="315"/>
        <w:gridCol w:w="316"/>
        <w:gridCol w:w="109"/>
        <w:gridCol w:w="109"/>
        <w:gridCol w:w="109"/>
        <w:gridCol w:w="488"/>
        <w:gridCol w:w="488"/>
        <w:gridCol w:w="341"/>
        <w:gridCol w:w="109"/>
        <w:gridCol w:w="109"/>
        <w:gridCol w:w="109"/>
        <w:gridCol w:w="376"/>
        <w:gridCol w:w="1285"/>
        <w:gridCol w:w="274"/>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Agreement</w:t>
              <w:br/>
              <w: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Repurchase</w:t>
              <w:br/>
              <w:t> Program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Amount Paid </w:t>
              <w:b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Completion</w:t>
              <w:b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Shares</w:t>
              <w:br/>
              <w:t>Received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 Price per Share</w:t>
            </w:r>
          </w:p>
        </w:tc>
      </w:tr>
      <w:tr>
        <w:trPr/>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Q4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Q4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465,518 </w:t>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214.81 </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Q2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Q2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598,302 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250.73 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Q4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Q1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1,241,509 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221.50 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Q1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Q2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1,339,124 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168.02 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Q3 2025</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April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Q1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1,390,364 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143.85 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90"/>
        <w:jc w:val="both"/>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 xml:space="preserve">On August 5, 2025, we initiated a $200 million open market repurchase program, which was completed in January 2026. </w:t>
      </w:r>
    </w:p>
    <w:p>
      <w:pPr>
        <w:pStyle w:val="TextBody"/>
        <w:bidi w:val="0"/>
        <w:spacing w:before="0" w:after="0"/>
        <w:ind w:left="0" w:right="0" w:hanging="9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January 2026, we repurchased approximately 0.2 million shares of our common stock at an average price of $167.28 per share for an aggregate purchase price of approximately $31.2 million.</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erif" w:hAnsi="Times New Roman;serif"/>
          <w:b/>
          <w:color w:val="000000"/>
          <w:sz w:val="20"/>
        </w:rPr>
        <w:t>Note 10. Accounting for Income Taxes</w:t>
      </w:r>
      <w:r>
        <w:rPr>
          <w:color w:val="EE2724"/>
        </w:rPr>
        <w:t xml:space="preserve"> </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provision for income taxes was $36.1 million and $47.2 million for the three months ended March 31, 2026 and 2025, respectively, representing effective tax rates of 24.3% and 33.6%, respectively. Our effective tax rate differs from the statutory federal income tax rate of 21% for the three months ended March 31, 2026 and 2025 primarily due to the recognition of additional tax expense resulting from U.S. taxes on foreign earnings, state income taxes, and non-deductible expenses in the U.S., partially offset by the foreign income taxed at different rates.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exercise significant judgment in regard to estimates of future market growth, forecasted earnings and projected taxable income in determining the provision for income taxes and for purposes of assessing our ability to utilize any future benefit from deferred tax assets. We continue to assess the realizability of the deferred tax assets as we take into account new information. We may be required to adjust the valuation allowance for deferred tax assets if we determine, based on available evidence at the time of the determination, that it is more likely than not that some portion or all of the deferred tax assets will not be realized. This assessment includes deferred tax assets associated with our Switzerland tax deductible basis created from our 2020 intra-entity transfer of intellectual property, which have a finite utilization period and depend on our ability to generate sufficient taxable income in that jurisdiction. Any changes to the valuation allowance, particularly those related to our Switzerland deferred tax assets, could have a material adverse effect on our results of operations.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total gross unrecognized tax benefits, excluding interest and penalties, were $119.0 million and $117.4 million as of March 31, 2026 and December 31, 2025, respectively, a material amount of which would impact our effective tax rate if recognized. The increase in our unrecognized tax benefits relates primarily to positions taken on income tax return calculations finalized during the three months ended March 31, 2026.</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22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22 </w:t>
                      </w:r>
                    </w:p>
                  </w:txbxContent>
                </v:textbox>
                <w10:wrap type="none"/>
              </v:rect>
            </w:pict>
          </mc:Fallback>
        </mc:AlternateContent>
      </w:r>
    </w:p>
    <w:p>
      <w:pPr>
        <w:pStyle w:val="TextBody"/>
        <w:bidi w:val="0"/>
        <w:spacing w:lineRule="auto" w:line="288" w:before="0" w:after="0"/>
        <w:jc w:val="left"/>
        <w:rPr/>
      </w:pPr>
      <w:hyperlink w:anchor="i7a02b169d6be4765847899a2d1aa61f4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color w:val="000000"/>
          <w:sz w:val="20"/>
        </w:rPr>
        <w:t>Note 11</w:t>
      </w:r>
      <w:r>
        <w:rPr>
          <w:rFonts w:ascii="Times New Roman;serif" w:hAnsi="Times New Roman;serif"/>
          <w:b/>
          <w:color w:val="000000"/>
          <w:sz w:val="20"/>
          <w:shd w:fill="FFFFFF" w:val="clear"/>
        </w:rPr>
        <w:t>. Net Income per Share</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pPr>
      <w:r>
        <w:rPr>
          <w:color w:val="000000"/>
          <w:shd w:fill="FFFFFF" w:val="clear"/>
        </w:rPr>
        <w:t> </w:t>
      </w:r>
      <w:r>
        <w:rPr>
          <w:rFonts w:ascii="Times New Roman;serif" w:hAnsi="Times New Roman;serif"/>
          <w:b w:val="false"/>
          <w:color w:val="000000"/>
          <w:sz w:val="20"/>
          <w:shd w:fill="FFFFFF" w:val="clear"/>
        </w:rPr>
        <w:t>The following table sets forth the computation of basic and diluted net income per share attributable to common stock (in thousands, except per share amounts):</w:t>
      </w:r>
    </w:p>
    <w:tbl>
      <w:tblPr>
        <w:tblW w:w="7732" w:type="dxa"/>
        <w:jc w:val="left"/>
        <w:tblInd w:w="0" w:type="dxa"/>
        <w:tblLayout w:type="fixed"/>
        <w:tblCellMar>
          <w:top w:w="28" w:type="dxa"/>
          <w:left w:w="28" w:type="dxa"/>
          <w:bottom w:w="28" w:type="dxa"/>
          <w:right w:w="28" w:type="dxa"/>
        </w:tblCellMar>
      </w:tblPr>
      <w:tblGrid>
        <w:gridCol w:w="1590"/>
        <w:gridCol w:w="1403"/>
        <w:gridCol w:w="1417"/>
        <w:gridCol w:w="109"/>
        <w:gridCol w:w="109"/>
        <w:gridCol w:w="109"/>
        <w:gridCol w:w="211"/>
        <w:gridCol w:w="826"/>
        <w:gridCol w:w="109"/>
        <w:gridCol w:w="109"/>
        <w:gridCol w:w="109"/>
        <w:gridCol w:w="109"/>
        <w:gridCol w:w="211"/>
        <w:gridCol w:w="721"/>
        <w:gridCol w:w="109"/>
        <w:gridCol w:w="109"/>
        <w:gridCol w:w="109"/>
        <w:gridCol w:w="109"/>
        <w:gridCol w:w="154"/>
      </w:tblGrid>
      <w:tr>
        <w:trPr/>
        <w:tc>
          <w:tcPr>
            <w:tcW w:w="1590"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1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Numerator: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112,771 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93,230 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 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effect of potential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shares,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share, 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share,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Anti-dilutive potential common shares</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01"/>
        <w:jc w:val="both"/>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 xml:space="preserve">Represents approximately 843 thousand RSU and 2 thousand ESPP weighted-average outstanding common stock equivalent shares for the three months ended March 31, 2026 and approximately 964 thousand RSU weighted average outstanding common stock equivalent shares for the three months ended March 31, 2025 that are excluded from the calculation of diluted net income per share as the effect would have been anti-dilutive.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Note 12</w:t>
      </w:r>
      <w:r>
        <w:rPr>
          <w:rFonts w:ascii="Times New Roman;serif" w:hAnsi="Times New Roman;serif"/>
          <w:b/>
          <w:color w:val="000000"/>
          <w:sz w:val="20"/>
          <w:shd w:fill="FFFFFF" w:val="clear"/>
        </w:rPr>
        <w:t xml:space="preserve">. Supplemental Cash Flow Information </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supplemental cash flow information consists of the following (in thousands):</w:t>
      </w:r>
    </w:p>
    <w:tbl>
      <w:tblPr>
        <w:tblW w:w="10086" w:type="dxa"/>
        <w:jc w:val="left"/>
        <w:tblInd w:w="0" w:type="dxa"/>
        <w:tblLayout w:type="fixed"/>
        <w:tblCellMar>
          <w:top w:w="28" w:type="dxa"/>
          <w:left w:w="28" w:type="dxa"/>
          <w:bottom w:w="28" w:type="dxa"/>
          <w:right w:w="28" w:type="dxa"/>
        </w:tblCellMar>
      </w:tblPr>
      <w:tblGrid>
        <w:gridCol w:w="2643"/>
        <w:gridCol w:w="2327"/>
        <w:gridCol w:w="2335"/>
        <w:gridCol w:w="109"/>
        <w:gridCol w:w="109"/>
        <w:gridCol w:w="109"/>
        <w:gridCol w:w="211"/>
        <w:gridCol w:w="721"/>
        <w:gridCol w:w="109"/>
        <w:gridCol w:w="109"/>
        <w:gridCol w:w="109"/>
        <w:gridCol w:w="109"/>
        <w:gridCol w:w="211"/>
        <w:gridCol w:w="721"/>
        <w:gridCol w:w="154"/>
      </w:tblGrid>
      <w:tr>
        <w:trPr/>
        <w:tc>
          <w:tcPr>
            <w:tcW w:w="2643" w:type="dxa"/>
            <w:tcBorders/>
            <w:vAlign w:val="center"/>
          </w:tcPr>
          <w:p>
            <w:pPr>
              <w:pStyle w:val="TableContents"/>
              <w:bidi w:val="0"/>
              <w:spacing w:before="0" w:after="283"/>
              <w:jc w:val="left"/>
              <w:rPr>
                <w:sz w:val="4"/>
                <w:szCs w:val="4"/>
              </w:rPr>
            </w:pPr>
            <w:r>
              <w:rPr>
                <w:sz w:val="4"/>
                <w:szCs w:val="4"/>
              </w:rPr>
            </w:r>
          </w:p>
        </w:tc>
        <w:tc>
          <w:tcPr>
            <w:tcW w:w="2327" w:type="dxa"/>
            <w:tcBorders/>
            <w:vAlign w:val="center"/>
          </w:tcPr>
          <w:p>
            <w:pPr>
              <w:pStyle w:val="TableContents"/>
              <w:bidi w:val="0"/>
              <w:spacing w:before="0" w:after="283"/>
              <w:jc w:val="left"/>
              <w:rPr>
                <w:sz w:val="4"/>
                <w:szCs w:val="4"/>
              </w:rPr>
            </w:pPr>
            <w:r>
              <w:rPr>
                <w:sz w:val="4"/>
                <w:szCs w:val="4"/>
              </w:rPr>
            </w:r>
          </w:p>
        </w:tc>
        <w:tc>
          <w:tcPr>
            <w:tcW w:w="23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r>
      <w:tr>
        <w:trPr/>
        <w:tc>
          <w:tcPr>
            <w:tcW w:w="7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7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investing and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of property, plant and equipment in accounts payable and accrued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7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amounts included in the measurement of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flows from 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obtained in exchange for lease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9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color w:val="000000"/>
          <w:sz w:val="20"/>
        </w:rPr>
        <w:t>Note 13</w:t>
      </w:r>
      <w:r>
        <w:rPr>
          <w:rFonts w:ascii="Times New Roman;serif" w:hAnsi="Times New Roman;serif"/>
          <w:b/>
          <w:color w:val="000000"/>
          <w:sz w:val="20"/>
          <w:shd w:fill="FFFFFF" w:val="clear"/>
        </w:rPr>
        <w:t>. Segments and Geographical Information</w:t>
      </w:r>
    </w:p>
    <w:p>
      <w:pPr>
        <w:pStyle w:val="TextBody"/>
        <w:bidi w:val="0"/>
        <w:spacing w:before="0" w:after="0"/>
        <w:ind w:left="0" w:right="0" w:firstLine="225"/>
        <w:jc w:val="both"/>
        <w:rPr/>
      </w:pPr>
      <w:r>
        <w:rPr/>
      </w:r>
    </w:p>
    <w:p>
      <w:pPr>
        <w:pStyle w:val="TextBody"/>
        <w:bidi w:val="0"/>
        <w:spacing w:lineRule="auto" w:line="288" w:before="0" w:after="0"/>
        <w:ind w:left="0" w:right="0" w:firstLine="360"/>
        <w:jc w:val="both"/>
        <w:rPr>
          <w:rFonts w:ascii="Times New Roman;serif" w:hAnsi="Times New Roman;serif"/>
          <w:b/>
          <w:i/>
          <w:color w:val="000000"/>
          <w:sz w:val="20"/>
        </w:rPr>
      </w:pPr>
      <w:r>
        <w:rPr>
          <w:rFonts w:ascii="Times New Roman;serif" w:hAnsi="Times New Roman;serif"/>
          <w:b/>
          <w:i/>
          <w:color w:val="000000"/>
          <w:sz w:val="20"/>
        </w:rPr>
        <w:t>Segment Information</w:t>
      </w:r>
    </w:p>
    <w:p>
      <w:pPr>
        <w:pStyle w:val="TextBody"/>
        <w:bidi w:val="0"/>
        <w:spacing w:before="0" w:after="0"/>
        <w:ind w:left="0" w:right="0" w:firstLine="495"/>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report segment information based on the management approach. The management approach designates the internal reporting used by our Chief Operating Decision Maker (“CODM”), our Chief Executive Officer, for decision making and performance assessment as the basis for determining our reportable segments. We group our operations into two reportable segments; Clear Aligner segment and Imaging Systems and CAD/CAM services (“Systems and Services”) segment, which are based on our predominant product lines.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CODM uses gross profit and income from operations to assess each reportable segment's performance, by reviewing each measure against internal forecasts and historical performance. Our CODM may also benchmark each segment's performance against our competitors and external expectations.</w:t>
      </w:r>
    </w:p>
    <w:p>
      <w:pPr>
        <w:pStyle w:val="TextBody"/>
        <w:bidi w:val="0"/>
        <w:spacing w:before="0" w:after="0"/>
        <w:ind w:left="0" w:right="0" w:firstLine="45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23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23 </w:t>
                      </w:r>
                    </w:p>
                  </w:txbxContent>
                </v:textbox>
                <w10:wrap type="none"/>
              </v:rect>
            </w:pict>
          </mc:Fallback>
        </mc:AlternateContent>
      </w:r>
    </w:p>
    <w:p>
      <w:pPr>
        <w:pStyle w:val="TextBody"/>
        <w:bidi w:val="0"/>
        <w:spacing w:lineRule="auto" w:line="288" w:before="0" w:after="0"/>
        <w:jc w:val="left"/>
        <w:rPr/>
      </w:pPr>
      <w:hyperlink w:anchor="i7a02b169d6be4765847899a2d1aa61f4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Summarized financial information by reportable segment is as follows (in thousands): </w:t>
      </w:r>
    </w:p>
    <w:tbl>
      <w:tblPr>
        <w:tblW w:w="6817" w:type="dxa"/>
        <w:jc w:val="left"/>
        <w:tblInd w:w="0" w:type="dxa"/>
        <w:tblLayout w:type="fixed"/>
        <w:tblCellMar>
          <w:top w:w="28" w:type="dxa"/>
          <w:left w:w="28" w:type="dxa"/>
          <w:bottom w:w="28" w:type="dxa"/>
          <w:right w:w="28" w:type="dxa"/>
        </w:tblCellMar>
      </w:tblPr>
      <w:tblGrid>
        <w:gridCol w:w="1172"/>
        <w:gridCol w:w="1033"/>
        <w:gridCol w:w="1035"/>
        <w:gridCol w:w="109"/>
        <w:gridCol w:w="109"/>
        <w:gridCol w:w="109"/>
        <w:gridCol w:w="211"/>
        <w:gridCol w:w="976"/>
        <w:gridCol w:w="109"/>
        <w:gridCol w:w="109"/>
        <w:gridCol w:w="109"/>
        <w:gridCol w:w="109"/>
        <w:gridCol w:w="211"/>
        <w:gridCol w:w="826"/>
        <w:gridCol w:w="109"/>
        <w:gridCol w:w="109"/>
        <w:gridCol w:w="109"/>
        <w:gridCol w:w="109"/>
        <w:gridCol w:w="154"/>
      </w:tblGrid>
      <w:tr>
        <w:trPr/>
        <w:tc>
          <w:tcPr>
            <w:tcW w:w="1172"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Clear Aligner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856,024 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796,843 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Systems and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184,063 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182,419 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1,040,087 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979,262 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Cost of net revenues</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Clear Aligner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234,754 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Systems and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cost of net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303,500 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299,154 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Clear Aligner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612,869 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562,089 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Systems and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123,718 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118,019 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736,587 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680,108 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Segment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Clear Aligner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305,070 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301,865 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Systems and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Unallocated corporate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231,920 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187,587 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594,632 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549,008 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Segment income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Clear Aligner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307,799 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Systems and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segment income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373,875 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318,687 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90"/>
        <w:jc w:val="both"/>
        <w:rPr/>
      </w:pPr>
      <w:r>
        <w:rPr>
          <w:rFonts w:ascii="Times New Roman;serif" w:hAnsi="Times New Roman;serif"/>
          <w:b w:val="false"/>
          <w:color w:val="000000"/>
          <w:sz w:val="12"/>
        </w:rPr>
        <w:t>1</w:t>
      </w:r>
      <w:r>
        <w:rPr>
          <w:color w:val="000000"/>
        </w:rPr>
        <w:t>    </w:t>
      </w:r>
      <w:r>
        <w:rPr>
          <w:rFonts w:ascii="Times New Roman;serif" w:hAnsi="Times New Roman;serif"/>
          <w:b w:val="false"/>
          <w:color w:val="000000"/>
          <w:sz w:val="18"/>
        </w:rPr>
        <w:t>Management has identified Cost of net revenues as a significant expense for our Clear Aligner and Systems and Services reportable segments.</w:t>
      </w:r>
    </w:p>
    <w:p>
      <w:pPr>
        <w:pStyle w:val="TextBody"/>
        <w:bidi w:val="0"/>
        <w:spacing w:before="0" w:after="0"/>
        <w:ind w:left="0" w:right="0" w:hanging="27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Other segment expenses typically include employee related costs, marketing and advertising costs and depreciation and amortization expense incurred by various functions including selling, marketing, general and administrative and research and development. Our CODM does not regularly receive these operating expenses at the reportable segment level.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Income from operations for each segment includes all geographic revenues, related cost of net revenues and operating expenses directly attributable to the reportable segment. Certain operating expenses are not directly attributable to a reportable segment and must be allocated. Each allocation is measured differently based on the nature of the cost being allocated. Certain other operating expenses are not specifically allocated to segment income from operations and generally include various corporate expenses such as stock-based compensation and costs related to information technology (“IT”), facilities, human resources, accounting and finance, legal and regulatory, other separately managed general and administrative costs outside the reportable segments and restructuring costs.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reconciles total segment income from operations in the table above to net income before provision for income taxes (in thousands):</w:t>
      </w:r>
    </w:p>
    <w:tbl>
      <w:tblPr>
        <w:tblW w:w="7236" w:type="dxa"/>
        <w:jc w:val="left"/>
        <w:tblInd w:w="0" w:type="dxa"/>
        <w:tblLayout w:type="fixed"/>
        <w:tblCellMar>
          <w:top w:w="28" w:type="dxa"/>
          <w:left w:w="28" w:type="dxa"/>
          <w:bottom w:w="28" w:type="dxa"/>
          <w:right w:w="28" w:type="dxa"/>
        </w:tblCellMar>
      </w:tblPr>
      <w:tblGrid>
        <w:gridCol w:w="1378"/>
        <w:gridCol w:w="1213"/>
        <w:gridCol w:w="1218"/>
        <w:gridCol w:w="109"/>
        <w:gridCol w:w="109"/>
        <w:gridCol w:w="109"/>
        <w:gridCol w:w="211"/>
        <w:gridCol w:w="826"/>
        <w:gridCol w:w="109"/>
        <w:gridCol w:w="109"/>
        <w:gridCol w:w="109"/>
        <w:gridCol w:w="109"/>
        <w:gridCol w:w="211"/>
        <w:gridCol w:w="826"/>
        <w:gridCol w:w="109"/>
        <w:gridCol w:w="109"/>
        <w:gridCol w:w="109"/>
        <w:gridCol w:w="109"/>
        <w:gridCol w:w="154"/>
      </w:tblGrid>
      <w:tr>
        <w:trPr/>
        <w:tc>
          <w:tcPr>
            <w:tcW w:w="1378"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segment income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373,875 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318,687 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Unallocated corporate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(231,920)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(187,587)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income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141,955 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131,100 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before 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148,886 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140,442 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includes certain non-cash expenses for each reportable segment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24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24 </w:t>
                      </w:r>
                    </w:p>
                  </w:txbxContent>
                </v:textbox>
                <w10:wrap type="none"/>
              </v:rect>
            </w:pict>
          </mc:Fallback>
        </mc:AlternateContent>
      </w:r>
    </w:p>
    <w:p>
      <w:pPr>
        <w:pStyle w:val="TextBody"/>
        <w:bidi w:val="0"/>
        <w:spacing w:lineRule="auto" w:line="288" w:before="0" w:after="0"/>
        <w:jc w:val="left"/>
        <w:rPr/>
      </w:pPr>
      <w:hyperlink w:anchor="i7a02b169d6be4765847899a2d1aa61f4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tbl>
      <w:tblPr>
        <w:tblW w:w="6262" w:type="dxa"/>
        <w:jc w:val="left"/>
        <w:tblInd w:w="0" w:type="dxa"/>
        <w:tblLayout w:type="fixed"/>
        <w:tblCellMar>
          <w:top w:w="28" w:type="dxa"/>
          <w:left w:w="28" w:type="dxa"/>
          <w:bottom w:w="28" w:type="dxa"/>
          <w:right w:w="28" w:type="dxa"/>
        </w:tblCellMar>
      </w:tblPr>
      <w:tblGrid>
        <w:gridCol w:w="1104"/>
        <w:gridCol w:w="969"/>
        <w:gridCol w:w="972"/>
        <w:gridCol w:w="109"/>
        <w:gridCol w:w="109"/>
        <w:gridCol w:w="109"/>
        <w:gridCol w:w="211"/>
        <w:gridCol w:w="721"/>
        <w:gridCol w:w="109"/>
        <w:gridCol w:w="109"/>
        <w:gridCol w:w="109"/>
        <w:gridCol w:w="109"/>
        <w:gridCol w:w="211"/>
        <w:gridCol w:w="721"/>
        <w:gridCol w:w="109"/>
        <w:gridCol w:w="109"/>
        <w:gridCol w:w="109"/>
        <w:gridCol w:w="109"/>
        <w:gridCol w:w="154"/>
      </w:tblGrid>
      <w:tr>
        <w:trPr/>
        <w:tc>
          <w:tcPr>
            <w:tcW w:w="1104"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Clear Aligner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Systems and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Unallocated corporate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Depreciation and amortization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pPr>
            <w:r>
              <w:rPr>
                <w:rFonts w:ascii="Times New Roman;serif" w:hAnsi="Times New Roman;serif"/>
                <w:b w:val="false"/>
                <w:color w:val="000000"/>
                <w:sz w:val="20"/>
              </w:rPr>
              <w:t>Clear Aligner</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Systems and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Unallocated corporate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90"/>
        <w:jc w:val="both"/>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 xml:space="preserve">Includes $15.6 million of accelerated depreciation as disclosed in </w:t>
      </w:r>
      <w:r>
        <w:rPr>
          <w:rFonts w:ascii="Times New Roman;serif" w:hAnsi="Times New Roman;serif"/>
          <w:b w:val="false"/>
          <w:i/>
          <w:color w:val="000000"/>
          <w:sz w:val="18"/>
        </w:rPr>
        <w:t>Note 1 “Summary of Significant Accounting Policies."</w:t>
      </w:r>
    </w:p>
    <w:p>
      <w:pPr>
        <w:pStyle w:val="TextBody"/>
        <w:bidi w:val="0"/>
        <w:spacing w:before="0" w:after="0"/>
        <w:ind w:left="0" w:right="0" w:firstLine="36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CODM does not regularly review total assets at the reportable segment level; however, we have provided geographical information related to our long-lived assets below.</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i/>
          <w:color w:val="000000"/>
          <w:sz w:val="20"/>
        </w:rPr>
      </w:pPr>
      <w:r>
        <w:rPr>
          <w:rFonts w:ascii="Times New Roman;serif" w:hAnsi="Times New Roman;serif"/>
          <w:b/>
          <w:i/>
          <w:color w:val="000000"/>
          <w:sz w:val="20"/>
        </w:rPr>
        <w:t>Geographical Information</w:t>
      </w:r>
    </w:p>
    <w:p>
      <w:pPr>
        <w:pStyle w:val="TextBody"/>
        <w:bidi w:val="0"/>
        <w:spacing w:before="0" w:after="0"/>
        <w:ind w:left="0" w:right="0" w:firstLine="27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Net revenues are presented below by geographic area (in thousands):</w:t>
      </w:r>
    </w:p>
    <w:tbl>
      <w:tblPr>
        <w:tblW w:w="5286" w:type="dxa"/>
        <w:jc w:val="left"/>
        <w:tblInd w:w="0" w:type="dxa"/>
        <w:tblLayout w:type="fixed"/>
        <w:tblCellMar>
          <w:top w:w="28" w:type="dxa"/>
          <w:left w:w="28" w:type="dxa"/>
          <w:bottom w:w="28" w:type="dxa"/>
          <w:right w:w="28" w:type="dxa"/>
        </w:tblCellMar>
      </w:tblPr>
      <w:tblGrid>
        <w:gridCol w:w="618"/>
        <w:gridCol w:w="545"/>
        <w:gridCol w:w="546"/>
        <w:gridCol w:w="109"/>
        <w:gridCol w:w="109"/>
        <w:gridCol w:w="109"/>
        <w:gridCol w:w="211"/>
        <w:gridCol w:w="976"/>
        <w:gridCol w:w="109"/>
        <w:gridCol w:w="109"/>
        <w:gridCol w:w="109"/>
        <w:gridCol w:w="109"/>
        <w:gridCol w:w="211"/>
        <w:gridCol w:w="826"/>
        <w:gridCol w:w="109"/>
        <w:gridCol w:w="109"/>
        <w:gridCol w:w="109"/>
        <w:gridCol w:w="109"/>
        <w:gridCol w:w="154"/>
      </w:tblGrid>
      <w:tr>
        <w:trPr/>
        <w:tc>
          <w:tcPr>
            <w:tcW w:w="618"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Net revenues</w:t>
            </w:r>
            <w:r>
              <w:rPr>
                <w:color w:val="000000"/>
              </w:rPr>
              <w:t xml:space="preserve"> </w:t>
            </w:r>
            <w:r>
              <w:rPr>
                <w:rFonts w:ascii="Times New Roman;serif" w:hAnsi="Times New Roman;serif"/>
                <w:b w:val="false"/>
                <w:color w:val="000000"/>
                <w:sz w:val="13"/>
              </w:rPr>
              <w:t>1</w:t>
            </w: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U.S.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404,488 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423,318 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Switzerland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International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390,451 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331,812 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1,040,087 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979,262 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90"/>
        <w:jc w:val="both"/>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Net revenues are attributed to countries based on the location of where revenues are recognized by our legal entities.</w:t>
      </w:r>
    </w:p>
    <w:p>
      <w:pPr>
        <w:pStyle w:val="TextBody"/>
        <w:bidi w:val="0"/>
        <w:spacing w:before="0" w:after="0"/>
        <w:ind w:left="0" w:right="0" w:hanging="9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Long-lived assets, which includes Property, plant and equipment, net and Operating lease right-of-use assets, net, are presented below by geographic area (in thousands):</w:t>
      </w:r>
    </w:p>
    <w:tbl>
      <w:tblPr>
        <w:tblW w:w="5255" w:type="dxa"/>
        <w:jc w:val="left"/>
        <w:tblInd w:w="0" w:type="dxa"/>
        <w:tblLayout w:type="fixed"/>
        <w:tblCellMar>
          <w:top w:w="28" w:type="dxa"/>
          <w:left w:w="28" w:type="dxa"/>
          <w:bottom w:w="28" w:type="dxa"/>
          <w:right w:w="28" w:type="dxa"/>
        </w:tblCellMar>
      </w:tblPr>
      <w:tblGrid>
        <w:gridCol w:w="711"/>
        <w:gridCol w:w="625"/>
        <w:gridCol w:w="628"/>
        <w:gridCol w:w="109"/>
        <w:gridCol w:w="109"/>
        <w:gridCol w:w="109"/>
        <w:gridCol w:w="211"/>
        <w:gridCol w:w="976"/>
        <w:gridCol w:w="109"/>
        <w:gridCol w:w="109"/>
        <w:gridCol w:w="109"/>
        <w:gridCol w:w="109"/>
        <w:gridCol w:w="211"/>
        <w:gridCol w:w="976"/>
        <w:gridCol w:w="154"/>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Long-lived assets</w:t>
            </w:r>
            <w:r>
              <w:rPr>
                <w:color w:val="000000"/>
              </w:rPr>
              <w:t xml:space="preserve"> </w:t>
            </w:r>
            <w:r>
              <w:rPr>
                <w:rFonts w:ascii="Times New Roman;serif" w:hAnsi="Times New Roman;serif"/>
                <w:b w:val="false"/>
                <w:color w:val="000000"/>
                <w:sz w:val="13"/>
              </w:rPr>
              <w:t>1</w:t>
            </w: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Switzerland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480,698 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493,584 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U.S.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197,753 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200,343 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International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539,864 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545,848 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long-lived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1,218,315 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1,239,775 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both"/>
        <w:rPr/>
      </w:pPr>
      <w:r>
        <w:rPr>
          <w:rFonts w:ascii="Times New Roman;serif" w:hAnsi="Times New Roman;serif"/>
          <w:b w:val="false"/>
          <w:color w:val="000000"/>
          <w:sz w:val="12"/>
        </w:rPr>
        <w:t xml:space="preserve">1 </w:t>
      </w:r>
      <w:r>
        <w:rPr>
          <w:rFonts w:ascii="Times New Roman;serif" w:hAnsi="Times New Roman;serif"/>
          <w:b w:val="false"/>
          <w:color w:val="000000"/>
          <w:sz w:val="18"/>
        </w:rPr>
        <w:t>Long-lived assets are attributed to countries based on the location of our entity that owns or leases the assets.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14. Restructuring and Other Charges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i/>
          <w:color w:val="000000"/>
          <w:sz w:val="20"/>
        </w:rPr>
      </w:pPr>
      <w:r>
        <w:rPr>
          <w:rFonts w:ascii="Times New Roman;serif" w:hAnsi="Times New Roman;serif"/>
          <w:b/>
          <w:i/>
          <w:color w:val="000000"/>
          <w:sz w:val="20"/>
        </w:rPr>
        <w:t>2024 Restructuring</w:t>
      </w:r>
    </w:p>
    <w:p>
      <w:pPr>
        <w:pStyle w:val="TextBody"/>
        <w:bidi w:val="0"/>
        <w:spacing w:before="0" w:after="0"/>
        <w:ind w:left="0" w:right="0" w:firstLine="360"/>
        <w:jc w:val="both"/>
        <w:rPr/>
      </w:pPr>
      <w:r>
        <w:rPr/>
      </w:r>
    </w:p>
    <w:p>
      <w:pPr>
        <w:pStyle w:val="TextBody"/>
        <w:bidi w:val="0"/>
        <w:spacing w:lineRule="auto" w:line="26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In the fourth quarter of 2024, we incurred approximately $37.0 million in restructuring expenses, of which $13.0 million remained unpaid and were included in Accrued liabilities as of December 31, 2024. During the year ended 2025, we reduced our December 31, 2024 restructuring liability by approximately $14.6 million primarily due to cash payments, offset by approximately $2.1 million of additional restructuring expense recorded in Cost of net revenues. As of March 31, 2026, we had no remaining restructuring liability related to the 2024 Restructuring. </w:t>
      </w:r>
    </w:p>
    <w:p>
      <w:pPr>
        <w:pStyle w:val="TextBody"/>
        <w:bidi w:val="0"/>
        <w:spacing w:before="0" w:after="0"/>
        <w:ind w:left="0" w:right="0" w:firstLine="450"/>
        <w:jc w:val="left"/>
        <w:rPr/>
      </w:pPr>
      <w:r>
        <w:rPr/>
      </w:r>
    </w:p>
    <w:p>
      <w:pPr>
        <w:pStyle w:val="TextBody"/>
        <w:bidi w:val="0"/>
        <w:spacing w:lineRule="auto" w:line="288" w:before="0" w:after="0"/>
        <w:ind w:left="0" w:right="0" w:firstLine="360"/>
        <w:jc w:val="both"/>
        <w:rPr>
          <w:rFonts w:ascii="Times New Roman;serif" w:hAnsi="Times New Roman;serif"/>
          <w:b/>
          <w:i/>
          <w:color w:val="000000"/>
          <w:sz w:val="20"/>
        </w:rPr>
      </w:pPr>
      <w:r>
        <w:rPr>
          <w:rFonts w:ascii="Times New Roman;serif" w:hAnsi="Times New Roman;serif"/>
          <w:b/>
          <w:i/>
          <w:color w:val="000000"/>
          <w:sz w:val="20"/>
        </w:rPr>
        <w:t>2025 Restructuring</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25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25 </w:t>
                      </w:r>
                    </w:p>
                  </w:txbxContent>
                </v:textbox>
                <w10:wrap type="none"/>
              </v:rect>
            </w:pict>
          </mc:Fallback>
        </mc:AlternateContent>
      </w:r>
    </w:p>
    <w:p>
      <w:pPr>
        <w:pStyle w:val="TextBody"/>
        <w:bidi w:val="0"/>
        <w:spacing w:lineRule="auto" w:line="288" w:before="0" w:after="0"/>
        <w:jc w:val="left"/>
        <w:rPr/>
      </w:pPr>
      <w:hyperlink w:anchor="i7a02b169d6be4765847899a2d1aa61f4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In the third quarter of 2025, we initiated a plan to realign certain business groups and reduce our global workforce as part of our continued effort to right size our labor force in response to the current macroeconomic environment. We incurred approximately $40.9 million in restructuring expenses, of which $17.1 million remained unpaid and were included in Accrued liabilities as of December 31, 2025. For the three months ended March 31, 2026, we reduced our December 31, 2025 restructuring liability by approximately $11.6 million primarily due to cash payments, offset by approximately $0.7 million of additional restructuring expenses, most of which was recorded in Selling, general and administrative expense in our Condensed Consolidated Statements of Operations. As of March 31, 2026, $6.3 million remained unpaid and was included in Accrued liabilities in our Condensed Consolidated Balance Sheets.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have completed the 2025 restructuring plan and incurred approximately $41.6 million in total restructuring expenses. We do not expect to incur additional restructuring expenses in connection with the plan.</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2024 and 2025 restructuring activities were primarily related to involuntary termination benefits, including employee severance and other post-employment benefits. </w:t>
      </w:r>
    </w:p>
    <w:p>
      <w:pPr>
        <w:pStyle w:val="TextBody"/>
        <w:bidi w:val="0"/>
        <w:spacing w:before="0" w:after="0"/>
        <w:jc w:val="left"/>
        <w:rPr/>
      </w:pPr>
      <w:r>
        <w:rPr/>
      </w:r>
    </w:p>
    <w:p>
      <w:pPr>
        <w:pStyle w:val="TextBody"/>
        <w:bidi w:val="0"/>
        <w:spacing w:lineRule="auto" w:line="276"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Activity related to the restructuring liabilities associated with our restructuring initiatives consists of the following (in thousands):</w:t>
      </w:r>
    </w:p>
    <w:tbl>
      <w:tblPr>
        <w:tblW w:w="7870" w:type="dxa"/>
        <w:jc w:val="left"/>
        <w:tblInd w:w="0" w:type="dxa"/>
        <w:tblLayout w:type="fixed"/>
        <w:tblCellMar>
          <w:top w:w="28" w:type="dxa"/>
          <w:left w:w="28" w:type="dxa"/>
          <w:bottom w:w="28" w:type="dxa"/>
          <w:right w:w="28" w:type="dxa"/>
        </w:tblCellMar>
      </w:tblPr>
      <w:tblGrid>
        <w:gridCol w:w="983"/>
        <w:gridCol w:w="864"/>
        <w:gridCol w:w="867"/>
        <w:gridCol w:w="109"/>
        <w:gridCol w:w="109"/>
        <w:gridCol w:w="109"/>
        <w:gridCol w:w="307"/>
        <w:gridCol w:w="1049"/>
        <w:gridCol w:w="159"/>
        <w:gridCol w:w="109"/>
        <w:gridCol w:w="109"/>
        <w:gridCol w:w="109"/>
        <w:gridCol w:w="318"/>
        <w:gridCol w:w="1091"/>
        <w:gridCol w:w="165"/>
        <w:gridCol w:w="109"/>
        <w:gridCol w:w="109"/>
        <w:gridCol w:w="109"/>
        <w:gridCol w:w="211"/>
        <w:gridCol w:w="721"/>
        <w:gridCol w:w="154"/>
      </w:tblGrid>
      <w:tr>
        <w:trPr/>
        <w:tc>
          <w:tcPr>
            <w:tcW w:w="983"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9"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For the twelve months ended December 31, 2025</w:t>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 Restructuring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2025 Restructuring</w:t>
            </w:r>
            <w:r>
              <w:rPr>
                <w:rFonts w:ascii="Times New Roman;serif" w:hAnsi="Times New Roman;serif"/>
                <w:b w:val="false"/>
                <w:color w:val="000000"/>
                <w:sz w:val="1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Balance at beginning of period</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13,001 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Restructuring and other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40,888 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Cash payments and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(14,569)</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(23,776)</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(38,345)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Balance at end of period</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17,112 </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17,600 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869" w:type="dxa"/>
        <w:jc w:val="left"/>
        <w:tblInd w:w="0" w:type="dxa"/>
        <w:tblLayout w:type="fixed"/>
        <w:tblCellMar>
          <w:top w:w="28" w:type="dxa"/>
          <w:left w:w="28" w:type="dxa"/>
          <w:bottom w:w="28" w:type="dxa"/>
          <w:right w:w="28" w:type="dxa"/>
        </w:tblCellMar>
      </w:tblPr>
      <w:tblGrid>
        <w:gridCol w:w="983"/>
        <w:gridCol w:w="864"/>
        <w:gridCol w:w="867"/>
        <w:gridCol w:w="109"/>
        <w:gridCol w:w="109"/>
        <w:gridCol w:w="109"/>
        <w:gridCol w:w="406"/>
        <w:gridCol w:w="897"/>
        <w:gridCol w:w="211"/>
        <w:gridCol w:w="109"/>
        <w:gridCol w:w="109"/>
        <w:gridCol w:w="109"/>
        <w:gridCol w:w="318"/>
        <w:gridCol w:w="1091"/>
        <w:gridCol w:w="165"/>
        <w:gridCol w:w="109"/>
        <w:gridCol w:w="109"/>
        <w:gridCol w:w="109"/>
        <w:gridCol w:w="211"/>
        <w:gridCol w:w="721"/>
        <w:gridCol w:w="154"/>
      </w:tblGrid>
      <w:tr>
        <w:trPr/>
        <w:tc>
          <w:tcPr>
            <w:tcW w:w="983"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8"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For the three months ended March 31, 2026</w:t>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 Restructuring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2025 Restructuring</w:t>
            </w:r>
            <w:r>
              <w:rPr>
                <w:rFonts w:ascii="Times New Roman;serif" w:hAnsi="Times New Roman;serif"/>
                <w:b w:val="false"/>
                <w:color w:val="000000"/>
                <w:sz w:val="1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Balance at beginning of period</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17,112 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17,600 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Restructuring and other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Cash payments and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(11,575)</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(12,063)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Balance at end of period</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6,263 </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Included in “Accrued liabilities” within our Condensed Consolidated Balance Sheets.</w:t>
      </w:r>
    </w:p>
    <w:p>
      <w:pPr>
        <w:pStyle w:val="TextBody"/>
        <w:bidi w:val="0"/>
        <w:spacing w:lineRule="auto" w:line="288" w:before="0" w:after="0"/>
        <w:jc w:val="both"/>
        <w:rPr/>
      </w:pPr>
      <w:r>
        <w:rPr>
          <w:rFonts w:ascii="Times New Roman;serif" w:hAnsi="Times New Roman;serif"/>
          <w:b w:val="false"/>
          <w:color w:val="000000"/>
          <w:sz w:val="12"/>
        </w:rPr>
        <w:t>2</w:t>
      </w:r>
      <w:r>
        <w:rPr>
          <w:color w:val="000000"/>
        </w:rPr>
        <w:t xml:space="preserve"> </w:t>
      </w:r>
      <w:r>
        <w:rPr>
          <w:rFonts w:ascii="Times New Roman;serif" w:hAnsi="Times New Roman;serif"/>
          <w:b w:val="false"/>
          <w:color w:val="000000"/>
          <w:sz w:val="18"/>
        </w:rPr>
        <w:t>2025 restructuring activities include an immaterial amount of charges for non post-employment benefit related restructuring expense.</w:t>
      </w:r>
    </w:p>
    <w:p>
      <w:pPr>
        <w:pStyle w:val="TextBody"/>
        <w:bidi w:val="0"/>
        <w:spacing w:before="0" w:after="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Note 15</w:t>
      </w:r>
      <w:r>
        <w:rPr>
          <w:rFonts w:ascii="Times New Roman;serif" w:hAnsi="Times New Roman;serif"/>
          <w:b w:val="false"/>
          <w:color w:val="000000"/>
          <w:sz w:val="20"/>
        </w:rPr>
        <w:t xml:space="preserve">. </w:t>
      </w:r>
      <w:r>
        <w:rPr>
          <w:rFonts w:ascii="Times New Roman;serif" w:hAnsi="Times New Roman;serif"/>
          <w:b/>
          <w:color w:val="000000"/>
          <w:sz w:val="20"/>
        </w:rPr>
        <w:t>Assets Held for Sale</w:t>
      </w:r>
    </w:p>
    <w:p>
      <w:pPr>
        <w:pStyle w:val="TextBody"/>
        <w:bidi w:val="0"/>
        <w:spacing w:before="0" w:after="0"/>
        <w:jc w:val="left"/>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 xml:space="preserve">In connection with the 2025 restructuring activities discussed in </w:t>
      </w:r>
      <w:r>
        <w:rPr>
          <w:rFonts w:ascii="Times New Roman;serif" w:hAnsi="Times New Roman;serif"/>
          <w:b w:val="false"/>
          <w:i/>
          <w:color w:val="000000"/>
          <w:sz w:val="20"/>
        </w:rPr>
        <w:t>Note 14 “Restructuring and Other Charges,”</w:t>
      </w:r>
      <w:r>
        <w:rPr>
          <w:color w:val="000000"/>
        </w:rPr>
        <w:t xml:space="preserve"> </w:t>
      </w:r>
      <w:r>
        <w:rPr>
          <w:rFonts w:ascii="Times New Roman;serif" w:hAnsi="Times New Roman;serif"/>
          <w:b w:val="false"/>
          <w:color w:val="000000"/>
          <w:sz w:val="20"/>
        </w:rPr>
        <w:t>during the third quarter of 2025, we committed to a plan to sell a manufacturing facility, including land, building and building improvements (collectively the “disposal group”) in Juarez, Mexico. During the third quarter of 2025, we classified the disposal group as held for sale for $27.9 million and recognized an impairment loss of $23.1 million, which was recorded within Cost of net revenues and attributable to our Clear Aligner reportable segment. As of December 31, 2025, we had assets held for sale of $28.0 million.</w:t>
      </w:r>
    </w:p>
    <w:p>
      <w:pPr>
        <w:pStyle w:val="TextBody"/>
        <w:bidi w:val="0"/>
        <w:spacing w:before="0" w:after="0"/>
        <w:ind w:left="0" w:right="0" w:firstLine="360"/>
        <w:jc w:val="both"/>
        <w:rPr/>
      </w:pPr>
      <w:r>
        <w:rPr/>
      </w:r>
    </w:p>
    <w:p>
      <w:pPr>
        <w:pStyle w:val="TextBody"/>
        <w:bidi w:val="0"/>
        <w:spacing w:lineRule="auto" w:line="276"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first quarter of 2026, we recognized a gain of $11.7 million resulting from an increase in fair value less costs to sell, driven by updated market</w:t>
        <w:noBreakHyphen/>
        <w:t>based information. The gain was recorded within Cost of net revenues in our Condensed Consolidated Statement of Operations and was attributable to our Clear Aligner reportable segment. As of March 31, 2026, we had assets held for sale of $39.8 million, which are presented separately as Assets held for sale in our Condensed Consolidated Balance Sheets.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26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26 </w:t>
                      </w:r>
                    </w:p>
                  </w:txbxContent>
                </v:textbox>
                <w10:wrap type="none"/>
              </v:rect>
            </w:pict>
          </mc:Fallback>
        </mc:AlternateContent>
      </w:r>
    </w:p>
    <w:p>
      <w:pPr>
        <w:pStyle w:val="TextBody"/>
        <w:bidi w:val="0"/>
        <w:spacing w:lineRule="auto" w:line="288" w:before="0" w:after="0"/>
        <w:jc w:val="left"/>
        <w:rPr/>
      </w:pPr>
      <w:hyperlink w:anchor="i7a02b169d6be4765847899a2d1aa61f4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 xml:space="preserve">In addition to historical information, this Quarterly Report on Form 10-Q contains forward-looking statements within the meaning of Section 27A of the Securities Act of 1933 and Section 21E of the Securities Exchange Act of 1934, as amended (the “Exchange Act”). These statements include, among other things, our expectations and intentions regarding our strategic objectives, business strategy and growth drivers, and the means to achieve them; our beliefs and expectations regarding macroeconomic conditions, including fluctuations in currency exchange rates, higher interest rates, market volatility, uncertainty surrounding future United States trade policies, tariffs, customs duties and fees, and retaliatory actions by other nations in light of recent U.S. Supreme Court decision on the constitutionality of tariffs, inflation, threats of or actual economic slowdowns or recessions and geopolitical tensions; our expectations and beliefs regarding customer and consumer confidence, purchasing behavior and demand for dental services and changes in consumer spending habits; our expectations regarding product mix, product launches, product pilots and product adoption; our expectations regarding competition and our ability to compete in our target markets; our expectations regarding the sales growth of our clear aligners, intraoral scanners and other products; our expectations regarding the impact of the military conflicts in the Middle East, Ukraine and China, on our employees, operations and assets; our marketing and efforts to build our brand awareness; our estimates regarding the size and opportunities of our target markets along with our expectations for growth in those markets and potential collaboration opportunities; our beliefs regarding the general impact of technological innovation and on our particular solutions and products; our beliefs regarding digital dentistry and its potential to impact our business and transform dentistry; our intentions regarding expansion of our business and any impacts on our operational flexibility and responsiveness to customer demand; our expectations regarding our tax positions and the judgments we make related to our tax obligations; our beliefs regarding the importance of our manufacturing operations on our success; our beliefs regarding the need for and benefits of our technological development on Invisalign treatment, the areas of development in which we focus our efforts, and the advantages of our intellectual property portfolio; our expectations regarding the utilization rates for our products, including the impact of marketing on those rates and causes for periodic fluctuations of the rates; our expectations regarding the existence and impact of seasonality; our expectations regarding the continued expansion of our international markets and their growth; our expectations regarding impacts or staying in compliance with laws and regulations currently applicable to, or which may become applicable to, our business both in the United States and internationally; our beliefs regarding our culture and commitment and its impact on our financial and operational performance and its importance to our future success; our expectations for future investments in and benefits from sales and marketing activities; our preparedness and our customers’ preparedness to react to changing circumstances and demand; our expectations for our expenses and capital obligations and expenditures in particular; our intentions to control spending and for investments, our intentions regarding the investment of and ability to repatriate foreign earnings; our belief regarding the sufficiency of our cash and investment balances and borrowing capacity; our judgments regarding the estimates used in our revenue recognition and assessment of goodwill and intangible assets; our predicted level of operating expenses and gross margins and other factors beyond our control, as well as other statements regarding our future operations, financial condition and prospects and business strategies.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These statements may contain words such as “expects,” “anticipates,” “intends,” “plans,” “believes,” “estimates,” or other words indicating future results. These forward-looking statements are subject to certain risks and uncertainties that could cause actual results to differ materially from those reflected in the forward-looking statements. Factors that could cause or contribute to such differences include, but are not limited to, those discussed in Part I, Item 2 “Management’s Discussion and Analysis of Financial Condition and Results of Operations,” and in particular, the risks discussed below in Part II, Item 1A “Risk Factors.” We undertake no obligation to revise or update these forward-looking statements. Given these risks and uncertainties, readers are cautioned not to place undue reliance on such forward-looking statements.</w:t>
      </w:r>
    </w:p>
    <w:p>
      <w:pPr>
        <w:pStyle w:val="TextBody"/>
        <w:bidi w:val="0"/>
        <w:spacing w:before="0" w:after="0"/>
        <w:ind w:left="0" w:right="0" w:firstLine="451"/>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discussion and analysis of our financial condition and results of operations should be read together with our condensed consolidated financial statements and related notes included elsewhere in this Quarterly Report on Form 10-Q and with our audited consolidated financial statements included in our Annual Report on Form 10-K for the year ended December 31, 2025 as filed with the Securities and Exchange Commission (the “SEC”) on February 27, 2026.</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Executive Overview of Results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Our Strategic Growth Drivers</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strive to help our doctor customers move their practices forward by connecting them with new patients, providing digital solutions to help increase practice efficiency and helping them deliver the best possible treatment outcomes and experiences to millions of people around the world. We strive to achieve this through our continued focus on, and execution of, our strategic growth drivers: (i) International Expansion; (ii) General Practitioner dentists (“GP”) treatment; (iii) Patient Demand; and (iv) Orthodontic Utilization. Our growth strategy depends on our ability to facilitate the digital transformation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27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27 </w:t>
                      </w:r>
                    </w:p>
                  </w:txbxContent>
                </v:textbox>
                <w10:wrap type="none"/>
              </v:rect>
            </w:pict>
          </mc:Fallback>
        </mc:AlternateContent>
      </w:r>
    </w:p>
    <w:p>
      <w:pPr>
        <w:pStyle w:val="TextBody"/>
        <w:bidi w:val="0"/>
        <w:spacing w:lineRule="auto" w:line="288" w:before="0" w:after="0"/>
        <w:jc w:val="left"/>
        <w:rPr/>
      </w:pPr>
      <w:hyperlink w:anchor="i7a02b169d6be4765847899a2d1aa61f4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dentistry, our continuous focus on innovation, and expansion to meet and exceed evolving customer expectations as the array of products and services available to them increases. </w:t>
      </w:r>
    </w:p>
    <w:p>
      <w:pPr>
        <w:pStyle w:val="TextBody"/>
        <w:bidi w:val="0"/>
        <w:spacing w:before="0" w:after="0"/>
        <w:ind w:left="0" w:right="0" w:firstLine="45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Trends and Uncertainties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Below is a discussion of the significant trends and uncertainties that could impact our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 xml:space="preserve">Macroeconomic Challenges, Trade Impediments and Geopolitical Tensions </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revenues may fluctuate as a result of various events and circumstances impacting customer confidence, consumer sentiment, discretionary spending and ultimately demand for dental services and our products. These events and circumstances include, but are not limited to, macroeconomic conditions, fluctuations in foreign currency exchange rates, uncertainty surrounding the durability, scope, and enforceability of existing and future tariff measures, retaliatory tariffs or protectionist trade measures taken in response to such tariffs, inflation, elevated interest rates, actual or potential slowdowns or recessions, wages, employment levels and health insurance coverage, debt obligations, discretionary income, supply chain challenges, market volatility, geopolitical conditions, military actions, and other factors. For more information on events and circumstances that could impact our revenues, refer to Part II, Item 1A “Risk Factors—Macroeconomic and External Risks.”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Many of these factors may contribute to, among other things, higher raw material prices, increased transportation and labor costs, and interruptions in supply and distribution operations, each of which can also impact the availability of certain raw materials, parts and components used in our products as well as our costs and those of our suppliers. For example, we believe that in the beginning of the second quarter of 2025, sales of our products were adversely impacted compared to the same period in prior years by certain macroeconomic conditions, including global tariff volatility, inflation, and higher interest rates, which we believe may continue to impede dental patient demand. For example, patient traffic growth has been uneven for many doctors, with orthodontic starts down for four consecutive years. We believe uncertainty not only impacts consumer purchasing decisions but also the decisions and recommendations that doctors make, especially doctors who offer both clear aligners and wires and brackets in their practices and have the additional time to treat patients with wires and brackets when orthodontic starts are slowing or diminishing. We believe this has resulted in an increase in orthodontic starts using wires and brackets in lieu of clear aligners that was more pronounced in the second quarter of 2025. However, we believe these trends are continuing and will impede future sales for so long as consumer economic uncertainty persists, particularly to the extent it impairs discretionary spending. We believe that in the first quarter of 2026, the outbreak of military conflict between the United States and Iran on February 28, 2026, together with elevated gasoline and energy costs and related market volatility, contributed to declines in widely reported measures of consumer confidence, and we anticipate these conditions will continue to add to market uncertainties and dampen consumer sentiment and demand.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More directly, we believe government actions relating to actual or proposed tariffs and retaliatory actions in key strategic countries or regions, particularly in the United States, China, Europe, Brazil, Canada, Israel and Mexico may adversely impact our revenue and cost of goods sold. Additionally, the trade war and geopolitical tensions between the United States and China may result in the limitation or prohibition of the availability of certain raw materials, components and parts necessary for our products or the products of our suppliers. The degree of our exposure depends on, among other things, the type of goods subject to any tariffs or trade restrictions enacted, the tariff rates or limits imposed, the timing of the tariffs or restrictions and any other retaliatory measures enacted. The impact may vary by time and region, making operational results uncertain and difficult to predict. These events may also cause a shift in public opinion about companies based in the United States and this may have an adverse impact on our reputation and business. We continue to closely monitor the foregoing issues, assess their potential impact on our operations and financial results, and implement plans to seek to mitigate the impact of any adverse events.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Additionally, a material amount of our revenues are derived internationally and many of our international operations are denominated in currencies other than the U.S. dollar. In the first quarter of 2026, the U.S. dollar remained weakened against major currencies, which positively impacted our financial condition and results of operations for the quarter. Foreign exchange volatility and the subsequent strengthening or weakening of the U.S. dollar against other currencies remains uncertain and unpredictable.</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continue to monitor the potential for violence and military actions that may directly or indirectly impact our personnel, manufacturing, supply chain, and sales. For instance, the ongoing conflict in Ukraine and unstable environment in the Middle East, as well as increased geopolitical tensions involving Taiwan and the South China Sea may further exacerbate general and regional macroeconomic instability. This is particularly true if fighting erupts, intensifies, spreads to other locations, creates shipping and logistical challenges or cost increases, leads to sanctions or boycotts, or otherwise materially impacts our operations or consumer spending. Our iTero business is headquartered in Israel and, although the sales, delivery times and cost of shipping have not been materially impacted to date, the situation remains fluid. We have implemented contingency planning and business continuity measures to mitigate these risks, but it is uncertain whether further escalation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28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28 </w:t>
                      </w:r>
                    </w:p>
                  </w:txbxContent>
                </v:textbox>
                <w10:wrap type="none"/>
              </v:rect>
            </w:pict>
          </mc:Fallback>
        </mc:AlternateContent>
      </w:r>
    </w:p>
    <w:p>
      <w:pPr>
        <w:pStyle w:val="TextBody"/>
        <w:bidi w:val="0"/>
        <w:spacing w:lineRule="auto" w:line="288" w:before="0" w:after="0"/>
        <w:jc w:val="left"/>
        <w:rPr/>
      </w:pPr>
      <w:hyperlink w:anchor="i7a02b169d6be4765847899a2d1aa61f4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could disrupt our operations. While there have been export and import restrictions imposed against products originating from and businesses operating in Israel, they have not materially impacted our sales or operations to date although we continue to monitor the risk.</w:t>
      </w:r>
    </w:p>
    <w:p>
      <w:pPr>
        <w:pStyle w:val="TextBody"/>
        <w:bidi w:val="0"/>
        <w:spacing w:before="0" w:after="0"/>
        <w:ind w:left="0" w:right="0" w:firstLine="45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2025 Restructuring</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the third quarter of 2025, we initiated a plan to realign certain business groups and reduce our global workforce as part of our continued effort to right size our labor force in response to the current macroeconomic environment. As of March 31, 2026, we incurred a total of approximately $42 million in restructuring charges under this plan, of which $6.3 million remained unpaid. These charges were primarily related to involuntary termination benefits, including employee severance and other post-employment benefits in connection with the 2025 restructuring plan, which was substantially completed in the fourth quarter of 2025.</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pPr>
      <w:r>
        <w:rPr>
          <w:rFonts w:ascii="Times New Roman;serif" w:hAnsi="Times New Roman;serif"/>
          <w:b w:val="false"/>
          <w:color w:val="000000"/>
          <w:sz w:val="20"/>
        </w:rPr>
        <w:t xml:space="preserve">For more information, see </w:t>
      </w:r>
      <w:r>
        <w:rPr>
          <w:rFonts w:ascii="Times New Roman;serif" w:hAnsi="Times New Roman;serif"/>
          <w:b w:val="false"/>
          <w:i/>
          <w:color w:val="000000"/>
          <w:sz w:val="20"/>
        </w:rPr>
        <w:t>Note 14. </w:t>
      </w:r>
      <w:r>
        <w:rPr>
          <w:color w:val="000000"/>
        </w:rPr>
        <w:t>“</w:t>
      </w:r>
      <w:r>
        <w:rPr>
          <w:rFonts w:ascii="Times New Roman;serif" w:hAnsi="Times New Roman;serif"/>
          <w:b w:val="false"/>
          <w:i/>
          <w:color w:val="000000"/>
          <w:sz w:val="20"/>
        </w:rPr>
        <w:t>Restructuring and Other Charges</w:t>
      </w:r>
      <w:r>
        <w:rPr>
          <w:color w:val="000000"/>
        </w:rPr>
        <w:t xml:space="preserve">” </w:t>
      </w:r>
      <w:r>
        <w:rPr>
          <w:rFonts w:ascii="Times New Roman;serif" w:hAnsi="Times New Roman;serif"/>
          <w:b w:val="false"/>
          <w:i/>
          <w:color w:val="000000"/>
          <w:sz w:val="20"/>
        </w:rPr>
        <w:t>of the Notes to Condensed Consolidated Financial Statements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Changing Product Preferences</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As the markets for clear aligners and digital processes and workflows used to transform the practice of dentistry continue to mature, we anticipate customer and patient expectations and demands will continue to evolve. We expect to meet customer demands with innovative treatment options that include more choices to address a wider scope of treatment goals and budgets based on our existing and new products, such as streamlined Clear Aligner configurations with limited or no additional aligners. This may result in larger and unpredictable variations in geographic and product mix and selling prices with uncertain implications on our financial statements and business operations. For example, we have and may continue to experience a shift from certain products with higher average selling prices (“ASP”) to those with lower ASPs.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strive to manage the challenges presented by the foregoing trends and uncertainties, including the macroeconomic conditions, tariffs and retaliatory measures, military conflicts and the evolution of our target markets, by focusing on improving our operations, further increasing flexibility and efficiencies in our processes, adjusting our business models to changing circumstances and offering products that meet market demand. Specifically, we are managing financial impacts by implementing strategic product innovations, introductions and pricing actions, implementing cost saving measures, and evaluating hiring needs.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Further discussion of the impact of these challenges on our business may be found in Part II, Item 1A “Risk Factors.”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bookmarkStart w:id="0" w:name="ib178aa473ebf4936aebd61d3386ba0d5_16698"/>
      <w:bookmarkEnd w:id="0"/>
      <w:r>
        <w:rPr>
          <w:rFonts w:ascii="Times New Roman;serif" w:hAnsi="Times New Roman;serif"/>
          <w:b/>
          <w:i/>
          <w:color w:val="000000"/>
          <w:sz w:val="20"/>
        </w:rPr>
        <w:t>Key Financial and Operating Metrics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measure our performance against the foregoing strategic priorities by the achievement of key financial and operating metrics. For the three months ended March 31, 2026, our business operations reflect the following:</w:t>
      </w:r>
    </w:p>
    <w:p>
      <w:pPr>
        <w:pStyle w:val="TextBody"/>
        <w:bidi w:val="0"/>
        <w:spacing w:before="0" w:after="0"/>
        <w:ind w:left="0" w:right="0" w:firstLine="45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Revenues of $1,040 million, an increase of 6.2% year-over-year;</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Clear Aligner revenues of $856 million, an increase of 7.4% year-over-year;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Clear Aligner case volume increased 6.7% year-over-year and Clear Aligner case volume for teens and growing patients increased from 225.8 thousand shipments to 236.6 thousand or 4.8% year-over-year;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Imaging Systems and CAD/CAM services revenues of $184 million, an increase of 0.9% year-over-year;</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Income from operations of $142 million and operating margin of 13.6%;</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Effective tax rate of 24.3%;</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Net income of $113 million with diluted net income per share of $1.57;</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Cash and cash equivalents of $1,060 million as of March 31, 2026;</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Cash provided by operating activities of $151 million;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Capital expenditures of $31 million, primarily related to investments in our manufacturing capacity and facilities;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Number of employees was 20,275 as of March 31, 2026, a decrease of 4.4% year-over-year. </w:t>
      </w:r>
    </w:p>
    <w:p>
      <w:pPr>
        <w:pStyle w:val="TextBody"/>
        <w:bidi w:val="0"/>
        <w:spacing w:before="0" w:after="0"/>
        <w:ind w:left="0" w:right="0" w:firstLine="9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Other Statistical Data and Trends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As of March 31, 2026, approximately 23 million people worldwide have been treated with our Invisalign system.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For the first quarter of 2026, the total number of Invisalign trained doctors cases were shipped to (doctor submitters) was 88.1 thousand compared to 85.3 thousand in the first quarter of 2025, a 3.3% increase.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29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29 </w:t>
                      </w:r>
                    </w:p>
                  </w:txbxContent>
                </v:textbox>
                <w10:wrap type="none"/>
              </v:rect>
            </w:pict>
          </mc:Fallback>
        </mc:AlternateContent>
      </w:r>
    </w:p>
    <w:p>
      <w:pPr>
        <w:pStyle w:val="TextBody"/>
        <w:bidi w:val="0"/>
        <w:spacing w:lineRule="auto" w:line="288" w:before="0" w:after="0"/>
        <w:jc w:val="left"/>
        <w:rPr/>
      </w:pPr>
      <w:hyperlink w:anchor="i7a02b169d6be4765847899a2d1aa61f4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before="0" w:after="0"/>
        <w:ind w:left="0" w:right="0" w:firstLine="9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total utilization rate in the first quarter of 2026 increased to 7.8 cases per doctor compared to 7.5 cases per doctor in the first quarter of 2025.</w:t>
      </w:r>
    </w:p>
    <w:p>
      <w:pPr>
        <w:pStyle w:val="TextBody"/>
        <w:bidi w:val="0"/>
        <w:spacing w:before="0" w:after="0"/>
        <w:ind w:left="0" w:right="0" w:firstLine="9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Clear aligner revenue per case shipment (clear aligner revenues divided by case shipments) increased from $1,240 in the first quarter of 2025 to $1,250 in the first quarter of 2026, a 0.8% increase. </w:t>
      </w:r>
    </w:p>
    <w:p>
      <w:pPr>
        <w:pStyle w:val="TextBody"/>
        <w:bidi w:val="0"/>
        <w:spacing w:before="0" w:after="0"/>
        <w:ind w:left="0" w:right="0" w:hanging="9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i/>
          <w:color w:val="000000"/>
          <w:sz w:val="20"/>
        </w:rPr>
      </w:pPr>
      <w:r>
        <w:rPr>
          <w:rFonts w:ascii="Times New Roman;serif" w:hAnsi="Times New Roman;serif"/>
          <w:b/>
          <w:i/>
          <w:color w:val="000000"/>
          <w:sz w:val="20"/>
        </w:rPr>
        <w:t>Net Revenues by Reportable Segment     </w:t>
      </w:r>
    </w:p>
    <w:p>
      <w:pPr>
        <w:pStyle w:val="TextBody"/>
        <w:bidi w:val="0"/>
        <w:spacing w:before="0" w:after="0"/>
        <w:ind w:left="0" w:right="0" w:firstLine="360"/>
        <w:jc w:val="both"/>
        <w:rPr/>
      </w:pPr>
      <w:r>
        <w:rPr/>
      </w:r>
    </w:p>
    <w:p>
      <w:pPr>
        <w:pStyle w:val="TextBody"/>
        <w:bidi w:val="0"/>
        <w:spacing w:lineRule="auto" w:line="288" w:before="0" w:after="0"/>
        <w:ind w:left="0" w:right="0" w:firstLine="450"/>
        <w:jc w:val="both"/>
        <w:rPr/>
      </w:pPr>
      <w:r>
        <w:rPr>
          <w:rFonts w:ascii="Times New Roman;serif" w:hAnsi="Times New Roman;serif"/>
          <w:b w:val="false"/>
          <w:color w:val="000000"/>
          <w:sz w:val="20"/>
        </w:rPr>
        <w:t xml:space="preserve">We group our </w:t>
      </w:r>
      <w:r>
        <w:rPr>
          <w:rFonts w:ascii="Times New Roman;serif" w:hAnsi="Times New Roman;serif"/>
          <w:b w:val="false"/>
          <w:color w:val="000000"/>
          <w:sz w:val="20"/>
          <w:shd w:fill="FFFFFF" w:val="clear"/>
        </w:rPr>
        <w:t xml:space="preserve">operations into two reportable segments: Clear Aligner segment and Systems and Services segment. </w:t>
      </w:r>
    </w:p>
    <w:p>
      <w:pPr>
        <w:pStyle w:val="TextBody"/>
        <w:bidi w:val="0"/>
        <w:spacing w:before="0" w:after="0"/>
        <w:ind w:left="0" w:right="0" w:firstLine="451"/>
        <w:jc w:val="both"/>
        <w:rPr/>
      </w:pPr>
      <w:r>
        <w:rPr/>
      </w:r>
    </w:p>
    <w:p>
      <w:pPr>
        <w:pStyle w:val="TextBody"/>
        <w:bidi w:val="0"/>
        <w:spacing w:lineRule="auto" w:line="288" w:before="0" w:after="0"/>
        <w:ind w:left="0" w:right="0" w:hanging="270"/>
        <w:jc w:val="both"/>
        <w:rPr/>
      </w:pPr>
      <w:r>
        <w:rPr>
          <w:color w:val="000000"/>
          <w:shd w:fill="FFFFFF" w:val="clear"/>
        </w:rPr>
        <w:t>•</w:t>
      </w:r>
      <w:r>
        <w:rPr>
          <w:rFonts w:ascii="Times New Roman;serif" w:hAnsi="Times New Roman;serif"/>
          <w:b w:val="false"/>
          <w:color w:val="000000"/>
          <w:sz w:val="20"/>
          <w:shd w:fill="FFFFFF" w:val="clear"/>
        </w:rPr>
        <w:t>Our Clear Aligner segment consists of Comprehensive Products, Non-Comprehensive Products and Non-Case revenues as defined below:</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shd w:fill="FFFFFF" w:val="clear"/>
        </w:rPr>
        <w:t>▪</w:t>
      </w:r>
      <w:r>
        <w:rPr>
          <w:rFonts w:ascii="Times New Roman;serif" w:hAnsi="Times New Roman;serif"/>
          <w:b w:val="false"/>
          <w:color w:val="000000"/>
          <w:sz w:val="20"/>
          <w:shd w:fill="FFFFFF" w:val="clear"/>
        </w:rPr>
        <w:t>Comprehensive Products include, but are not limited to, Invisalign Comprehensive, Invisalign First and Invisalign Comprehensive 3in3.</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shd w:fill="FFFFFF" w:val="clear"/>
        </w:rPr>
        <w:t>▪</w:t>
      </w:r>
      <w:r>
        <w:rPr>
          <w:rFonts w:ascii="Times New Roman;serif" w:hAnsi="Times New Roman;serif"/>
          <w:b w:val="false"/>
          <w:color w:val="000000"/>
          <w:sz w:val="20"/>
          <w:shd w:fill="FFFFFF" w:val="clear"/>
        </w:rPr>
        <w:t>Non-Comprehensive Products include, but are not limited to, Invisalign Moderate, Lite and Express packages, Invisalign Go and Invisalign Go Plus and Invisalign Palatal Expander.</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shd w:fill="FFFFFF" w:val="clear"/>
        </w:rPr>
        <w:t>▪</w:t>
      </w:r>
      <w:r>
        <w:rPr>
          <w:rFonts w:ascii="Times New Roman;serif" w:hAnsi="Times New Roman;serif"/>
          <w:b w:val="false"/>
          <w:color w:val="000000"/>
          <w:sz w:val="20"/>
          <w:shd w:fill="FFFFFF" w:val="clear"/>
        </w:rPr>
        <w:t>In the United States, Canada and EMEA, we also offer a Doctor Subscription Program which is our monthly subscription-based clear aligner program. The program allows doctors the flexibility to order retainers and low-stage “touch-up” clear aligners within their subscribed tier and is designed for a segment of experienced Invisalign trained doctors who are currently not regularly using our retainers or low-stage aligners. The low-stage aligners, the Touch up product, are included as a Non-Comprehensive Product.</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pPr>
      <w:r>
        <w:rPr>
          <w:color w:val="000000"/>
          <w:shd w:fill="FFFFFF" w:val="clear"/>
        </w:rPr>
        <w:t>▪</w:t>
      </w:r>
      <w:r>
        <w:rPr>
          <w:rFonts w:ascii="Times New Roman;serif" w:hAnsi="Times New Roman;serif"/>
          <w:b w:val="false"/>
          <w:color w:val="000000"/>
          <w:sz w:val="20"/>
          <w:shd w:fill="FFFFFF" w:val="clear"/>
        </w:rPr>
        <w:t>Non-Case revenues include, but are not limited to, retention products including retention aligners ordered through the Doctor Subscription Program, Invisalign training, adjusting tools used by dental professionals during the course of treatment and Invisalign Accessory Products that are complementary to our doctor-prescribed principal products such as aligner cases (clamshells), teeth whitening products, cleaning solutions (crystals, foam and other material) and other oral health products available in certain commerce channels in select markets.</w:t>
      </w:r>
    </w:p>
    <w:p>
      <w:pPr>
        <w:pStyle w:val="TextBody"/>
        <w:bidi w:val="0"/>
        <w:spacing w:before="0" w:after="0"/>
        <w:jc w:val="both"/>
        <w:rPr/>
      </w:pPr>
      <w:r>
        <w:rPr/>
      </w:r>
    </w:p>
    <w:p>
      <w:pPr>
        <w:pStyle w:val="TextBody"/>
        <w:bidi w:val="0"/>
        <w:spacing w:lineRule="auto" w:line="288" w:before="0" w:after="0"/>
        <w:ind w:left="0" w:right="0" w:hanging="270"/>
        <w:jc w:val="both"/>
        <w:rPr/>
      </w:pPr>
      <w:r>
        <w:rPr>
          <w:color w:val="000000"/>
          <w:shd w:fill="FFFFFF" w:val="clear"/>
        </w:rPr>
        <w:t>▪</w:t>
      </w:r>
      <w:r>
        <w:rPr>
          <w:rFonts w:ascii="Times New Roman;serif" w:hAnsi="Times New Roman;serif"/>
          <w:b w:val="false"/>
          <w:color w:val="000000"/>
          <w:sz w:val="20"/>
          <w:shd w:fill="FFFFFF" w:val="clear"/>
        </w:rPr>
        <w:t>Our Systems and Services segment consists of sales related to our iTero intraoral scanning systems, which includes a single hardware platform and restorative or orthodontic software options, scanner wand upgrades, and non-system revenues from leases of scanner systems, sales of pre-owned scanner systems, subscription software, disposables, pay per scan services, as well as exocad</w:t>
      </w:r>
      <w:r>
        <w:rPr>
          <w:color w:val="000000"/>
        </w:rPr>
        <w:t>’</w:t>
      </w:r>
      <w:r>
        <w:rPr>
          <w:rFonts w:ascii="Times New Roman;serif" w:hAnsi="Times New Roman;serif"/>
          <w:b w:val="false"/>
          <w:color w:val="000000"/>
          <w:sz w:val="20"/>
          <w:shd w:fill="FFFFFF" w:val="clear"/>
        </w:rPr>
        <w:t>s CAD/CAM software solutions that integrate workflows to dental labs and dental practices.</w:t>
      </w:r>
    </w:p>
    <w:p>
      <w:pPr>
        <w:pStyle w:val="TextBody"/>
        <w:bidi w:val="0"/>
        <w:spacing w:before="0" w:after="0"/>
        <w:ind w:left="0" w:right="0" w:firstLine="9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Net revenues for our Clear Aligner and Systems and Services segments for the three months ended March 31, 2026 and 2025 are as follows (in millions):</w:t>
      </w:r>
    </w:p>
    <w:tbl>
      <w:tblPr>
        <w:tblW w:w="8665" w:type="dxa"/>
        <w:jc w:val="left"/>
        <w:tblInd w:w="0" w:type="dxa"/>
        <w:tblLayout w:type="fixed"/>
        <w:tblCellMar>
          <w:top w:w="28" w:type="dxa"/>
          <w:left w:w="28" w:type="dxa"/>
          <w:bottom w:w="28" w:type="dxa"/>
          <w:right w:w="28" w:type="dxa"/>
        </w:tblCellMar>
      </w:tblPr>
      <w:tblGrid>
        <w:gridCol w:w="1055"/>
        <w:gridCol w:w="924"/>
        <w:gridCol w:w="931"/>
        <w:gridCol w:w="109"/>
        <w:gridCol w:w="109"/>
        <w:gridCol w:w="109"/>
        <w:gridCol w:w="211"/>
        <w:gridCol w:w="766"/>
        <w:gridCol w:w="109"/>
        <w:gridCol w:w="109"/>
        <w:gridCol w:w="109"/>
        <w:gridCol w:w="109"/>
        <w:gridCol w:w="211"/>
        <w:gridCol w:w="616"/>
        <w:gridCol w:w="109"/>
        <w:gridCol w:w="109"/>
        <w:gridCol w:w="109"/>
        <w:gridCol w:w="109"/>
        <w:gridCol w:w="211"/>
        <w:gridCol w:w="511"/>
        <w:gridCol w:w="109"/>
        <w:gridCol w:w="109"/>
        <w:gridCol w:w="109"/>
        <w:gridCol w:w="109"/>
        <w:gridCol w:w="203"/>
        <w:gridCol w:w="203"/>
        <w:gridCol w:w="271"/>
        <w:gridCol w:w="109"/>
        <w:gridCol w:w="109"/>
        <w:gridCol w:w="109"/>
        <w:gridCol w:w="109"/>
        <w:gridCol w:w="109"/>
        <w:gridCol w:w="109"/>
        <w:gridCol w:w="109"/>
        <w:gridCol w:w="154"/>
      </w:tblGrid>
      <w:tr>
        <w:trPr/>
        <w:tc>
          <w:tcPr>
            <w:tcW w:w="1055"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9"/>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9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Clear Aligner net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Systems and Services net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979.3 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i/>
          <w:color w:val="000000"/>
          <w:sz w:val="18"/>
        </w:rPr>
      </w:pPr>
      <w:r>
        <w:rPr>
          <w:rFonts w:ascii="Times New Roman;serif" w:hAnsi="Times New Roman;serif"/>
          <w:b w:val="false"/>
          <w:i/>
          <w:color w:val="000000"/>
          <w:sz w:val="18"/>
        </w:rPr>
        <w:t xml:space="preserve">Changes and percentages are based on actual values. Certain tables may not sum or recalculate due to rounding.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i/>
          <w:color w:val="000000"/>
          <w:sz w:val="20"/>
        </w:rPr>
      </w:pPr>
      <w:r>
        <w:rPr>
          <w:rFonts w:ascii="Times New Roman;serif" w:hAnsi="Times New Roman;serif"/>
          <w:b/>
          <w:i/>
          <w:color w:val="000000"/>
          <w:sz w:val="20"/>
        </w:rPr>
        <w:t>Clear Aligner Case Volume</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30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30 </w:t>
                      </w:r>
                    </w:p>
                  </w:txbxContent>
                </v:textbox>
                <w10:wrap type="none"/>
              </v:rect>
            </w:pict>
          </mc:Fallback>
        </mc:AlternateContent>
      </w:r>
    </w:p>
    <w:p>
      <w:pPr>
        <w:pStyle w:val="TextBody"/>
        <w:bidi w:val="0"/>
        <w:spacing w:lineRule="auto" w:line="288" w:before="0" w:after="0"/>
        <w:jc w:val="left"/>
        <w:rPr/>
      </w:pPr>
      <w:hyperlink w:anchor="i7a02b169d6be4765847899a2d1aa61f4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ind w:left="0" w:right="0" w:firstLine="450"/>
        <w:jc w:val="both"/>
        <w:rPr/>
      </w:pPr>
      <w:r>
        <w:rPr>
          <w:rFonts w:ascii="Times New Roman;serif" w:hAnsi="Times New Roman;serif"/>
          <w:b w:val="false"/>
          <w:color w:val="000000"/>
          <w:sz w:val="20"/>
          <w:shd w:fill="FFFFFF" w:val="clear"/>
        </w:rPr>
        <w:t xml:space="preserve">Case volume data which represents Clear Aligner case shipments for the </w:t>
      </w:r>
      <w:r>
        <w:rPr>
          <w:rFonts w:ascii="Times New Roman;serif" w:hAnsi="Times New Roman;serif"/>
          <w:b w:val="false"/>
          <w:color w:val="000000"/>
          <w:sz w:val="20"/>
        </w:rPr>
        <w:t>three</w:t>
      </w:r>
      <w:r>
        <w:rPr>
          <w:color w:val="000000"/>
          <w:shd w:fill="FFFFFF" w:val="clear"/>
        </w:rPr>
        <w:t xml:space="preserve"> </w:t>
      </w:r>
      <w:r>
        <w:rPr>
          <w:rFonts w:ascii="Times New Roman;serif" w:hAnsi="Times New Roman;serif"/>
          <w:b w:val="false"/>
          <w:color w:val="000000"/>
          <w:sz w:val="20"/>
          <w:shd w:fill="FFFFFF" w:val="clear"/>
        </w:rPr>
        <w:t xml:space="preserve">months ended March 31, 2026 and 2025 is as follows (in thousands): </w:t>
      </w:r>
    </w:p>
    <w:tbl>
      <w:tblPr>
        <w:tblW w:w="6921" w:type="dxa"/>
        <w:jc w:val="left"/>
        <w:tblInd w:w="0" w:type="dxa"/>
        <w:tblLayout w:type="fixed"/>
        <w:tblCellMar>
          <w:top w:w="28" w:type="dxa"/>
          <w:left w:w="28" w:type="dxa"/>
          <w:bottom w:w="28" w:type="dxa"/>
          <w:right w:w="28" w:type="dxa"/>
        </w:tblCellMar>
      </w:tblPr>
      <w:tblGrid>
        <w:gridCol w:w="580"/>
        <w:gridCol w:w="510"/>
        <w:gridCol w:w="514"/>
        <w:gridCol w:w="109"/>
        <w:gridCol w:w="109"/>
        <w:gridCol w:w="109"/>
        <w:gridCol w:w="308"/>
        <w:gridCol w:w="308"/>
        <w:gridCol w:w="178"/>
        <w:gridCol w:w="178"/>
        <w:gridCol w:w="178"/>
        <w:gridCol w:w="178"/>
        <w:gridCol w:w="308"/>
        <w:gridCol w:w="308"/>
        <w:gridCol w:w="178"/>
        <w:gridCol w:w="109"/>
        <w:gridCol w:w="109"/>
        <w:gridCol w:w="109"/>
        <w:gridCol w:w="255"/>
        <w:gridCol w:w="256"/>
        <w:gridCol w:w="109"/>
        <w:gridCol w:w="109"/>
        <w:gridCol w:w="109"/>
        <w:gridCol w:w="109"/>
        <w:gridCol w:w="203"/>
        <w:gridCol w:w="203"/>
        <w:gridCol w:w="271"/>
        <w:gridCol w:w="109"/>
        <w:gridCol w:w="109"/>
        <w:gridCol w:w="109"/>
        <w:gridCol w:w="109"/>
        <w:gridCol w:w="109"/>
        <w:gridCol w:w="109"/>
        <w:gridCol w:w="109"/>
        <w:gridCol w:w="154"/>
      </w:tblGrid>
      <w:tr>
        <w:trPr/>
        <w:tc>
          <w:tcPr>
            <w:tcW w:w="58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6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case volume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685.7 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642.3 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i/>
          <w:color w:val="000000"/>
          <w:sz w:val="18"/>
        </w:rPr>
      </w:pPr>
      <w:r>
        <w:rPr>
          <w:rFonts w:ascii="Times New Roman;serif" w:hAnsi="Times New Roman;serif"/>
          <w:b w:val="false"/>
          <w:i/>
          <w:color w:val="000000"/>
          <w:sz w:val="18"/>
        </w:rPr>
        <w:t xml:space="preserve">Changes and percentages are based on actual values. Certain tables may not sum or recalculate due to rounding. </w:t>
      </w:r>
    </w:p>
    <w:p>
      <w:pPr>
        <w:pStyle w:val="TextBody"/>
        <w:bidi w:val="0"/>
        <w:spacing w:before="0" w:after="0"/>
        <w:ind w:left="0" w:right="0" w:firstLine="495"/>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March 31, 2026, total net revenues increased by $61 million compared to the same period in 2025, primarily due to an increase in Clear Aligner volume and increased ASPs.</w:t>
      </w:r>
    </w:p>
    <w:p>
      <w:pPr>
        <w:pStyle w:val="TextBody"/>
        <w:bidi w:val="0"/>
        <w:spacing w:before="0" w:after="0"/>
        <w:ind w:left="0" w:right="0" w:firstLine="450"/>
        <w:jc w:val="both"/>
        <w:rPr/>
      </w:pPr>
      <w:r>
        <w:rPr/>
      </w:r>
    </w:p>
    <w:p>
      <w:pPr>
        <w:pStyle w:val="TextBody"/>
        <w:bidi w:val="0"/>
        <w:spacing w:lineRule="auto" w:line="288" w:before="0" w:after="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 xml:space="preserve">Clear Aligner </w:t>
      </w:r>
    </w:p>
    <w:p>
      <w:pPr>
        <w:pStyle w:val="TextBody"/>
        <w:bidi w:val="0"/>
        <w:spacing w:before="0" w:after="0"/>
        <w:ind w:left="0" w:right="0" w:firstLine="495"/>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March 31, 2026, Clear Aligner net revenues increased by $59 million compared to the same period in 2025, primarily due to an increase in volume and favorable foreign exchange rates, which increased net revenues by $49 million and $38 million, respectively. These increases were partially offset by higher discounts and product mix shift to lower-priced countries and products resulting in a decrease in net revenues of $28 million.</w:t>
      </w:r>
    </w:p>
    <w:p>
      <w:pPr>
        <w:pStyle w:val="TextBody"/>
        <w:bidi w:val="0"/>
        <w:spacing w:before="0" w:after="0"/>
        <w:ind w:left="0" w:right="0" w:firstLine="450"/>
        <w:jc w:val="both"/>
        <w:rPr/>
      </w:pPr>
      <w:r>
        <w:rPr/>
      </w:r>
    </w:p>
    <w:p>
      <w:pPr>
        <w:pStyle w:val="TextBody"/>
        <w:bidi w:val="0"/>
        <w:spacing w:lineRule="auto" w:line="288" w:before="0" w:after="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Systems and Services</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March 31, 2026, Systems and Services net revenues increased by $2 million compared to the same period in 2025, primarily due to $7 million from favorable foreign exchange rates, $5 million from higher scanner system sales, driven by increased scanner system volume, and $3 million from higher non-system sales. These increases were partially offset by a decrease of $14 million from mix shift to lower priced products and lower sales of scanner wands.</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Cost of net revenues and gross profit (in millions):</w:t>
      </w:r>
    </w:p>
    <w:tbl>
      <w:tblPr>
        <w:tblW w:w="6972" w:type="dxa"/>
        <w:jc w:val="left"/>
        <w:tblInd w:w="0" w:type="dxa"/>
        <w:tblLayout w:type="fixed"/>
        <w:tblCellMar>
          <w:top w:w="28" w:type="dxa"/>
          <w:left w:w="28" w:type="dxa"/>
          <w:bottom w:w="28" w:type="dxa"/>
          <w:right w:w="28" w:type="dxa"/>
        </w:tblCellMar>
      </w:tblPr>
      <w:tblGrid>
        <w:gridCol w:w="819"/>
        <w:gridCol w:w="722"/>
        <w:gridCol w:w="724"/>
        <w:gridCol w:w="109"/>
        <w:gridCol w:w="109"/>
        <w:gridCol w:w="109"/>
        <w:gridCol w:w="211"/>
        <w:gridCol w:w="616"/>
        <w:gridCol w:w="271"/>
        <w:gridCol w:w="109"/>
        <w:gridCol w:w="109"/>
        <w:gridCol w:w="109"/>
        <w:gridCol w:w="211"/>
        <w:gridCol w:w="616"/>
        <w:gridCol w:w="271"/>
        <w:gridCol w:w="109"/>
        <w:gridCol w:w="109"/>
        <w:gridCol w:w="109"/>
        <w:gridCol w:w="211"/>
        <w:gridCol w:w="511"/>
        <w:gridCol w:w="109"/>
        <w:gridCol w:w="109"/>
        <w:gridCol w:w="109"/>
        <w:gridCol w:w="109"/>
        <w:gridCol w:w="109"/>
        <w:gridCol w:w="109"/>
        <w:gridCol w:w="154"/>
      </w:tblGrid>
      <w:tr>
        <w:trPr/>
        <w:tc>
          <w:tcPr>
            <w:tcW w:w="819"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Clear Aligner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net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of net segment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28.4 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29.5 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Gross margin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71.6 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70.5 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Systems and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net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of net segment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32.8 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35.3 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Gross margin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67.2 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64.7 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Total cost of net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of net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29.2 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30.5 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Gross margin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70.8 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69.5 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pStyle w:val="TextBody"/>
        <w:bidi w:val="0"/>
        <w:spacing w:lineRule="auto" w:line="288" w:before="0" w:after="0"/>
        <w:ind w:left="0" w:right="0" w:firstLine="720"/>
        <w:jc w:val="both"/>
        <w:rPr>
          <w:rFonts w:ascii="Times New Roman;serif" w:hAnsi="Times New Roman;serif"/>
          <w:b w:val="false"/>
          <w:i/>
          <w:color w:val="000000"/>
          <w:sz w:val="18"/>
        </w:rPr>
      </w:pPr>
      <w:r>
        <w:rPr>
          <w:rFonts w:ascii="Times New Roman;serif" w:hAnsi="Times New Roman;serif"/>
          <w:b w:val="false"/>
          <w:i/>
          <w:color w:val="000000"/>
          <w:sz w:val="18"/>
        </w:rPr>
        <w:t>Changes and percentages are based on actual values. Certain tables may not sum or recalculate due to rounding.</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Cost of net revenues includes personnel-related costs including payroll and stock-based compensation for staff involved in the production process, the cost of materials, packaging, freight and shipping, depreciation on capital equipment and facilities used in the production process, amortization of acquired intangible assets and training costs.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Clear Aligner</w:t>
      </w:r>
    </w:p>
    <w:p>
      <w:pPr>
        <w:pStyle w:val="TextBody"/>
        <w:bidi w:val="0"/>
        <w:spacing w:before="0" w:after="0"/>
        <w:ind w:left="0" w:right="0" w:firstLine="36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March 31, 2026, our gross margin increased compared to the same period in 2025, primarily due to higher ASPs and operational efficiencies.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31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31 </w:t>
                      </w:r>
                    </w:p>
                  </w:txbxContent>
                </v:textbox>
                <w10:wrap type="none"/>
              </v:rect>
            </w:pict>
          </mc:Fallback>
        </mc:AlternateContent>
      </w:r>
    </w:p>
    <w:p>
      <w:pPr>
        <w:pStyle w:val="TextBody"/>
        <w:bidi w:val="0"/>
        <w:spacing w:lineRule="auto" w:line="288" w:before="0" w:after="0"/>
        <w:jc w:val="left"/>
        <w:rPr/>
      </w:pPr>
      <w:hyperlink w:anchor="i7a02b169d6be4765847899a2d1aa61f4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before="0" w:after="0"/>
        <w:ind w:left="0" w:right="0" w:firstLine="450"/>
        <w:jc w:val="both"/>
        <w:rPr/>
      </w:pPr>
      <w:r>
        <w:rPr/>
      </w:r>
    </w:p>
    <w:p>
      <w:pPr>
        <w:pStyle w:val="TextBody"/>
        <w:bidi w:val="0"/>
        <w:spacing w:lineRule="auto" w:line="288" w:before="0" w:after="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Systems and Services</w:t>
      </w:r>
    </w:p>
    <w:p>
      <w:pPr>
        <w:pStyle w:val="TextBody"/>
        <w:bidi w:val="0"/>
        <w:spacing w:before="0" w:after="0"/>
        <w:ind w:left="0" w:right="0" w:firstLine="360"/>
        <w:jc w:val="both"/>
        <w:rPr/>
      </w:pPr>
      <w:r>
        <w:rPr/>
      </w:r>
    </w:p>
    <w:p>
      <w:pPr>
        <w:pStyle w:val="TextBody"/>
        <w:bidi w:val="0"/>
        <w:spacing w:lineRule="auto" w:line="276"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For the three months ended March 31, 2026, our gross margin increased compared to the same period in 2025, primarily due to lower Cost of net revenues from operational efficiencies, partially offset by lower ASPs.</w:t>
      </w:r>
    </w:p>
    <w:p>
      <w:pPr>
        <w:pStyle w:val="TextBody"/>
        <w:bidi w:val="0"/>
        <w:spacing w:before="0" w:after="0"/>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36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Selling, general and administrative (in millions):</w:t>
      </w:r>
    </w:p>
    <w:tbl>
      <w:tblPr>
        <w:tblW w:w="7662" w:type="dxa"/>
        <w:jc w:val="left"/>
        <w:tblInd w:w="0" w:type="dxa"/>
        <w:tblLayout w:type="fixed"/>
        <w:tblCellMar>
          <w:top w:w="28" w:type="dxa"/>
          <w:left w:w="28" w:type="dxa"/>
          <w:bottom w:w="28" w:type="dxa"/>
          <w:right w:w="28" w:type="dxa"/>
        </w:tblCellMar>
      </w:tblPr>
      <w:tblGrid>
        <w:gridCol w:w="1071"/>
        <w:gridCol w:w="941"/>
        <w:gridCol w:w="943"/>
        <w:gridCol w:w="109"/>
        <w:gridCol w:w="109"/>
        <w:gridCol w:w="109"/>
        <w:gridCol w:w="211"/>
        <w:gridCol w:w="616"/>
        <w:gridCol w:w="271"/>
        <w:gridCol w:w="109"/>
        <w:gridCol w:w="109"/>
        <w:gridCol w:w="109"/>
        <w:gridCol w:w="211"/>
        <w:gridCol w:w="616"/>
        <w:gridCol w:w="271"/>
        <w:gridCol w:w="109"/>
        <w:gridCol w:w="109"/>
        <w:gridCol w:w="109"/>
        <w:gridCol w:w="211"/>
        <w:gridCol w:w="511"/>
        <w:gridCol w:w="109"/>
        <w:gridCol w:w="109"/>
        <w:gridCol w:w="109"/>
        <w:gridCol w:w="109"/>
        <w:gridCol w:w="109"/>
        <w:gridCol w:w="109"/>
        <w:gridCol w:w="154"/>
      </w:tblGrid>
      <w:tr>
        <w:trPr/>
        <w:tc>
          <w:tcPr>
            <w:tcW w:w="1071"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465.3 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447.6 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of net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44.7 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45.7 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pStyle w:val="TextBody"/>
        <w:bidi w:val="0"/>
        <w:spacing w:lineRule="auto" w:line="288" w:before="0" w:after="0"/>
        <w:ind w:left="0" w:right="0" w:firstLine="720"/>
        <w:jc w:val="both"/>
        <w:rPr>
          <w:rFonts w:ascii="Times New Roman;serif" w:hAnsi="Times New Roman;serif"/>
          <w:b w:val="false"/>
          <w:i/>
          <w:color w:val="000000"/>
          <w:sz w:val="18"/>
        </w:rPr>
      </w:pPr>
      <w:r>
        <w:rPr>
          <w:rFonts w:ascii="Times New Roman;serif" w:hAnsi="Times New Roman;serif"/>
          <w:b w:val="false"/>
          <w:i/>
          <w:color w:val="000000"/>
          <w:sz w:val="18"/>
        </w:rPr>
        <w:t>Changes and percentages are based on actual values. Certain tables may not sum or recalculate due to rounding.</w:t>
      </w:r>
    </w:p>
    <w:p>
      <w:pPr>
        <w:pStyle w:val="TextBody"/>
        <w:bidi w:val="0"/>
        <w:spacing w:before="0" w:after="0"/>
        <w:ind w:left="0" w:right="0" w:firstLine="495"/>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 generally includes personnel-related costs, including payroll, stock-based compensation and commissions for our sales force, marketing and advertising expenses, including media, market research, marketing materials, clinical education, trade shows and industry events, legal and outside service costs, equipment, software and maintenance costs, depreciation and amortization expense and allocations of corporate overhead expenses including facilities and IT.</w:t>
      </w:r>
    </w:p>
    <w:p>
      <w:pPr>
        <w:pStyle w:val="TextBody"/>
        <w:bidi w:val="0"/>
        <w:spacing w:before="0" w:after="0"/>
        <w:ind w:left="0" w:right="0" w:firstLine="36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For the three months ended March 31, 2026, selling, general and administrative expense increased compared to the same period in 2025, primarily due to higher spend on outside services, higher employee costs, including salaries, fringe benefits and bonus, and higher equipment and software costs, partially offset by lower advertising and marketing expense, commissions, and stock-based compensation. </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36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 xml:space="preserve">Research and development (in millions): </w:t>
      </w:r>
    </w:p>
    <w:tbl>
      <w:tblPr>
        <w:tblW w:w="6701" w:type="dxa"/>
        <w:jc w:val="left"/>
        <w:tblInd w:w="0" w:type="dxa"/>
        <w:tblLayout w:type="fixed"/>
        <w:tblCellMar>
          <w:top w:w="28" w:type="dxa"/>
          <w:left w:w="28" w:type="dxa"/>
          <w:bottom w:w="28" w:type="dxa"/>
          <w:right w:w="28" w:type="dxa"/>
        </w:tblCellMar>
      </w:tblPr>
      <w:tblGrid>
        <w:gridCol w:w="837"/>
        <w:gridCol w:w="734"/>
        <w:gridCol w:w="738"/>
        <w:gridCol w:w="109"/>
        <w:gridCol w:w="109"/>
        <w:gridCol w:w="109"/>
        <w:gridCol w:w="211"/>
        <w:gridCol w:w="511"/>
        <w:gridCol w:w="271"/>
        <w:gridCol w:w="109"/>
        <w:gridCol w:w="109"/>
        <w:gridCol w:w="109"/>
        <w:gridCol w:w="211"/>
        <w:gridCol w:w="511"/>
        <w:gridCol w:w="271"/>
        <w:gridCol w:w="109"/>
        <w:gridCol w:w="109"/>
        <w:gridCol w:w="109"/>
        <w:gridCol w:w="211"/>
        <w:gridCol w:w="406"/>
        <w:gridCol w:w="109"/>
        <w:gridCol w:w="109"/>
        <w:gridCol w:w="109"/>
        <w:gridCol w:w="109"/>
        <w:gridCol w:w="109"/>
        <w:gridCol w:w="109"/>
        <w:gridCol w:w="154"/>
      </w:tblGrid>
      <w:tr>
        <w:trPr/>
        <w:tc>
          <w:tcPr>
            <w:tcW w:w="837"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98.7 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97.2 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of net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9.5 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9.9 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pStyle w:val="TextBody"/>
        <w:bidi w:val="0"/>
        <w:spacing w:lineRule="auto" w:line="288" w:before="0" w:after="0"/>
        <w:ind w:left="0" w:right="0" w:firstLine="720"/>
        <w:jc w:val="both"/>
        <w:rPr>
          <w:rFonts w:ascii="Times New Roman;serif" w:hAnsi="Times New Roman;serif"/>
          <w:b w:val="false"/>
          <w:i/>
          <w:color w:val="000000"/>
          <w:sz w:val="18"/>
        </w:rPr>
      </w:pPr>
      <w:r>
        <w:rPr>
          <w:rFonts w:ascii="Times New Roman;serif" w:hAnsi="Times New Roman;serif"/>
          <w:b w:val="false"/>
          <w:i/>
          <w:color w:val="000000"/>
          <w:sz w:val="18"/>
        </w:rPr>
        <w:t>Changes and percentages are based on actual values. Certain tables may not sum or recalculate due to rounding.</w:t>
      </w:r>
    </w:p>
    <w:p>
      <w:pPr>
        <w:pStyle w:val="TextBody"/>
        <w:bidi w:val="0"/>
        <w:spacing w:before="0" w:after="0"/>
        <w:ind w:left="0" w:right="0" w:firstLine="451"/>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Research and development expense generally includes personnel-related costs, including payroll and stock-based compensation, outside service costs associated with the research and development of new products and enhancements to existing products, software, equipment, material and maintenance costs, depreciation and amortization expense and allocations of corporate overhead expenses including facilities and IT.</w:t>
      </w:r>
    </w:p>
    <w:p>
      <w:pPr>
        <w:pStyle w:val="TextBody"/>
        <w:bidi w:val="0"/>
        <w:spacing w:before="0" w:after="0"/>
        <w:ind w:left="0" w:right="0" w:firstLine="360"/>
        <w:jc w:val="both"/>
        <w:rPr/>
      </w:pPr>
      <w:r>
        <w:rPr/>
      </w:r>
    </w:p>
    <w:p>
      <w:pPr>
        <w:pStyle w:val="TextBody"/>
        <w:bidi w:val="0"/>
        <w:spacing w:lineRule="auto" w:line="276" w:before="0" w:after="0"/>
        <w:ind w:left="0" w:right="0" w:firstLine="450"/>
        <w:jc w:val="left"/>
        <w:rPr/>
      </w:pPr>
      <w:r>
        <w:rPr>
          <w:rFonts w:ascii="Times New Roman;serif" w:hAnsi="Times New Roman;serif"/>
          <w:b w:val="false"/>
          <w:color w:val="000000"/>
          <w:sz w:val="20"/>
        </w:rPr>
        <w:t>For the three months ended March 31, 2026, research and development expense increased compared to the same period in 2025</w:t>
      </w:r>
      <w:r>
        <w:rPr>
          <w:rFonts w:ascii="Times New Roman;serif" w:hAnsi="Times New Roman;serif"/>
          <w:b w:val="false"/>
          <w:color w:val="000000"/>
          <w:sz w:val="20"/>
          <w:shd w:fill="FFFFFF" w:val="clear"/>
        </w:rPr>
        <w:t>, primarily due to higher employee costs, including salaries, fringe benefits and bonus costs, partially offset by lower capitalized labor costs related to internal-use software, lower stock-based compensation, and reduced outside service provider spend.</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36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 xml:space="preserve">Legal settlements (in millions): </w:t>
      </w:r>
    </w:p>
    <w:tbl>
      <w:tblPr>
        <w:tblW w:w="5952" w:type="dxa"/>
        <w:jc w:val="left"/>
        <w:tblInd w:w="0" w:type="dxa"/>
        <w:tblLayout w:type="fixed"/>
        <w:tblCellMar>
          <w:top w:w="28" w:type="dxa"/>
          <w:left w:w="28" w:type="dxa"/>
          <w:bottom w:w="28" w:type="dxa"/>
          <w:right w:w="28" w:type="dxa"/>
        </w:tblCellMar>
      </w:tblPr>
      <w:tblGrid>
        <w:gridCol w:w="565"/>
        <w:gridCol w:w="497"/>
        <w:gridCol w:w="498"/>
        <w:gridCol w:w="109"/>
        <w:gridCol w:w="109"/>
        <w:gridCol w:w="109"/>
        <w:gridCol w:w="211"/>
        <w:gridCol w:w="511"/>
        <w:gridCol w:w="271"/>
        <w:gridCol w:w="109"/>
        <w:gridCol w:w="109"/>
        <w:gridCol w:w="109"/>
        <w:gridCol w:w="211"/>
        <w:gridCol w:w="406"/>
        <w:gridCol w:w="271"/>
        <w:gridCol w:w="109"/>
        <w:gridCol w:w="109"/>
        <w:gridCol w:w="109"/>
        <w:gridCol w:w="211"/>
        <w:gridCol w:w="511"/>
        <w:gridCol w:w="109"/>
        <w:gridCol w:w="109"/>
        <w:gridCol w:w="109"/>
        <w:gridCol w:w="109"/>
        <w:gridCol w:w="109"/>
        <w:gridCol w:w="109"/>
        <w:gridCol w:w="154"/>
      </w:tblGrid>
      <w:tr>
        <w:trPr/>
        <w:tc>
          <w:tcPr>
            <w:tcW w:w="565"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Legal settlements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of net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0.4 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pStyle w:val="TextBody"/>
        <w:bidi w:val="0"/>
        <w:spacing w:lineRule="auto" w:line="288" w:before="0" w:after="0"/>
        <w:ind w:left="0" w:right="0" w:firstLine="720"/>
        <w:jc w:val="both"/>
        <w:rPr>
          <w:rFonts w:ascii="Times New Roman;serif" w:hAnsi="Times New Roman;serif"/>
          <w:b w:val="false"/>
          <w:i/>
          <w:color w:val="000000"/>
          <w:sz w:val="18"/>
        </w:rPr>
      </w:pPr>
      <w:r>
        <w:rPr>
          <w:rFonts w:ascii="Times New Roman;serif" w:hAnsi="Times New Roman;serif"/>
          <w:b w:val="false"/>
          <w:i/>
          <w:color w:val="000000"/>
          <w:sz w:val="18"/>
        </w:rPr>
        <w:t>Changes and percentages are based on actual values. Certain tables may not sum or recalculate due to rounding.</w:t>
      </w:r>
    </w:p>
    <w:p>
      <w:pPr>
        <w:pStyle w:val="TextBody"/>
        <w:bidi w:val="0"/>
        <w:spacing w:before="0" w:after="0"/>
        <w:ind w:left="0" w:right="0" w:firstLine="451"/>
        <w:jc w:val="both"/>
        <w:rPr/>
      </w:pPr>
      <w:r>
        <w:rPr/>
      </w:r>
    </w:p>
    <w:p>
      <w:pPr>
        <w:pStyle w:val="TextBody"/>
        <w:bidi w:val="0"/>
        <w:spacing w:lineRule="auto" w:line="288" w:before="0" w:after="0"/>
        <w:ind w:left="0" w:right="0" w:firstLine="450"/>
        <w:jc w:val="both"/>
        <w:rPr/>
      </w:pPr>
      <w:r>
        <w:rPr>
          <w:rFonts w:ascii="Times New Roman;serif" w:hAnsi="Times New Roman;serif"/>
          <w:b w:val="false"/>
          <w:color w:val="000000"/>
          <w:sz w:val="20"/>
        </w:rPr>
        <w:t xml:space="preserve">For the three months ended March 31, 2026, we recorded $31 million related to legal settlements. Refer to </w:t>
      </w:r>
      <w:r>
        <w:rPr>
          <w:rFonts w:ascii="Times New Roman;serif" w:hAnsi="Times New Roman;serif"/>
          <w:b w:val="false"/>
          <w:i/>
          <w:color w:val="000000"/>
          <w:sz w:val="20"/>
        </w:rPr>
        <w:t>Note 6</w:t>
      </w:r>
      <w:r>
        <w:rPr>
          <w:color w:val="000000"/>
        </w:rPr>
        <w:t xml:space="preserve"> “</w:t>
      </w:r>
      <w:r>
        <w:rPr>
          <w:rFonts w:ascii="Times New Roman;serif" w:hAnsi="Times New Roman;serif"/>
          <w:b w:val="false"/>
          <w:i/>
          <w:color w:val="000000"/>
          <w:sz w:val="20"/>
        </w:rPr>
        <w:t>Legal Proceedings</w:t>
      </w:r>
      <w:r>
        <w:rPr>
          <w:color w:val="000000"/>
        </w:rPr>
        <w:t xml:space="preserve">” </w:t>
      </w:r>
      <w:r>
        <w:rPr>
          <w:rFonts w:ascii="Times New Roman;serif" w:hAnsi="Times New Roman;serif"/>
          <w:b w:val="false"/>
          <w:i/>
          <w:color w:val="000000"/>
          <w:sz w:val="20"/>
        </w:rPr>
        <w:t>of the Notes to Condensed Consolidated Financial Statements</w:t>
      </w:r>
      <w:r>
        <w:rPr>
          <w:color w:val="000000"/>
        </w:rPr>
        <w:t xml:space="preserve"> </w:t>
      </w:r>
      <w:r>
        <w:rPr>
          <w:rFonts w:ascii="Times New Roman;serif" w:hAnsi="Times New Roman;serif"/>
          <w:b w:val="false"/>
          <w:color w:val="000000"/>
          <w:sz w:val="20"/>
        </w:rPr>
        <w:t>for more information.</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32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32 </w:t>
                      </w:r>
                    </w:p>
                  </w:txbxContent>
                </v:textbox>
                <w10:wrap type="none"/>
              </v:rect>
            </w:pict>
          </mc:Fallback>
        </mc:AlternateContent>
      </w:r>
    </w:p>
    <w:p>
      <w:pPr>
        <w:pStyle w:val="TextBody"/>
        <w:bidi w:val="0"/>
        <w:spacing w:lineRule="auto" w:line="288" w:before="0" w:after="0"/>
        <w:jc w:val="left"/>
        <w:rPr/>
      </w:pPr>
      <w:hyperlink w:anchor="i7a02b169d6be4765847899a2d1aa61f4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i/>
          <w:color w:val="000000"/>
          <w:sz w:val="20"/>
        </w:rPr>
      </w:pPr>
      <w:r>
        <w:rPr>
          <w:rFonts w:ascii="Times New Roman;serif" w:hAnsi="Times New Roman;serif"/>
          <w:b/>
          <w:i/>
          <w:color w:val="000000"/>
          <w:sz w:val="20"/>
        </w:rPr>
        <w:t>Income from operations (in millions):</w:t>
      </w:r>
    </w:p>
    <w:tbl>
      <w:tblPr>
        <w:tblW w:w="7496" w:type="dxa"/>
        <w:jc w:val="left"/>
        <w:tblInd w:w="0" w:type="dxa"/>
        <w:tblLayout w:type="fixed"/>
        <w:tblCellMar>
          <w:top w:w="28" w:type="dxa"/>
          <w:left w:w="28" w:type="dxa"/>
          <w:bottom w:w="28" w:type="dxa"/>
          <w:right w:w="28" w:type="dxa"/>
        </w:tblCellMar>
      </w:tblPr>
      <w:tblGrid>
        <w:gridCol w:w="1008"/>
        <w:gridCol w:w="889"/>
        <w:gridCol w:w="892"/>
        <w:gridCol w:w="109"/>
        <w:gridCol w:w="109"/>
        <w:gridCol w:w="109"/>
        <w:gridCol w:w="211"/>
        <w:gridCol w:w="616"/>
        <w:gridCol w:w="271"/>
        <w:gridCol w:w="109"/>
        <w:gridCol w:w="109"/>
        <w:gridCol w:w="109"/>
        <w:gridCol w:w="211"/>
        <w:gridCol w:w="616"/>
        <w:gridCol w:w="271"/>
        <w:gridCol w:w="109"/>
        <w:gridCol w:w="109"/>
        <w:gridCol w:w="109"/>
        <w:gridCol w:w="211"/>
        <w:gridCol w:w="511"/>
        <w:gridCol w:w="109"/>
        <w:gridCol w:w="109"/>
        <w:gridCol w:w="109"/>
        <w:gridCol w:w="109"/>
        <w:gridCol w:w="109"/>
        <w:gridCol w:w="109"/>
        <w:gridCol w:w="154"/>
      </w:tblGrid>
      <w:tr>
        <w:trPr/>
        <w:tc>
          <w:tcPr>
            <w:tcW w:w="1008"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Clear Aligner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Operating margin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36.0 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32.7 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Systems and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Operating margin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35.9 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32.0 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u w:val="single"/>
              </w:rPr>
              <w:t>Total income from operations</w:t>
            </w:r>
            <w:r>
              <w:rPr>
                <w:color w:val="000000"/>
              </w:rPr>
              <w:t xml:space="preserve">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Operating margin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13.6 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13.4 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90"/>
        <w:jc w:val="left"/>
        <w:rPr/>
      </w:pPr>
      <w:r>
        <w:rPr>
          <w:rFonts w:ascii="Times New Roman;serif" w:hAnsi="Times New Roman;serif"/>
          <w:b w:val="false"/>
          <w:color w:val="000000"/>
          <w:sz w:val="12"/>
        </w:rPr>
        <w:t xml:space="preserve">1 </w:t>
      </w:r>
      <w:r>
        <w:rPr>
          <w:rFonts w:ascii="Times New Roman;serif" w:hAnsi="Times New Roman;serif"/>
          <w:b w:val="false"/>
          <w:color w:val="000000"/>
          <w:sz w:val="18"/>
        </w:rPr>
        <w:t>Refer to</w:t>
      </w:r>
      <w:r>
        <w:rPr>
          <w:color w:val="000000"/>
        </w:rPr>
        <w:t xml:space="preserve"> </w:t>
      </w:r>
      <w:r>
        <w:rPr>
          <w:rFonts w:ascii="Times New Roman;serif" w:hAnsi="Times New Roman;serif"/>
          <w:b w:val="false"/>
          <w:i/>
          <w:color w:val="000000"/>
          <w:sz w:val="18"/>
        </w:rPr>
        <w:t>Note 13 “Segments and Geographical Information” of the Notes to Condensed Consolidated Financial Statements</w:t>
      </w:r>
      <w:r>
        <w:rPr>
          <w:color w:val="000000"/>
        </w:rPr>
        <w:t xml:space="preserve"> </w:t>
      </w:r>
      <w:r>
        <w:rPr>
          <w:rFonts w:ascii="Times New Roman;serif" w:hAnsi="Times New Roman;serif"/>
          <w:b w:val="false"/>
          <w:color w:val="000000"/>
          <w:sz w:val="18"/>
        </w:rPr>
        <w:t>for details on unallocated corporate expenses and the reconciliation to Income from Operations.</w:t>
      </w:r>
    </w:p>
    <w:p>
      <w:pPr>
        <w:pStyle w:val="TextBody"/>
        <w:bidi w:val="0"/>
        <w:spacing w:before="0" w:after="0"/>
        <w:ind w:left="0" w:right="0" w:hanging="90"/>
        <w:jc w:val="left"/>
        <w:rPr/>
      </w:pPr>
      <w:r>
        <w:rPr/>
      </w:r>
    </w:p>
    <w:p>
      <w:pPr>
        <w:pStyle w:val="TextBody"/>
        <w:bidi w:val="0"/>
        <w:spacing w:lineRule="auto" w:line="288" w:before="0" w:after="0"/>
        <w:ind w:left="0" w:right="0" w:firstLine="720"/>
        <w:jc w:val="left"/>
        <w:rPr>
          <w:rFonts w:ascii="Times New Roman;serif" w:hAnsi="Times New Roman;serif"/>
          <w:b w:val="false"/>
          <w:i/>
          <w:color w:val="000000"/>
          <w:sz w:val="18"/>
        </w:rPr>
      </w:pPr>
      <w:r>
        <w:rPr>
          <w:rFonts w:ascii="Times New Roman;serif" w:hAnsi="Times New Roman;serif"/>
          <w:b w:val="false"/>
          <w:i/>
          <w:color w:val="000000"/>
          <w:sz w:val="18"/>
        </w:rPr>
        <w:t>Changes and percentages are based on actual values. Certain tables may not sum or recalculate due to rounding.</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Clear Aligner</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For the three months ended March 31, 2026, our operating margin increased compared to the same period in 2025, primarily due to higher gross margin and lower advertising and marketing expense, partially offset by an increase in employee costs and credit card transaction fees. </w:t>
      </w:r>
    </w:p>
    <w:p>
      <w:pPr>
        <w:pStyle w:val="TextBody"/>
        <w:bidi w:val="0"/>
        <w:spacing w:before="0" w:after="0"/>
        <w:ind w:left="0" w:right="0" w:firstLine="450"/>
        <w:jc w:val="both"/>
        <w:rPr/>
      </w:pPr>
      <w:r>
        <w:rPr/>
      </w:r>
    </w:p>
    <w:p>
      <w:pPr>
        <w:pStyle w:val="TextBody"/>
        <w:bidi w:val="0"/>
        <w:spacing w:lineRule="auto" w:line="288" w:before="0" w:after="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Systems and Services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For the three months ended March 31, 2026, our operating margin increased compared to the same period in 2025, primarily due to higher gross margin and a decrease in operating expenses related to lower employee costs. </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360"/>
        <w:jc w:val="left"/>
        <w:rPr>
          <w:rFonts w:ascii="Times New Roman;serif" w:hAnsi="Times New Roman;serif"/>
          <w:b/>
          <w:i/>
          <w:color w:val="000000"/>
          <w:sz w:val="20"/>
        </w:rPr>
      </w:pPr>
      <w:r>
        <w:rPr>
          <w:rFonts w:ascii="Times New Roman;serif" w:hAnsi="Times New Roman;serif"/>
          <w:b/>
          <w:i/>
          <w:color w:val="000000"/>
          <w:sz w:val="20"/>
        </w:rPr>
        <w:t xml:space="preserve">Interest income (in millions): </w:t>
      </w:r>
    </w:p>
    <w:tbl>
      <w:tblPr>
        <w:tblW w:w="5817" w:type="dxa"/>
        <w:jc w:val="left"/>
        <w:tblInd w:w="0" w:type="dxa"/>
        <w:tblLayout w:type="fixed"/>
        <w:tblCellMar>
          <w:top w:w="28" w:type="dxa"/>
          <w:left w:w="28" w:type="dxa"/>
          <w:bottom w:w="28" w:type="dxa"/>
          <w:right w:w="28" w:type="dxa"/>
        </w:tblCellMar>
      </w:tblPr>
      <w:tblGrid>
        <w:gridCol w:w="565"/>
        <w:gridCol w:w="495"/>
        <w:gridCol w:w="500"/>
        <w:gridCol w:w="109"/>
        <w:gridCol w:w="109"/>
        <w:gridCol w:w="109"/>
        <w:gridCol w:w="211"/>
        <w:gridCol w:w="406"/>
        <w:gridCol w:w="271"/>
        <w:gridCol w:w="109"/>
        <w:gridCol w:w="109"/>
        <w:gridCol w:w="109"/>
        <w:gridCol w:w="211"/>
        <w:gridCol w:w="406"/>
        <w:gridCol w:w="271"/>
        <w:gridCol w:w="109"/>
        <w:gridCol w:w="109"/>
        <w:gridCol w:w="109"/>
        <w:gridCol w:w="211"/>
        <w:gridCol w:w="481"/>
        <w:gridCol w:w="109"/>
        <w:gridCol w:w="109"/>
        <w:gridCol w:w="109"/>
        <w:gridCol w:w="109"/>
        <w:gridCol w:w="109"/>
        <w:gridCol w:w="109"/>
        <w:gridCol w:w="154"/>
      </w:tblGrid>
      <w:tr>
        <w:trPr/>
        <w:tc>
          <w:tcPr>
            <w:tcW w:w="56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of net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0.4 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0.5 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pStyle w:val="TextBody"/>
        <w:bidi w:val="0"/>
        <w:spacing w:lineRule="auto" w:line="288" w:before="0" w:after="0"/>
        <w:ind w:left="0" w:right="0" w:firstLine="720"/>
        <w:jc w:val="both"/>
        <w:rPr>
          <w:rFonts w:ascii="Times New Roman;serif" w:hAnsi="Times New Roman;serif"/>
          <w:b w:val="false"/>
          <w:i/>
          <w:color w:val="000000"/>
          <w:sz w:val="18"/>
        </w:rPr>
      </w:pPr>
      <w:r>
        <w:rPr>
          <w:rFonts w:ascii="Times New Roman;serif" w:hAnsi="Times New Roman;serif"/>
          <w:b w:val="false"/>
          <w:i/>
          <w:color w:val="000000"/>
          <w:sz w:val="18"/>
        </w:rPr>
        <w:t>Changes and percentages are based on actual values. Certain tables may not sum or recalculate due to rounding.</w:t>
      </w:r>
    </w:p>
    <w:p>
      <w:pPr>
        <w:pStyle w:val="TextBody"/>
        <w:bidi w:val="0"/>
        <w:spacing w:before="0" w:after="0"/>
        <w:ind w:left="0" w:right="0" w:firstLine="495"/>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Interest income generally includes interest earned on cash, cash equivalents and investment balances.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March 31, 2026, interest income decreased compared to the same period in 2025, primarily due to lower interest rates earned on cash and cash equivalent balances.</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360"/>
        <w:jc w:val="left"/>
        <w:rPr>
          <w:rFonts w:ascii="Times New Roman;serif" w:hAnsi="Times New Roman;serif"/>
          <w:b/>
          <w:i/>
          <w:color w:val="000000"/>
          <w:sz w:val="20"/>
        </w:rPr>
      </w:pPr>
      <w:r>
        <w:rPr>
          <w:rFonts w:ascii="Times New Roman;serif" w:hAnsi="Times New Roman;serif"/>
          <w:b/>
          <w:i/>
          <w:color w:val="000000"/>
          <w:sz w:val="20"/>
        </w:rPr>
        <w:t xml:space="preserve">Other income (expense), net (in millions): </w:t>
      </w:r>
    </w:p>
    <w:tbl>
      <w:tblPr>
        <w:tblW w:w="6642" w:type="dxa"/>
        <w:jc w:val="left"/>
        <w:tblInd w:w="0" w:type="dxa"/>
        <w:tblLayout w:type="fixed"/>
        <w:tblCellMar>
          <w:top w:w="28" w:type="dxa"/>
          <w:left w:w="28" w:type="dxa"/>
          <w:bottom w:w="28" w:type="dxa"/>
          <w:right w:w="28" w:type="dxa"/>
        </w:tblCellMar>
      </w:tblPr>
      <w:tblGrid>
        <w:gridCol w:w="863"/>
        <w:gridCol w:w="760"/>
        <w:gridCol w:w="762"/>
        <w:gridCol w:w="109"/>
        <w:gridCol w:w="109"/>
        <w:gridCol w:w="109"/>
        <w:gridCol w:w="211"/>
        <w:gridCol w:w="406"/>
        <w:gridCol w:w="271"/>
        <w:gridCol w:w="109"/>
        <w:gridCol w:w="109"/>
        <w:gridCol w:w="109"/>
        <w:gridCol w:w="211"/>
        <w:gridCol w:w="406"/>
        <w:gridCol w:w="271"/>
        <w:gridCol w:w="109"/>
        <w:gridCol w:w="109"/>
        <w:gridCol w:w="109"/>
        <w:gridCol w:w="211"/>
        <w:gridCol w:w="481"/>
        <w:gridCol w:w="109"/>
        <w:gridCol w:w="109"/>
        <w:gridCol w:w="109"/>
        <w:gridCol w:w="109"/>
        <w:gridCol w:w="109"/>
        <w:gridCol w:w="109"/>
        <w:gridCol w:w="154"/>
      </w:tblGrid>
      <w:tr>
        <w:trPr/>
        <w:tc>
          <w:tcPr>
            <w:tcW w:w="863"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of net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0.3 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0.4 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pStyle w:val="TextBody"/>
        <w:bidi w:val="0"/>
        <w:spacing w:lineRule="auto" w:line="288" w:before="0" w:after="0"/>
        <w:ind w:left="0" w:right="0" w:firstLine="720"/>
        <w:jc w:val="both"/>
        <w:rPr>
          <w:rFonts w:ascii="Times New Roman;serif" w:hAnsi="Times New Roman;serif"/>
          <w:b w:val="false"/>
          <w:i/>
          <w:color w:val="000000"/>
          <w:sz w:val="18"/>
        </w:rPr>
      </w:pPr>
      <w:r>
        <w:rPr>
          <w:rFonts w:ascii="Times New Roman;serif" w:hAnsi="Times New Roman;serif"/>
          <w:b w:val="false"/>
          <w:i/>
          <w:color w:val="000000"/>
          <w:sz w:val="18"/>
        </w:rPr>
        <w:t>Changes and percentages are based on actual values. Certain tables may not sum or recalculate due to rounding.</w:t>
      </w:r>
    </w:p>
    <w:p>
      <w:pPr>
        <w:pStyle w:val="TextBody"/>
        <w:bidi w:val="0"/>
        <w:spacing w:before="0" w:after="0"/>
        <w:ind w:left="0" w:right="0" w:firstLine="495"/>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Other income (expense), net, generally includes foreign exchange gains and losses, gains and losses on foreign currency forward contracts, interest expense, gains and losses on equity investments and other miscellaneous charges. </w:t>
      </w:r>
    </w:p>
    <w:p>
      <w:pPr>
        <w:pStyle w:val="TextBody"/>
        <w:bidi w:val="0"/>
        <w:spacing w:before="0" w:after="0"/>
        <w:ind w:left="0" w:right="0" w:firstLine="451"/>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March 31, 2026, other income (expense), net decreased compared to the same period in 2025, primarily due to an unfavorable impact from foreign exchange rates, partially offset by a gain recorded on our equity investment.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33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33 </w:t>
                      </w:r>
                    </w:p>
                  </w:txbxContent>
                </v:textbox>
                <w10:wrap type="none"/>
              </v:rect>
            </w:pict>
          </mc:Fallback>
        </mc:AlternateContent>
      </w:r>
    </w:p>
    <w:p>
      <w:pPr>
        <w:pStyle w:val="TextBody"/>
        <w:bidi w:val="0"/>
        <w:spacing w:lineRule="auto" w:line="288" w:before="0" w:after="0"/>
        <w:jc w:val="left"/>
        <w:rPr/>
      </w:pPr>
      <w:hyperlink w:anchor="i7a02b169d6be4765847899a2d1aa61f4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360"/>
        <w:jc w:val="left"/>
        <w:rPr>
          <w:rFonts w:ascii="Times New Roman;serif" w:hAnsi="Times New Roman;serif"/>
          <w:b/>
          <w:i/>
          <w:color w:val="000000"/>
          <w:sz w:val="20"/>
        </w:rPr>
      </w:pPr>
      <w:r>
        <w:rPr>
          <w:rFonts w:ascii="Times New Roman;serif" w:hAnsi="Times New Roman;serif"/>
          <w:b/>
          <w:i/>
          <w:color w:val="000000"/>
          <w:sz w:val="20"/>
        </w:rPr>
        <w:t>Provision for income taxes (in millions):</w:t>
      </w:r>
    </w:p>
    <w:tbl>
      <w:tblPr>
        <w:tblW w:w="6852" w:type="dxa"/>
        <w:jc w:val="left"/>
        <w:tblInd w:w="0" w:type="dxa"/>
        <w:tblLayout w:type="fixed"/>
        <w:tblCellMar>
          <w:top w:w="28" w:type="dxa"/>
          <w:left w:w="28" w:type="dxa"/>
          <w:bottom w:w="28" w:type="dxa"/>
          <w:right w:w="28" w:type="dxa"/>
        </w:tblCellMar>
      </w:tblPr>
      <w:tblGrid>
        <w:gridCol w:w="825"/>
        <w:gridCol w:w="726"/>
        <w:gridCol w:w="729"/>
        <w:gridCol w:w="109"/>
        <w:gridCol w:w="109"/>
        <w:gridCol w:w="109"/>
        <w:gridCol w:w="211"/>
        <w:gridCol w:w="511"/>
        <w:gridCol w:w="271"/>
        <w:gridCol w:w="109"/>
        <w:gridCol w:w="109"/>
        <w:gridCol w:w="109"/>
        <w:gridCol w:w="211"/>
        <w:gridCol w:w="511"/>
        <w:gridCol w:w="271"/>
        <w:gridCol w:w="109"/>
        <w:gridCol w:w="109"/>
        <w:gridCol w:w="109"/>
        <w:gridCol w:w="211"/>
        <w:gridCol w:w="586"/>
        <w:gridCol w:w="109"/>
        <w:gridCol w:w="109"/>
        <w:gridCol w:w="109"/>
        <w:gridCol w:w="109"/>
        <w:gridCol w:w="109"/>
        <w:gridCol w:w="109"/>
        <w:gridCol w:w="154"/>
      </w:tblGrid>
      <w:tr>
        <w:trPr/>
        <w:tc>
          <w:tcPr>
            <w:tcW w:w="82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Effective tax rates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24.3 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33.6 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ind w:left="0" w:right="0" w:firstLine="720"/>
        <w:jc w:val="left"/>
        <w:rPr>
          <w:rFonts w:ascii="Times New Roman;serif" w:hAnsi="Times New Roman;serif"/>
          <w:b w:val="false"/>
          <w:i/>
          <w:color w:val="000000"/>
          <w:sz w:val="18"/>
          <w:shd w:fill="FFFFFF" w:val="clear"/>
        </w:rPr>
      </w:pPr>
      <w:r>
        <w:rPr>
          <w:rFonts w:ascii="Times New Roman;serif" w:hAnsi="Times New Roman;serif"/>
          <w:b w:val="false"/>
          <w:i/>
          <w:color w:val="000000"/>
          <w:sz w:val="18"/>
          <w:shd w:fill="FFFFFF" w:val="clear"/>
        </w:rPr>
        <w:t>Changes and percentages are based on actual values. Certain tables may not sum or recalculate due to rounding.</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effective tax rate differs from the U.S. statutory federal income tax rate of 21% for the three month period ended March 31, 2026 and 2025, primarily due to the recognition of additional tax expense resulting from U.S. taxes on foreign earnings, state income taxes, and non-deductible expense in the U.S., partially offset by the foreign income taxed at different rates.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decrease in our effective tax rate for the three months ended March 31, 2026 compared to the same period in 2025 is primarily attributable to the change in our jurisdictional mix of income, and decreases in U.S. taxes on foreign earnings and state income taxes.</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Liquidity and Capital Resources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Liquidity and Trends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of March 31, 2026 and December 31, 2025, we had cash and cash equivalents of $1,060 million and $1,095 million, respectively, of which approximately $853 million and $929 million, respectively, were held by our foreign subsidiaries. We continue to evaluate opportunities to repatriate our foreign earnings if or when needed. We do not expect to incur significant additional costs upon repatriation of these foreign earnings. We generate sufficient operating cash flow from our domestic operations and have access to $300 million under our revolving line of credit. We believe that our current cash balances and the borrowing capacity under our credit facility, if necessary, will be sufficient to fund our business for at least the next 12 months.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material cash requirements as of March 31, 2026 are as follows: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shd w:fill="FFFFFF" w:val="clear"/>
        </w:rPr>
        <w:t>•</w:t>
      </w:r>
      <w:r>
        <w:rPr>
          <w:rFonts w:ascii="Times New Roman;serif" w:hAnsi="Times New Roman;serif"/>
          <w:b w:val="false"/>
          <w:color w:val="000000"/>
          <w:sz w:val="20"/>
        </w:rPr>
        <w:t xml:space="preserve">Our purchase commitments consist primarily of open purchase orders for goods and services, including manufacturing inventory, supplies and services, sales and marketing, research and development services and technological services, issued in the normal course of business. There have been no material changes to our purchase commitments for goods and services during the three months ended March 31, 2026 as compared to the year ended December 31, 2025.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shd w:fill="FFFFFF" w:val="clear"/>
        </w:rPr>
        <w:t>•</w:t>
      </w:r>
      <w:r>
        <w:rPr>
          <w:rFonts w:ascii="Times New Roman;serif" w:hAnsi="Times New Roman;serif"/>
          <w:b w:val="false"/>
          <w:color w:val="000000"/>
          <w:sz w:val="20"/>
        </w:rPr>
        <w:t xml:space="preserve">There have been no material changes to our future operating lease payments, including leases that have not yet commenced, during the three months ended March 31, 2026 as compared to the year ended December 31, 2025.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expect our investments in capital expenditures for fiscal year 2026 to be $125 million to $150 million. Capital expenditures primarily relate to technology upgrades, additional manufacturing capacity as well as ongoing maintenance.</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In April 2025, our Board of Directors authorized a plan to repurchase up to $1.0 billion of our common stock. The April 2025 Repurchase Program is expected to be completed over a period of up to three years. We continually evaluate opportunities to repurchase shares of our common stock depending on various factors including our share price and current liquidity requirements. We repurchased approximately $31 million during the first quarter of 2026, leaving $800 million available for future repurchase under the April 2025 Repurchase Program. We expect to repurchase up to $200 million of our common stock over a six-month period beginning on May 1, 2026. Refer to </w:t>
      </w:r>
      <w:r>
        <w:rPr>
          <w:rFonts w:ascii="Times New Roman;serif" w:hAnsi="Times New Roman;serif"/>
          <w:b w:val="false"/>
          <w:i/>
          <w:color w:val="000000"/>
          <w:sz w:val="20"/>
        </w:rPr>
        <w:t>Note 9 “Common Stock Repurchase Program” of the Notes to Condensed Consolidated Financial Statements</w:t>
      </w:r>
      <w:r>
        <w:rPr>
          <w:color w:val="000000"/>
        </w:rPr>
        <w:t xml:space="preserve"> </w:t>
      </w:r>
      <w:r>
        <w:rPr>
          <w:rFonts w:ascii="Times New Roman;serif" w:hAnsi="Times New Roman;serif"/>
          <w:b w:val="false"/>
          <w:color w:val="000000"/>
          <w:sz w:val="20"/>
        </w:rPr>
        <w:t xml:space="preserve">for details on our stock repurchase programs.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As of March 31, 2026, we had no material off-balance sheet arrangements that have or are reasonably likely to have a current or future material impact on our liquidity or capital resources.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34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34 </w:t>
                      </w:r>
                    </w:p>
                  </w:txbxContent>
                </v:textbox>
                <w10:wrap type="none"/>
              </v:rect>
            </w:pict>
          </mc:Fallback>
        </mc:AlternateContent>
      </w:r>
    </w:p>
    <w:p>
      <w:pPr>
        <w:pStyle w:val="TextBody"/>
        <w:bidi w:val="0"/>
        <w:spacing w:lineRule="auto" w:line="288" w:before="0" w:after="0"/>
        <w:jc w:val="left"/>
        <w:rPr/>
      </w:pPr>
      <w:hyperlink w:anchor="i7a02b169d6be4765847899a2d1aa61f4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 xml:space="preserve">Sources and Uses of Cash </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Condensed Consolidated Statements of Cash Flows for the three months ended March 31, 2026 and 2025 (in thousands):</w:t>
      </w:r>
    </w:p>
    <w:tbl>
      <w:tblPr>
        <w:tblW w:w="10026" w:type="dxa"/>
        <w:jc w:val="left"/>
        <w:tblInd w:w="0" w:type="dxa"/>
        <w:tblLayout w:type="fixed"/>
        <w:tblCellMar>
          <w:top w:w="28" w:type="dxa"/>
          <w:left w:w="28" w:type="dxa"/>
          <w:bottom w:w="28" w:type="dxa"/>
          <w:right w:w="28" w:type="dxa"/>
        </w:tblCellMar>
      </w:tblPr>
      <w:tblGrid>
        <w:gridCol w:w="2520"/>
        <w:gridCol w:w="2211"/>
        <w:gridCol w:w="2229"/>
        <w:gridCol w:w="109"/>
        <w:gridCol w:w="109"/>
        <w:gridCol w:w="109"/>
        <w:gridCol w:w="211"/>
        <w:gridCol w:w="826"/>
        <w:gridCol w:w="109"/>
        <w:gridCol w:w="109"/>
        <w:gridCol w:w="109"/>
        <w:gridCol w:w="109"/>
        <w:gridCol w:w="211"/>
        <w:gridCol w:w="901"/>
        <w:gridCol w:w="154"/>
      </w:tblGrid>
      <w:tr>
        <w:trPr/>
        <w:tc>
          <w:tcPr>
            <w:tcW w:w="2520" w:type="dxa"/>
            <w:tcBorders/>
            <w:vAlign w:val="center"/>
          </w:tcPr>
          <w:p>
            <w:pPr>
              <w:pStyle w:val="TableContents"/>
              <w:bidi w:val="0"/>
              <w:spacing w:before="0" w:after="283"/>
              <w:jc w:val="left"/>
              <w:rPr>
                <w:sz w:val="4"/>
                <w:szCs w:val="4"/>
              </w:rPr>
            </w:pPr>
            <w:r>
              <w:rPr>
                <w:sz w:val="4"/>
                <w:szCs w:val="4"/>
              </w:rPr>
            </w:r>
          </w:p>
        </w:tc>
        <w:tc>
          <w:tcPr>
            <w:tcW w:w="2211" w:type="dxa"/>
            <w:tcBorders/>
            <w:vAlign w:val="center"/>
          </w:tcPr>
          <w:p>
            <w:pPr>
              <w:pStyle w:val="TableContents"/>
              <w:bidi w:val="0"/>
              <w:spacing w:before="0" w:after="283"/>
              <w:jc w:val="left"/>
              <w:rPr>
                <w:sz w:val="4"/>
                <w:szCs w:val="4"/>
              </w:rPr>
            </w:pPr>
            <w:r>
              <w:rPr>
                <w:sz w:val="4"/>
                <w:szCs w:val="4"/>
              </w:rPr>
            </w:r>
          </w:p>
        </w:tc>
        <w:tc>
          <w:tcPr>
            <w:tcW w:w="2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r>
      <w:tr>
        <w:trPr/>
        <w:tc>
          <w:tcPr>
            <w:tcW w:w="6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69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151,042 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(131,581)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(25,289)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(206,756)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Effect of foreign exchange rate changes on 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decrease in cash, cash equivalents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(35,054)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(170,889)</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color w:val="000000"/>
          <w:sz w:val="20"/>
        </w:rPr>
      </w:pPr>
      <w:r>
        <w:rPr>
          <w:rFonts w:ascii="Times New Roman;serif" w:hAnsi="Times New Roman;serif"/>
          <w:b/>
          <w:color w:val="000000"/>
          <w:sz w:val="20"/>
        </w:rPr>
        <w:t>Operating Activities</w:t>
      </w:r>
    </w:p>
    <w:p>
      <w:pPr>
        <w:pStyle w:val="TextBody"/>
        <w:bidi w:val="0"/>
        <w:spacing w:before="0" w:after="0"/>
        <w:ind w:left="0" w:right="0" w:firstLine="495"/>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March 31, 2026, cash flows from operations of $151 million resulted primarily from our net income of approximately $113 million as well as the following:</w:t>
      </w:r>
    </w:p>
    <w:p>
      <w:pPr>
        <w:pStyle w:val="TextBody"/>
        <w:bidi w:val="0"/>
        <w:spacing w:before="0" w:after="0"/>
        <w:ind w:left="0" w:right="0" w:firstLine="360"/>
        <w:jc w:val="both"/>
        <w:rPr/>
      </w:pPr>
      <w:r>
        <w:rPr/>
      </w:r>
    </w:p>
    <w:p>
      <w:pPr>
        <w:pStyle w:val="TextBody"/>
        <w:bidi w:val="0"/>
        <w:spacing w:lineRule="auto" w:line="288" w:before="0" w:after="0"/>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Significant adjustments to reconcile net income to net cash provided by operating activities</w:t>
      </w:r>
    </w:p>
    <w:p>
      <w:pPr>
        <w:pStyle w:val="TextBody"/>
        <w:bidi w:val="0"/>
        <w:spacing w:before="0" w:after="0"/>
        <w:jc w:val="both"/>
        <w:rPr/>
      </w:pPr>
      <w:r>
        <w:rPr/>
      </w:r>
    </w:p>
    <w:p>
      <w:pPr>
        <w:pStyle w:val="TextBody"/>
        <w:bidi w:val="0"/>
        <w:spacing w:lineRule="auto" w:line="288" w:before="0" w:after="0"/>
        <w:ind w:left="0" w:right="0" w:hanging="270"/>
        <w:jc w:val="both"/>
        <w:rPr/>
      </w:pPr>
      <w:r>
        <w:rPr>
          <w:color w:val="000000"/>
        </w:rPr>
        <w:t>•</w:t>
      </w:r>
      <w:r>
        <w:rPr>
          <w:rFonts w:ascii="Times New Roman;serif" w:hAnsi="Times New Roman;serif"/>
          <w:b w:val="false"/>
          <w:color w:val="000000"/>
          <w:sz w:val="20"/>
        </w:rPr>
        <w:t>Deferred taxes of $41 million related to a decrease in our long term deferred tax position;</w:t>
      </w:r>
    </w:p>
    <w:p>
      <w:pPr>
        <w:pStyle w:val="TextBody"/>
        <w:bidi w:val="0"/>
        <w:spacing w:lineRule="auto" w:line="288" w:before="0" w:after="0"/>
        <w:ind w:left="0" w:right="0" w:hanging="270"/>
        <w:jc w:val="both"/>
        <w:rPr/>
      </w:pPr>
      <w:r>
        <w:rPr>
          <w:color w:val="000000"/>
        </w:rPr>
        <w:t>•</w:t>
      </w:r>
      <w:r>
        <w:rPr>
          <w:rFonts w:ascii="Times New Roman;serif" w:hAnsi="Times New Roman;serif"/>
          <w:b w:val="false"/>
          <w:color w:val="000000"/>
          <w:sz w:val="20"/>
        </w:rPr>
        <w:t xml:space="preserve">Depreciation and amortization of $57 million related to our investments in property, plant and equipment and intangible assets; </w:t>
      </w:r>
    </w:p>
    <w:p>
      <w:pPr>
        <w:pStyle w:val="TextBody"/>
        <w:bidi w:val="0"/>
        <w:spacing w:lineRule="auto" w:line="288" w:before="0" w:after="0"/>
        <w:ind w:left="0" w:right="0" w:hanging="270"/>
        <w:jc w:val="both"/>
        <w:rPr/>
      </w:pPr>
      <w:r>
        <w:rPr>
          <w:color w:val="000000"/>
        </w:rPr>
        <w:t>•</w:t>
      </w:r>
      <w:r>
        <w:rPr>
          <w:rFonts w:ascii="Times New Roman;serif" w:hAnsi="Times New Roman;serif"/>
          <w:b w:val="false"/>
          <w:color w:val="000000"/>
          <w:sz w:val="20"/>
        </w:rPr>
        <w:t>Stock-based compensation of $41 million related to equity awards granted to employees and directors;</w:t>
      </w:r>
    </w:p>
    <w:p>
      <w:pPr>
        <w:pStyle w:val="TextBody"/>
        <w:bidi w:val="0"/>
        <w:spacing w:lineRule="auto" w:line="288" w:before="0" w:after="0"/>
        <w:ind w:left="0" w:right="0" w:hanging="270"/>
        <w:jc w:val="both"/>
        <w:rPr/>
      </w:pPr>
      <w:r>
        <w:rPr>
          <w:color w:val="000000"/>
        </w:rPr>
        <w:t>•</w:t>
      </w:r>
      <w:r>
        <w:rPr>
          <w:rFonts w:ascii="Times New Roman;serif" w:hAnsi="Times New Roman;serif"/>
          <w:b w:val="false"/>
          <w:color w:val="000000"/>
          <w:sz w:val="20"/>
        </w:rPr>
        <w:t>Non-cash operating lease costs of $10 million;</w:t>
      </w:r>
    </w:p>
    <w:p>
      <w:pPr>
        <w:pStyle w:val="TextBody"/>
        <w:bidi w:val="0"/>
        <w:spacing w:lineRule="auto" w:line="288" w:before="0" w:after="0"/>
        <w:ind w:left="0" w:right="0" w:hanging="270"/>
        <w:jc w:val="both"/>
        <w:rPr/>
      </w:pPr>
      <w:r>
        <w:rPr>
          <w:color w:val="000000"/>
        </w:rPr>
        <w:t>•</w:t>
      </w:r>
      <w:r>
        <w:rPr>
          <w:rFonts w:ascii="Times New Roman;serif" w:hAnsi="Times New Roman;serif"/>
          <w:b w:val="false"/>
          <w:color w:val="000000"/>
          <w:sz w:val="20"/>
        </w:rPr>
        <w:t>Gain on Assets held for sale of $12 million resulting from an increase in fair value less costs to sell;</w:t>
      </w:r>
    </w:p>
    <w:p>
      <w:pPr>
        <w:pStyle w:val="TextBody"/>
        <w:bidi w:val="0"/>
        <w:spacing w:lineRule="auto" w:line="288" w:before="0" w:after="0"/>
        <w:ind w:left="0" w:right="0" w:hanging="270"/>
        <w:jc w:val="both"/>
        <w:rPr/>
      </w:pPr>
      <w:r>
        <w:rPr>
          <w:color w:val="000000"/>
        </w:rPr>
        <w:t>•</w:t>
      </w:r>
      <w:r>
        <w:rPr>
          <w:rFonts w:ascii="Times New Roman;serif" w:hAnsi="Times New Roman;serif"/>
          <w:b w:val="false"/>
          <w:color w:val="000000"/>
          <w:sz w:val="20"/>
        </w:rPr>
        <w:t>Fair value adjustment gain of $8 million related to our investment in Heartland; and</w:t>
      </w:r>
    </w:p>
    <w:p>
      <w:pPr>
        <w:pStyle w:val="TextBody"/>
        <w:bidi w:val="0"/>
        <w:spacing w:lineRule="auto" w:line="288" w:before="0" w:after="0"/>
        <w:ind w:left="0" w:right="0" w:hanging="270"/>
        <w:jc w:val="both"/>
        <w:rPr/>
      </w:pPr>
      <w:r>
        <w:rPr>
          <w:color w:val="000000"/>
        </w:rPr>
        <w:t>•</w:t>
      </w:r>
      <w:r>
        <w:rPr>
          <w:rFonts w:ascii="Times New Roman;serif" w:hAnsi="Times New Roman;serif"/>
          <w:b w:val="false"/>
          <w:color w:val="000000"/>
          <w:sz w:val="20"/>
        </w:rPr>
        <w:t>Other non-cash operating activities of $7 million primarily related to an increase in our bad debt allowance.</w:t>
      </w:r>
    </w:p>
    <w:p>
      <w:pPr>
        <w:pStyle w:val="TextBody"/>
        <w:bidi w:val="0"/>
        <w:spacing w:before="0" w:after="0"/>
        <w:ind w:left="0" w:right="0" w:firstLine="90"/>
        <w:jc w:val="both"/>
        <w:rPr/>
      </w:pPr>
      <w:r>
        <w:rPr/>
      </w:r>
    </w:p>
    <w:p>
      <w:pPr>
        <w:pStyle w:val="TextBody"/>
        <w:bidi w:val="0"/>
        <w:spacing w:lineRule="auto" w:line="288" w:before="0" w:after="0"/>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Significant changes in working capital</w:t>
      </w:r>
    </w:p>
    <w:p>
      <w:pPr>
        <w:pStyle w:val="TextBody"/>
        <w:bidi w:val="0"/>
        <w:spacing w:before="0" w:after="0"/>
        <w:jc w:val="both"/>
        <w:rPr/>
      </w:pPr>
      <w:r>
        <w:rPr/>
      </w:r>
    </w:p>
    <w:p>
      <w:pPr>
        <w:pStyle w:val="TextBody"/>
        <w:bidi w:val="0"/>
        <w:spacing w:lineRule="auto" w:line="288" w:before="0" w:after="0"/>
        <w:ind w:left="0" w:right="0" w:hanging="270"/>
        <w:jc w:val="both"/>
        <w:rPr/>
      </w:pPr>
      <w:r>
        <w:rPr>
          <w:color w:val="000000"/>
        </w:rPr>
        <w:t>•</w:t>
      </w:r>
      <w:r>
        <w:rPr>
          <w:rFonts w:ascii="Times New Roman;serif" w:hAnsi="Times New Roman;serif"/>
          <w:b w:val="false"/>
          <w:color w:val="000000"/>
          <w:sz w:val="20"/>
        </w:rPr>
        <w:t>Net outflow of $44 million in prepaid expenses and other assets primarily due to the renewal of enterprise technology service agreements;</w:t>
      </w:r>
    </w:p>
    <w:p>
      <w:pPr>
        <w:pStyle w:val="TextBody"/>
        <w:bidi w:val="0"/>
        <w:spacing w:lineRule="auto" w:line="288" w:before="0" w:after="0"/>
        <w:ind w:left="0" w:right="0" w:hanging="270"/>
        <w:jc w:val="both"/>
        <w:rPr/>
      </w:pPr>
      <w:r>
        <w:rPr>
          <w:color w:val="000000"/>
        </w:rPr>
        <w:t>•</w:t>
      </w:r>
      <w:r>
        <w:rPr>
          <w:rFonts w:ascii="Times New Roman;serif" w:hAnsi="Times New Roman;serif"/>
          <w:b w:val="false"/>
          <w:color w:val="000000"/>
          <w:sz w:val="20"/>
        </w:rPr>
        <w:t>Net outflow of $41 million in accounts receivable due to timing of collections; and</w:t>
      </w:r>
    </w:p>
    <w:p>
      <w:pPr>
        <w:pStyle w:val="TextBody"/>
        <w:bidi w:val="0"/>
        <w:spacing w:lineRule="auto" w:line="288" w:before="0" w:after="0"/>
        <w:ind w:left="0" w:right="0" w:hanging="270"/>
        <w:jc w:val="both"/>
        <w:rPr/>
      </w:pPr>
      <w:r>
        <w:rPr>
          <w:color w:val="000000"/>
        </w:rPr>
        <w:t>•</w:t>
      </w:r>
      <w:r>
        <w:rPr>
          <w:rFonts w:ascii="Times New Roman;serif" w:hAnsi="Times New Roman;serif"/>
          <w:b w:val="false"/>
          <w:color w:val="000000"/>
          <w:sz w:val="20"/>
        </w:rPr>
        <w:t>Net outflow of $31 million in deferred revenue.</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color w:val="000000"/>
          <w:sz w:val="20"/>
        </w:rPr>
      </w:pPr>
      <w:r>
        <w:rPr>
          <w:rFonts w:ascii="Times New Roman;serif" w:hAnsi="Times New Roman;serif"/>
          <w:b/>
          <w:color w:val="000000"/>
          <w:sz w:val="20"/>
        </w:rPr>
        <w:t>Investing Activities</w:t>
      </w:r>
    </w:p>
    <w:p>
      <w:pPr>
        <w:pStyle w:val="TextBody"/>
        <w:bidi w:val="0"/>
        <w:spacing w:before="0" w:after="0"/>
        <w:jc w:val="both"/>
        <w:rPr/>
      </w:pPr>
      <w:r>
        <w:rPr/>
      </w:r>
    </w:p>
    <w:p>
      <w:pPr>
        <w:pStyle w:val="TextBody"/>
        <w:bidi w:val="0"/>
        <w:spacing w:lineRule="auto" w:line="276"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 was $132 million for the three months ended March 31, 2026, primarily driven by $31 million of purchases of property, plant and equipment, a $50 million additional investment in Heartland, $31 million for our investment in convertible notes, and $19 million related to an immaterial acquisition.</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color w:val="000000"/>
          <w:sz w:val="20"/>
        </w:rPr>
      </w:pPr>
      <w:r>
        <w:rPr>
          <w:rFonts w:ascii="Times New Roman;serif" w:hAnsi="Times New Roman;serif"/>
          <w:b/>
          <w:color w:val="000000"/>
          <w:sz w:val="20"/>
        </w:rPr>
        <w:t>Financing Activities</w:t>
      </w:r>
    </w:p>
    <w:p>
      <w:pPr>
        <w:pStyle w:val="TextBody"/>
        <w:bidi w:val="0"/>
        <w:spacing w:before="0" w:after="0"/>
        <w:ind w:left="0" w:right="0" w:firstLine="36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Net cash used in financing activities was $48 million for the three months ended March 31, 2026, primarily driven by outflows of $31 million for share repurchases and $29 million for payroll taxes paid for vested equity awards, offset by $12 million of proceeds from the issuance of common stock under our employee stock purchase plan.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before="0" w:after="0"/>
        <w:ind w:left="0" w:right="0" w:firstLine="495"/>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Management’s discussion and analysis of our financial condition and results of operations is based on our Condensed Consolidated Financial Statements, which have been prepared in accordance with accounting principles generally accepted in the United States of America. The preparation of financial statements requires management to make estimates and judgments that affect the reported amounts of assets and liabilities, revenues and expenses and disclosures at the date of the financial statements. We evaluate our estimates on an ongoing basis, including those related to revenue recognition, goodwill and finite-lived intangible assets, income taxes and legal proceedings and litigation. We use authoritative pronouncements, historical experience and other assumptions as the basis for making estimates. Actual results could differ from those estimates.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35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35 </w:t>
                      </w:r>
                    </w:p>
                  </w:txbxContent>
                </v:textbox>
                <w10:wrap type="none"/>
              </v:rect>
            </w:pict>
          </mc:Fallback>
        </mc:AlternateContent>
      </w:r>
    </w:p>
    <w:p>
      <w:pPr>
        <w:pStyle w:val="TextBody"/>
        <w:bidi w:val="0"/>
        <w:spacing w:lineRule="auto" w:line="288" w:before="0" w:after="0"/>
        <w:jc w:val="left"/>
        <w:rPr/>
      </w:pPr>
      <w:hyperlink w:anchor="i7a02b169d6be4765847899a2d1aa61f4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before="0" w:after="0"/>
        <w:ind w:left="0" w:right="0" w:firstLine="450"/>
        <w:jc w:val="both"/>
        <w:rPr/>
      </w:pPr>
      <w:r>
        <w:rPr/>
      </w:r>
    </w:p>
    <w:p>
      <w:pPr>
        <w:pStyle w:val="TextBody"/>
        <w:bidi w:val="0"/>
        <w:spacing w:lineRule="auto" w:line="288" w:before="0" w:after="0"/>
        <w:ind w:left="0" w:right="0" w:firstLine="360"/>
        <w:jc w:val="both"/>
        <w:rPr>
          <w:rFonts w:ascii="Times New Roman;serif" w:hAnsi="Times New Roman;serif"/>
          <w:b/>
          <w:i/>
          <w:color w:val="000000"/>
          <w:sz w:val="20"/>
        </w:rPr>
      </w:pPr>
      <w:r>
        <w:rPr>
          <w:rFonts w:ascii="Times New Roman;serif" w:hAnsi="Times New Roman;serif"/>
          <w:b/>
          <w:i/>
          <w:color w:val="000000"/>
          <w:sz w:val="20"/>
        </w:rPr>
        <w:t>Revenue Recognition</w:t>
      </w:r>
    </w:p>
    <w:p>
      <w:pPr>
        <w:pStyle w:val="TextBody"/>
        <w:bidi w:val="0"/>
        <w:spacing w:before="0" w:after="0"/>
        <w:jc w:val="both"/>
        <w:rPr/>
      </w:pPr>
      <w:r>
        <w:rPr/>
      </w:r>
    </w:p>
    <w:p>
      <w:pPr>
        <w:pStyle w:val="TextBody"/>
        <w:bidi w:val="0"/>
        <w:spacing w:lineRule="auto" w:line="288" w:before="0" w:after="0"/>
        <w:ind w:left="0" w:right="0" w:firstLine="450"/>
        <w:jc w:val="both"/>
        <w:rPr/>
      </w:pPr>
      <w:r>
        <w:rPr>
          <w:rFonts w:ascii="Times New Roman;serif" w:hAnsi="Times New Roman;serif"/>
          <w:b w:val="false"/>
          <w:color w:val="000000"/>
          <w:sz w:val="20"/>
        </w:rPr>
        <w:t xml:space="preserve">Our revenues are derived primarily from the sale of aligners, scanners and services from our Clear Aligner and Systems and Services segments. We enter into sales contracts that may consist of multiple distinct performance obligations where certain performance obligations of the sales contract are not delivered in one reporting period. We measure and allocate revenues according to ASC 606-10, </w:t>
      </w:r>
      <w:r>
        <w:rPr>
          <w:color w:val="000000"/>
        </w:rPr>
        <w:t>“</w:t>
      </w:r>
      <w:r>
        <w:rPr>
          <w:rFonts w:ascii="Times New Roman;serif" w:hAnsi="Times New Roman;serif"/>
          <w:b w:val="false"/>
          <w:i/>
          <w:color w:val="000000"/>
          <w:sz w:val="20"/>
        </w:rPr>
        <w:t>Revenues from Contracts with Customers.”</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Determining the standalone selling price (“SSP”) in order to allocate consideration from the contract to the individual performance obligations is the result of various factors, such as historical prices, changing trends and market conditions, costs and gross margins. While changes in the allocation of the SSP between performance obligations will not affect the amount of total revenues recognized for a particular contract, any material changes could impact the timing of revenue recognition, which would have a material effect on our financial position and result of operations. This is because the contract consideration is allocated to each performance obligation, delivered or undelivered, at the inception of the contract based on the SSP of each distinct performance obligation.</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allocate consideration for each clear aligner treatment plan based on each unit’s SSP. Management considers a variety of factors such as same or similar product historical sales, costs and gross margin, which may vary over time depending upon the unique facts and circumstances related to each performance obligation in making these estimates. In addition to historical data, we take into consideration changing trends and market conditions. For treatment plans with multiple options, we also consider usage rates, which is the number of times a customer is expected to order more aligners after the initial shipment. Our process for estimating usage rates requires significant judgment and evaluation of inputs, including historical usage data by region, country and channel.</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estimate the SSP of each element in a scanner system and services sale taking into consideration same or similar product historical prices as well as our discounting strategies. For CAD/CAM services, we estimate the SSP of each element, including the initial software license and maintenance and support, using data such as historical prices.</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before="0" w:after="0"/>
        <w:ind w:left="0" w:right="0" w:firstLine="225"/>
        <w:jc w:val="both"/>
        <w:rPr/>
      </w:pPr>
      <w:r>
        <w:rPr/>
      </w:r>
    </w:p>
    <w:p>
      <w:pPr>
        <w:pStyle w:val="TextBody"/>
        <w:bidi w:val="0"/>
        <w:spacing w:lineRule="auto" w:line="288" w:before="0" w:after="0"/>
        <w:ind w:left="0" w:right="0" w:firstLine="450"/>
        <w:jc w:val="both"/>
        <w:rPr/>
      </w:pPr>
      <w:r>
        <w:rPr>
          <w:rFonts w:ascii="Times New Roman;serif" w:hAnsi="Times New Roman;serif"/>
          <w:b w:val="false"/>
          <w:color w:val="000000"/>
          <w:sz w:val="20"/>
        </w:rPr>
        <w:t xml:space="preserve">See </w:t>
      </w:r>
      <w:r>
        <w:rPr>
          <w:rFonts w:ascii="Times New Roman;serif" w:hAnsi="Times New Roman;serif"/>
          <w:b w:val="false"/>
          <w:i/>
          <w:color w:val="000000"/>
          <w:sz w:val="20"/>
        </w:rPr>
        <w:t xml:space="preserve">Note 1 </w:t>
      </w:r>
      <w:r>
        <w:rPr>
          <w:color w:val="000000"/>
        </w:rPr>
        <w:t>“</w:t>
      </w:r>
      <w:r>
        <w:rPr>
          <w:rFonts w:ascii="Times New Roman;serif" w:hAnsi="Times New Roman;serif"/>
          <w:b w:val="false"/>
          <w:i/>
          <w:color w:val="000000"/>
          <w:sz w:val="20"/>
        </w:rPr>
        <w:t>Summary of Significant Accounting Policies</w:t>
      </w:r>
      <w:r>
        <w:rPr>
          <w:color w:val="000000"/>
        </w:rPr>
        <w:t xml:space="preserve">” </w:t>
      </w:r>
      <w:r>
        <w:rPr>
          <w:rFonts w:ascii="Times New Roman;serif" w:hAnsi="Times New Roman;serif"/>
          <w:b w:val="false"/>
          <w:i/>
          <w:color w:val="000000"/>
          <w:sz w:val="20"/>
        </w:rPr>
        <w:t>of the Notes to Condensed Consolidated Financial Statements</w:t>
      </w:r>
      <w:r>
        <w:rPr>
          <w:color w:val="000000"/>
        </w:rPr>
        <w:t xml:space="preserve"> </w:t>
      </w:r>
      <w:r>
        <w:rPr>
          <w:rFonts w:ascii="Times New Roman;serif" w:hAnsi="Times New Roman;serif"/>
          <w:b w:val="false"/>
          <w:color w:val="000000"/>
          <w:sz w:val="20"/>
        </w:rPr>
        <w:t>for a discussion of recent accounting pronouncements.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Item 3.        Quantitative and Qualitative Disclosures About Market Risk.</w:t>
      </w:r>
    </w:p>
    <w:p>
      <w:pPr>
        <w:pStyle w:val="TextBody"/>
        <w:bidi w:val="0"/>
        <w:spacing w:before="0" w:after="0"/>
        <w:ind w:left="0" w:right="0" w:firstLine="360"/>
        <w:jc w:val="both"/>
        <w:rPr/>
      </w:pPr>
      <w:r>
        <w:rPr/>
      </w:r>
    </w:p>
    <w:p>
      <w:pPr>
        <w:pStyle w:val="TextBody"/>
        <w:bidi w:val="0"/>
        <w:spacing w:lineRule="auto" w:line="288" w:before="0" w:after="0"/>
        <w:ind w:left="0" w:right="0" w:firstLine="450"/>
        <w:jc w:val="both"/>
        <w:rPr/>
      </w:pPr>
      <w:r>
        <w:rPr>
          <w:rFonts w:ascii="Times New Roman;serif" w:hAnsi="Times New Roman;serif"/>
          <w:b w:val="false"/>
          <w:color w:val="000000"/>
          <w:sz w:val="20"/>
        </w:rPr>
        <w:t xml:space="preserve">In the normal course of business, we are exposed to interest rate, foreign currency exchange and inflation risks that could impact our financial position and results of operations. In addition, we are subject to the broad market risk that is created by the global market disruptions and uncertainties resulting from macroeconomic challenges, various military conflicts and consumer confidence. Further discussion on these risks may be found in </w:t>
      </w:r>
      <w:r>
        <w:rPr>
          <w:rFonts w:ascii="Times New Roman;serif" w:hAnsi="Times New Roman;serif"/>
          <w:b w:val="false"/>
          <w:i/>
          <w:color w:val="000000"/>
          <w:sz w:val="20"/>
        </w:rPr>
        <w:t>Part II, Item 1A</w:t>
      </w:r>
      <w:r>
        <w:rPr>
          <w:color w:val="000000"/>
        </w:rPr>
        <w:t xml:space="preserve"> “</w:t>
      </w:r>
      <w:r>
        <w:rPr>
          <w:rFonts w:ascii="Times New Roman;serif" w:hAnsi="Times New Roman;serif"/>
          <w:b w:val="false"/>
          <w:i/>
          <w:color w:val="000000"/>
          <w:sz w:val="20"/>
        </w:rPr>
        <w:t>Risk Factors.”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i/>
          <w:color w:val="000000"/>
          <w:sz w:val="20"/>
        </w:rPr>
      </w:pPr>
      <w:r>
        <w:rPr>
          <w:rFonts w:ascii="Times New Roman;serif" w:hAnsi="Times New Roman;serif"/>
          <w:b/>
          <w:i/>
          <w:color w:val="000000"/>
          <w:sz w:val="20"/>
        </w:rPr>
        <w:t>Interest Rate Risk</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Changes in interest rates could impact our anticipated interest income earned on our cash and cash equivalents balance. As of March 31, 2026, we are not exposed to interest rate risk on our unsecured revolving line of credit. An immediate 10% change in interest rates would not have a material adverse impact on our future operating results and cash flows. As of March 31, 2026, we had no short term or long-term marketable securities. </w:t>
      </w:r>
    </w:p>
    <w:p>
      <w:pPr>
        <w:pStyle w:val="TextBody"/>
        <w:bidi w:val="0"/>
        <w:spacing w:before="0" w:after="0"/>
        <w:ind w:left="0" w:right="0" w:firstLine="450"/>
        <w:jc w:val="both"/>
        <w:rPr/>
      </w:pPr>
      <w:r>
        <w:rPr/>
      </w:r>
    </w:p>
    <w:p>
      <w:pPr>
        <w:pStyle w:val="TextBody"/>
        <w:bidi w:val="0"/>
        <w:spacing w:lineRule="auto" w:line="26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have not historically used derivative financial instruments to manage our exposure to changes in interest rates.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i/>
          <w:color w:val="000000"/>
          <w:sz w:val="20"/>
        </w:rPr>
      </w:pPr>
      <w:r>
        <w:rPr>
          <w:rFonts w:ascii="Times New Roman;serif" w:hAnsi="Times New Roman;serif"/>
          <w:b/>
          <w:i/>
          <w:color w:val="000000"/>
          <w:sz w:val="20"/>
        </w:rPr>
        <w:t>Foreign Currency Exchange Rate Risk</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As a result of our international business activities, our financial results have been affected by changes in foreign currency exchange rates as well as economic conditions in foreign markets. There is no assurance that exchange rate fluctuations will not adversely impact our results of operations or financial condition in the future. We generally sell our products in the local currency of the respective countries. This provides some natural hedging because most of the subsidiaries’ operating expenses are also generally denominated in their local currencies. </w:t>
      </w:r>
    </w:p>
    <w:p>
      <w:pPr>
        <w:pStyle w:val="TextBody"/>
        <w:bidi w:val="0"/>
        <w:spacing w:before="0" w:after="0"/>
        <w:jc w:val="both"/>
        <w:rPr/>
      </w:pPr>
      <w:r>
        <w:rPr/>
      </w:r>
    </w:p>
    <w:p>
      <w:pPr>
        <w:pStyle w:val="TextBody"/>
        <w:bidi w:val="0"/>
        <w:spacing w:lineRule="auto" w:line="288" w:before="0" w:after="0"/>
        <w:ind w:left="0" w:right="0" w:firstLine="450"/>
        <w:jc w:val="both"/>
        <w:rPr/>
      </w:pPr>
      <w:r>
        <w:rPr>
          <w:rFonts w:ascii="Times New Roman;serif" w:hAnsi="Times New Roman;serif"/>
          <w:b w:val="false"/>
          <w:color w:val="000000"/>
          <w:sz w:val="20"/>
        </w:rPr>
        <w:t>We enter into foreign currency forward contracts for currencies where we have exposures, primarily the Euro, British Pound, Chinese Yuan, Polish Zloty and Canadian Dollar, to minimize the short-term impact of foreign currency exchange rate fluctuations on certain assets and liabilities.</w:t>
      </w:r>
      <w:r>
        <w:rPr>
          <w:color w:val="EE2724"/>
        </w:rPr>
        <w:t xml:space="preserve"> </w:t>
      </w:r>
      <w:r>
        <w:rPr>
          <w:rFonts w:ascii="Times New Roman;serif" w:hAnsi="Times New Roman;serif"/>
          <w:b w:val="false"/>
          <w:color w:val="000000"/>
          <w:sz w:val="20"/>
        </w:rPr>
        <w:t xml:space="preserve">These forward contracts are not designated as hedging instruments and 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36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36 </w:t>
                      </w:r>
                    </w:p>
                  </w:txbxContent>
                </v:textbox>
                <w10:wrap type="none"/>
              </v:rect>
            </w:pict>
          </mc:Fallback>
        </mc:AlternateContent>
      </w:r>
    </w:p>
    <w:p>
      <w:pPr>
        <w:pStyle w:val="TextBody"/>
        <w:bidi w:val="0"/>
        <w:spacing w:lineRule="auto" w:line="288" w:before="0" w:after="0"/>
        <w:jc w:val="left"/>
        <w:rPr/>
      </w:pPr>
      <w:hyperlink w:anchor="i7a02b169d6be4765847899a2d1aa61f4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generally one month in original maturity and are marked to market through earnings every period. The gains and losses on these forward contracts are intended to offset the gains and losses in the underlying foreign currency denominated monetary assets and liabilities being economically hedged. We do not enter into foreign currency forward contracts for trading or speculative purposes. As our international operations grow, we will continue to reassess our approach to managing the risks relating to fluctuations in currency rates.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Although we will continue to monitor our exposure to currency fluctuations, and, where appropriate, use forward contracts to minimize the effect of these fluctuations, the impact of an aggregate change of 10% in foreign currency exchange rates relative to the U.S. dollar on our results of operations and financial position could be material.</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i/>
          <w:color w:val="000000"/>
          <w:sz w:val="20"/>
        </w:rPr>
      </w:pPr>
      <w:r>
        <w:rPr>
          <w:rFonts w:ascii="Times New Roman;serif" w:hAnsi="Times New Roman;serif"/>
          <w:b/>
          <w:i/>
          <w:color w:val="000000"/>
          <w:sz w:val="20"/>
        </w:rPr>
        <w:t>Inflation Risk</w:t>
      </w:r>
    </w:p>
    <w:p>
      <w:pPr>
        <w:pStyle w:val="TextBody"/>
        <w:bidi w:val="0"/>
        <w:spacing w:before="0" w:after="0"/>
        <w:ind w:left="0" w:right="0" w:firstLine="360"/>
        <w:jc w:val="both"/>
        <w:rPr/>
      </w:pPr>
      <w:r>
        <w:rPr/>
      </w:r>
    </w:p>
    <w:p>
      <w:pPr>
        <w:pStyle w:val="TextBody"/>
        <w:bidi w:val="0"/>
        <w:spacing w:lineRule="auto" w:line="26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economy has been impacted by certain macroeconomic challenges which have contributed to a rising inflationary trend that have impacted both our revenues and costs globally. If our costs become subject to significant inflationary pressures, we may not be able to fully offset such higher costs through price increases. There is no assurance that our results of operations and financial condition will not be adversely impacted by inflation in the future.</w:t>
      </w:r>
    </w:p>
    <w:p>
      <w:pPr>
        <w:pStyle w:val="TextBody"/>
        <w:bidi w:val="0"/>
        <w:spacing w:before="0" w:after="0"/>
        <w:ind w:left="0" w:right="0" w:firstLine="450"/>
        <w:jc w:val="both"/>
        <w:rPr/>
      </w:pPr>
      <w:r>
        <w:rPr/>
      </w:r>
    </w:p>
    <w:p>
      <w:pPr>
        <w:pStyle w:val="TextBody"/>
        <w:bidi w:val="0"/>
        <w:spacing w:lineRule="auto" w:line="288" w:before="0" w:after="0"/>
        <w:ind w:left="0" w:right="0" w:firstLine="360"/>
        <w:jc w:val="both"/>
        <w:rPr>
          <w:rFonts w:ascii="Times New Roman;serif" w:hAnsi="Times New Roman;serif"/>
          <w:b/>
          <w:i/>
          <w:color w:val="000000"/>
          <w:sz w:val="20"/>
        </w:rPr>
      </w:pPr>
      <w:r>
        <w:rPr>
          <w:rFonts w:ascii="Times New Roman;serif" w:hAnsi="Times New Roman;serif"/>
          <w:b/>
          <w:i/>
          <w:color w:val="000000"/>
          <w:sz w:val="20"/>
        </w:rPr>
        <w:t>Investment Risk</w:t>
      </w:r>
    </w:p>
    <w:p>
      <w:pPr>
        <w:pStyle w:val="TextBody"/>
        <w:bidi w:val="0"/>
        <w:spacing w:before="0" w:after="0"/>
        <w:ind w:left="0" w:right="0" w:firstLine="36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hold equity securities in privately held companies, which are subject to equity price risks and exposures from the evolving macroeconomic environment, including uncertainty and volatility in financial markets and other changes in economic conditions, such as an increase in trade tensions and related tariffs, that could have a material impact on the carrying value of our investments. </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Our investments in privately held companies primarily consist of equity securities without readily determinable fair values. We elected to account for our investments in privately held companies using the measurement alternative, which is cost, less any impairment, adjusted for changes in fair value resulting from observable transactions for identical or similar investments of the same issuer. We perform a qualitative assessment at each reporting date to determine whether there are triggering events for impairment. The qualitative assessment considers factors such as but not limited to, the investee’s financial performance and business prospects; industry performance; economic environment; and other relevant events and factors affecting the investee. Valuations of our equity investments are complex due to the lack of readily available market data and observable transactions. The carrying value of our investments in privately held companies was $274.4 million at March 31, 2026 and $216.2 million at December 31, 2025.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Item 4.        Controls and Procedures.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i/>
          <w:color w:val="000000"/>
          <w:sz w:val="20"/>
        </w:rPr>
      </w:pPr>
      <w:r>
        <w:rPr>
          <w:rFonts w:ascii="Times New Roman;serif" w:hAnsi="Times New Roman;serif"/>
          <w:b/>
          <w:i/>
          <w:color w:val="000000"/>
          <w:sz w:val="20"/>
        </w:rPr>
        <w:t>Evaluation of disclosure controls and procedures.</w:t>
      </w:r>
    </w:p>
    <w:p>
      <w:pPr>
        <w:pStyle w:val="TextBody"/>
        <w:bidi w:val="0"/>
        <w:spacing w:before="0" w:after="0"/>
        <w:ind w:left="0" w:right="0" w:firstLine="225"/>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management, under the supervision and with the participation of our Chief Executive Officer and our Chief Financial Officer, has evaluated the effectiveness of the design and operation of our disclosure controls and procedures (as defined in Rules 13a-15(e) and 15d-15(e) under the Exchange Act) as of the end of the period covered by this Quarterly Report on Form 10-Q. Based upon that evaluation, our Chief Executive Officer and our Chief Financial Officer have concluded that our disclosure controls and procedures are effective as of March 31, 2026, to provide reasonable assurance that information required to be disclosed by us in the reports that we file or submit under the Exchange Act is accumulated and communicated to our management, including our Chief Executive Officer and our Chief Financial Officer, as appropriate, to allow timely decisions regarding required disclosure, and that such information is recorded, processed, summarized and reported within the time periods specified in the SEC's rules and forms.</w:t>
      </w:r>
    </w:p>
    <w:p>
      <w:pPr>
        <w:pStyle w:val="TextBody"/>
        <w:bidi w:val="0"/>
        <w:spacing w:before="0" w:after="0"/>
        <w:ind w:left="0" w:right="0" w:firstLine="495"/>
        <w:jc w:val="both"/>
        <w:rPr/>
      </w:pPr>
      <w:r>
        <w:rPr/>
      </w:r>
    </w:p>
    <w:p>
      <w:pPr>
        <w:pStyle w:val="TextBody"/>
        <w:bidi w:val="0"/>
        <w:spacing w:lineRule="auto" w:line="288" w:before="0" w:after="0"/>
        <w:ind w:left="0" w:right="0" w:firstLine="360"/>
        <w:jc w:val="both"/>
        <w:rPr>
          <w:rFonts w:ascii="Times New Roman;serif" w:hAnsi="Times New Roman;serif"/>
          <w:b/>
          <w:i/>
          <w:color w:val="000000"/>
          <w:sz w:val="20"/>
        </w:rPr>
      </w:pPr>
      <w:r>
        <w:rPr>
          <w:rFonts w:ascii="Times New Roman;serif" w:hAnsi="Times New Roman;serif"/>
          <w:b/>
          <w:i/>
          <w:color w:val="000000"/>
          <w:sz w:val="20"/>
        </w:rPr>
        <w:t>Changes in internal control over financial reporting.</w:t>
      </w:r>
    </w:p>
    <w:p>
      <w:pPr>
        <w:pStyle w:val="TextBody"/>
        <w:bidi w:val="0"/>
        <w:spacing w:before="0" w:after="0"/>
        <w:jc w:val="both"/>
        <w:rPr/>
      </w:pPr>
      <w:r>
        <w:rPr/>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There have been no changes in our internal control over financial reporting during the quarter ended March 31, 2026 that have materially affected, or are reasonably likely to materially affect, our internal control over financial reporting.</w:t>
      </w:r>
    </w:p>
    <w:p>
      <w:pPr>
        <w:pStyle w:val="TextBody"/>
        <w:bidi w:val="0"/>
        <w:spacing w:before="0" w:after="16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II—OTHER INFORMATION</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37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37 </w:t>
                      </w:r>
                    </w:p>
                  </w:txbxContent>
                </v:textbox>
                <w10:wrap type="none"/>
              </v:rect>
            </w:pict>
          </mc:Fallback>
        </mc:AlternateContent>
      </w:r>
    </w:p>
    <w:p>
      <w:pPr>
        <w:pStyle w:val="TextBody"/>
        <w:bidi w:val="0"/>
        <w:spacing w:lineRule="auto" w:line="288" w:before="0" w:after="0"/>
        <w:jc w:val="left"/>
        <w:rPr/>
      </w:pPr>
      <w:hyperlink w:anchor="i7a02b169d6be4765847899a2d1aa61f4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ind w:left="0" w:right="0" w:firstLine="450"/>
        <w:jc w:val="both"/>
        <w:rPr/>
      </w:pPr>
      <w:r>
        <w:rPr>
          <w:rFonts w:ascii="Times New Roman;serif" w:hAnsi="Times New Roman;serif"/>
          <w:b w:val="false"/>
          <w:color w:val="000000"/>
          <w:sz w:val="20"/>
        </w:rPr>
        <w:t xml:space="preserve">The information set forth in </w:t>
      </w:r>
      <w:r>
        <w:rPr>
          <w:rFonts w:ascii="Times New Roman;serif" w:hAnsi="Times New Roman;serif"/>
          <w:b w:val="false"/>
          <w:i/>
          <w:color w:val="000000"/>
          <w:sz w:val="20"/>
        </w:rPr>
        <w:t xml:space="preserve">Note 6 </w:t>
      </w:r>
      <w:r>
        <w:rPr>
          <w:color w:val="000000"/>
        </w:rPr>
        <w:t>“</w:t>
      </w:r>
      <w:r>
        <w:rPr>
          <w:rFonts w:ascii="Times New Roman;serif" w:hAnsi="Times New Roman;serif"/>
          <w:b w:val="false"/>
          <w:i/>
          <w:color w:val="000000"/>
          <w:sz w:val="20"/>
        </w:rPr>
        <w:t>Legal Proceedings</w:t>
      </w:r>
      <w:r>
        <w:rPr>
          <w:color w:val="000000"/>
        </w:rPr>
        <w:t xml:space="preserve">” </w:t>
      </w:r>
      <w:r>
        <w:rPr>
          <w:rFonts w:ascii="Times New Roman;serif" w:hAnsi="Times New Roman;serif"/>
          <w:b w:val="false"/>
          <w:i/>
          <w:color w:val="000000"/>
          <w:sz w:val="20"/>
        </w:rPr>
        <w:t>of the Notes to Condensed Consolidated Financial Statements</w:t>
      </w:r>
      <w:r>
        <w:rPr>
          <w:color w:val="000000"/>
        </w:rPr>
        <w:t xml:space="preserve"> </w:t>
      </w:r>
      <w:r>
        <w:rPr>
          <w:rFonts w:ascii="Times New Roman;serif" w:hAnsi="Times New Roman;serif"/>
          <w:b w:val="false"/>
          <w:color w:val="000000"/>
          <w:sz w:val="20"/>
        </w:rPr>
        <w:t>in Part I, Item 1 of this Quarterly Report on Form 10-Q is incorporated herein by reference</w:t>
      </w:r>
      <w:r>
        <w:rPr>
          <w:rFonts w:ascii="Times New Roman;serif" w:hAnsi="Times New Roman;serif"/>
          <w:b w:val="false"/>
          <w:i/>
          <w:color w:val="000000"/>
          <w:sz w:val="20"/>
        </w:rPr>
        <w:t>.</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44" w:before="0" w:after="0"/>
        <w:jc w:val="both"/>
        <w:rPr>
          <w:rFonts w:ascii="Times New Roman;serif" w:hAnsi="Times New Roman;serif"/>
          <w:b/>
          <w:color w:val="000000"/>
          <w:sz w:val="20"/>
        </w:rPr>
      </w:pPr>
      <w:r>
        <w:rPr>
          <w:rFonts w:ascii="Times New Roman;serif" w:hAnsi="Times New Roman;serif"/>
          <w:b/>
          <w:color w:val="000000"/>
          <w:sz w:val="20"/>
        </w:rPr>
        <w:t xml:space="preserve">Item 1A. Risk Factors. </w:t>
      </w:r>
    </w:p>
    <w:p>
      <w:pPr>
        <w:pStyle w:val="TextBody"/>
        <w:bidi w:val="0"/>
        <w:spacing w:before="0" w:after="0"/>
        <w:jc w:val="both"/>
        <w:rPr/>
      </w:pPr>
      <w:r>
        <w:rPr/>
      </w:r>
    </w:p>
    <w:p>
      <w:pPr>
        <w:pStyle w:val="TextBody"/>
        <w:bidi w:val="0"/>
        <w:spacing w:lineRule="auto" w:line="240" w:before="0" w:after="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The following discusses some of the risks and uncertainties that may affect our business, reputation, results of operations, financial condition, cash flows, and the price of our common stock. You should carefully review this section, as well as our Condensed Consolidated Financial Statements and notes thereto and other information appearing in this Quarterly Report on Form 10-Q, for important information regarding these and other risks that may affect us. The order we have chosen to list the risks below or the sections in which we have identified them should not be interpreted to mean we deem any risks to be more or less important or likely to occur or, if any do occur, that their impact may be any less significant than any others. These risk factors should be considered in connection with the forward-looking statements contained in this Quarterly Report on Form 10-Q because they could cause our actual results of operations and financial condition to differ materially from those statements. Before you invest in our common stock, know that investing involves risks, including those described below, which are not the only risks we face. If any of the risks actually occur, our business, financial condition and results of operations could be negatively affected, the trading price of our common stock could decline, and you may lose all or part of your investment.</w:t>
      </w:r>
    </w:p>
    <w:p>
      <w:pPr>
        <w:pStyle w:val="TextBody"/>
        <w:bidi w:val="0"/>
        <w:spacing w:before="0" w:after="0"/>
        <w:jc w:val="left"/>
        <w:rPr/>
      </w:pPr>
      <w:r>
        <w:rPr/>
      </w:r>
    </w:p>
    <w:p>
      <w:pPr>
        <w:pStyle w:val="TextBody"/>
        <w:bidi w:val="0"/>
        <w:spacing w:lineRule="auto" w:line="240" w:before="0" w:after="0"/>
        <w:jc w:val="both"/>
        <w:rPr>
          <w:rFonts w:ascii="Times New Roman;serif" w:hAnsi="Times New Roman;serif"/>
          <w:b/>
          <w:color w:val="333333"/>
          <w:sz w:val="20"/>
          <w:u w:val="single"/>
        </w:rPr>
      </w:pPr>
      <w:r>
        <w:rPr>
          <w:rFonts w:ascii="Times New Roman;serif" w:hAnsi="Times New Roman;serif"/>
          <w:b/>
          <w:color w:val="333333"/>
          <w:sz w:val="20"/>
          <w:u w:val="single"/>
        </w:rPr>
        <w:t>Macroeconomic and External Risks</w:t>
      </w:r>
    </w:p>
    <w:p>
      <w:pPr>
        <w:pStyle w:val="TextBody"/>
        <w:bidi w:val="0"/>
        <w:spacing w:before="0" w:after="0"/>
        <w:jc w:val="both"/>
        <w:rPr/>
      </w:pPr>
      <w:r>
        <w:rPr/>
      </w:r>
    </w:p>
    <w:p>
      <w:pPr>
        <w:pStyle w:val="TextBody"/>
        <w:bidi w:val="0"/>
        <w:spacing w:lineRule="auto" w:line="240" w:before="0" w:after="0"/>
        <w:ind w:left="0" w:right="0" w:firstLine="360"/>
        <w:jc w:val="both"/>
        <w:rPr>
          <w:rFonts w:ascii="Times New Roman;serif" w:hAnsi="Times New Roman;serif"/>
          <w:b/>
          <w:i/>
          <w:color w:val="000000"/>
          <w:sz w:val="20"/>
        </w:rPr>
      </w:pPr>
      <w:r>
        <w:rPr>
          <w:rFonts w:ascii="Times New Roman;serif" w:hAnsi="Times New Roman;serif"/>
          <w:b/>
          <w:i/>
          <w:color w:val="000000"/>
          <w:sz w:val="20"/>
        </w:rPr>
        <w:t>Global and regional economic conditions have and could in the future materially affect our business, financial condition and results of operations.</w:t>
      </w:r>
    </w:p>
    <w:p>
      <w:pPr>
        <w:pStyle w:val="TextBody"/>
        <w:bidi w:val="0"/>
        <w:spacing w:before="0" w:after="0"/>
        <w:jc w:val="both"/>
        <w:rPr/>
      </w:pPr>
      <w:r>
        <w:rPr/>
      </w:r>
    </w:p>
    <w:p>
      <w:pPr>
        <w:pStyle w:val="TextBody"/>
        <w:bidi w:val="0"/>
        <w:spacing w:lineRule="auto" w:line="240"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Macroeconomic conditions impact consumer confidence and discretionary spending, which can reduce or shift spending away from elective procedures, drive patients to pursue less costly orthodontic treatments, decrease the number of orthodontic case starts, reduce patient traffic in dental offices, or reduce demand for dental services generally. Consumer spending habits are affected by, among other things, fluctuations in foreign currency exchange rates, changes in consumer confidence and demand, inflation, general economic weakness, actual or potential slowdowns or recessions, employment levels, health insurance coverage, wages, debt obligations, discretionary income, interest rates, cultural and social influences, market volatility and perceptions of current and future economic conditions. For instance, decreased demand for dental services has and may in the future cause doctors and labs to revert to wires and brackets and postpone investments in capital equipment. Uncertain economic outlooks for, or declines in the economic outlooks of, the United States, Chinese, European and other economies have and could in the future materially adversely affect consumer demand and dental practice spending. Higher interest rates have and could in the future reduce consumers’ disposable income, which could cause a decrease in discretionary spending for our products. </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Inflation has and may continue to adversely impact spending and trade activities, and may unpredictably impact global and regional economies. Efforts by central banks and federal, state and local governments to combat inflation could result in an economic recession or slowdown or adversely impact consumer spending for a prolonged period of time. Higher inflation, as well as the cost of fuel, energy and domestic and international shipping costs, food and other essential or discretionary items, raw material prices and labor rates, has and may continue to rise, which could adversely impact the costs of producing, procuring and shipping our products. We may not be able to fully mitigate the impact of the increased costs or pass price increases on to our customers, which could result in downward pressure on our operating results. Attempts to offset cost increases with price increases may reduce sales, increase customer dissatisfaction or otherwise harm our reputation. Any of these events could materially affect our business, financial condition or results of operations.</w:t>
      </w:r>
    </w:p>
    <w:p>
      <w:pPr>
        <w:pStyle w:val="TextBody"/>
        <w:bidi w:val="0"/>
        <w:spacing w:before="0" w:after="0"/>
        <w:jc w:val="both"/>
        <w:rPr/>
      </w:pPr>
      <w:r>
        <w:rPr/>
      </w:r>
    </w:p>
    <w:p>
      <w:pPr>
        <w:pStyle w:val="TextBody"/>
        <w:bidi w:val="0"/>
        <w:spacing w:lineRule="auto" w:line="276" w:before="0" w:after="0"/>
        <w:ind w:left="0" w:right="0" w:firstLine="360"/>
        <w:jc w:val="both"/>
        <w:rPr>
          <w:rFonts w:ascii="Times New Roman;serif" w:hAnsi="Times New Roman;serif"/>
          <w:b/>
          <w:i/>
          <w:color w:val="000000"/>
          <w:sz w:val="20"/>
        </w:rPr>
      </w:pPr>
      <w:r>
        <w:rPr>
          <w:rFonts w:ascii="Times New Roman;serif" w:hAnsi="Times New Roman;serif"/>
          <w:b/>
          <w:i/>
          <w:color w:val="000000"/>
          <w:sz w:val="20"/>
        </w:rPr>
        <w:t>We are subject to foreign currency exchange fluctuations, which could have a material adverse effect on our financial condition or results of operations.</w:t>
      </w:r>
    </w:p>
    <w:p>
      <w:pPr>
        <w:pStyle w:val="TextBody"/>
        <w:bidi w:val="0"/>
        <w:spacing w:before="0" w:after="0"/>
        <w:ind w:left="0" w:right="0" w:firstLine="360"/>
        <w:jc w:val="both"/>
        <w:rPr/>
      </w:pPr>
      <w:r>
        <w:rPr/>
      </w:r>
    </w:p>
    <w:p>
      <w:pPr>
        <w:pStyle w:val="TextBody"/>
        <w:bidi w:val="0"/>
        <w:spacing w:lineRule="auto" w:line="240"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have significant international operations and sales and are therefore exposed to fluctuations in foreign currencies that have and may continue to adversely impact our business, financial condition or results of operations. Although the U.S. dollar is our reporting currency, a large portion of our net revenues and expenses are generated in foreign currencies. While we forecast our balance sheet exposures to foreign currency fluctuations and utilize foreign currency forward contracts to moderate the impact of currency fluctuations on certain assets and liabilities, these contracts may not eliminate our exposure. Currency exchange rate fluctuations have and may continue to materially adversely affect our results of operations and cash flows. </w:t>
      </w:r>
    </w:p>
    <w:p>
      <w:pPr>
        <w:pStyle w:val="TextBody"/>
        <w:bidi w:val="0"/>
        <w:spacing w:before="0" w:after="0"/>
        <w:ind w:left="0" w:right="0" w:firstLine="360"/>
        <w:jc w:val="both"/>
        <w:rPr/>
      </w:pPr>
      <w:r>
        <w:rPr/>
      </w:r>
    </w:p>
    <w:p>
      <w:pPr>
        <w:pStyle w:val="TextBody"/>
        <w:bidi w:val="0"/>
        <w:spacing w:lineRule="auto" w:line="240" w:before="0" w:after="0"/>
        <w:ind w:left="0" w:right="0" w:firstLine="360"/>
        <w:jc w:val="both"/>
        <w:rPr/>
      </w:pPr>
      <w:r>
        <w:rPr>
          <w:rFonts w:ascii="Times New Roman;serif" w:hAnsi="Times New Roman;serif"/>
          <w:b/>
          <w:i/>
          <w:color w:val="000000"/>
          <w:sz w:val="20"/>
        </w:rPr>
        <w:t>Geopolitical events, tariffs and trade policies, and military conflicts have and could in the future materially affect our business, financial condition and results of operations</w:t>
      </w:r>
      <w:r>
        <w:rPr>
          <w:rFonts w:ascii="Times New Roman;serif" w:hAnsi="Times New Roman;serif"/>
          <w:b/>
          <w:i/>
          <w:color w:val="000000"/>
          <w:sz w:val="20"/>
          <w:shd w:fill="FFFFFF" w:val="clear"/>
        </w:rPr>
        <w:t>.</w:t>
      </w:r>
    </w:p>
    <w:p>
      <w:pPr>
        <w:pStyle w:val="TextBody"/>
        <w:bidi w:val="0"/>
        <w:spacing w:before="0" w:after="0"/>
        <w:ind w:left="0" w:right="0" w:firstLine="360"/>
        <w:jc w:val="both"/>
        <w:rPr/>
      </w:pPr>
      <w:r>
        <w:rPr/>
      </w:r>
    </w:p>
    <w:p>
      <w:pPr>
        <w:pStyle w:val="TextBody"/>
        <w:bidi w:val="0"/>
        <w:spacing w:lineRule="auto" w:line="240"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Geopolitical events, wars, military actions, terrorism, or major public health crises have and could in the future harm or disrupt international commerce and the global economy, and could materially adversely affect our business. Such events have and could result in, among other things, supply chain and trade disruptions, changes in diplomatic and trade relationships, new and retaliatory tariffs, trade protection measures, quotas, embargoes, trade sanctions and countersanctions, customs investigations or restrictions, boycotts, reduced consumer spending, government shutdowns, cyberattacks, energy shortages or power outages, energy rationing that adversely impacts our manufacturing facilities, rising fuel or rising costs of producing, procuring, and shipping our products, constraints, volatility or disruption in the financial markets, employee deaths or injuries, restrictions and shortages of food, water, shelter and medical supplies, data or information exchange, disruptions, interruptions or limitations in telecommunication services, critical systems or applications reliant on a stable and uninterrupted communications infrastructure, and protests that may impact delivery of our products to customers or destruction of property.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38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38 </w:t>
                      </w:r>
                    </w:p>
                  </w:txbxContent>
                </v:textbox>
                <w10:wrap type="none"/>
              </v:rect>
            </w:pict>
          </mc:Fallback>
        </mc:AlternateContent>
      </w:r>
    </w:p>
    <w:p>
      <w:pPr>
        <w:pStyle w:val="TextBody"/>
        <w:bidi w:val="0"/>
        <w:spacing w:lineRule="auto" w:line="288" w:before="0" w:after="0"/>
        <w:jc w:val="left"/>
        <w:rPr/>
      </w:pPr>
      <w:hyperlink w:anchor="i7a02b169d6be4765847899a2d1aa61f4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Such events may also cause a shift in public opinion about companies based in the United States or in the regions where we operate or plan to operate, which could adversely impact our reputation and business.</w:t>
      </w:r>
    </w:p>
    <w:p>
      <w:pPr>
        <w:pStyle w:val="TextBody"/>
        <w:bidi w:val="0"/>
        <w:spacing w:before="0" w:after="0"/>
        <w:ind w:left="0" w:right="0" w:firstLine="360"/>
        <w:jc w:val="both"/>
        <w:rPr/>
      </w:pPr>
      <w:r>
        <w:rPr/>
      </w:r>
    </w:p>
    <w:p>
      <w:pPr>
        <w:pStyle w:val="TextBody"/>
        <w:bidi w:val="0"/>
        <w:spacing w:lineRule="auto" w:line="240"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Tariffs or proposed tariffs, customs duties, or fees, and any retaliatory tariffs, international trade disputes, or protectionist trade measures taken in response to such tariffs may increase the cost of our products and the components or the raw materials used to make them, reduce demand for our products and adversely impact our gross margin and results of operations, limit our ability to sell to certain customers, limit or prohibit the availability of certain raw materials, components and parts necessary for our products or the products of our suppliers, or impede or slow the movement of our goods across borders. For example, the U.S. Department of Commerce has initiated an investigation under Section 232 of the Trade Expansion Act of 1962, as amended, to determine the effects on the national security of imports of personal protective equipment (PPE), medical consumables, and medical equipment including devices. A significant portion of the products we sell, and the components and raw materials used in our products are originally manufactured or sourced outside the United States. For example, we manufacture clear aligners in our facility in Mexico and ship them to the United States, primarily for our United States customers, with the remainder eventually shipped to other international locations. Tariffs have and could in the future result in additional costs for our products, which may reduce demand for our products and adversely impact our gross margin and results of operations, and we may not be able to fully or substantially mitigate the impact of any new or increased tariffs or pass price increases on to our customers and to the extent we do, we may experience reduced demand for our products. </w:t>
      </w:r>
    </w:p>
    <w:p>
      <w:pPr>
        <w:pStyle w:val="TextBody"/>
        <w:bidi w:val="0"/>
        <w:spacing w:before="0" w:after="0"/>
        <w:ind w:left="0" w:right="0" w:firstLine="360"/>
        <w:jc w:val="both"/>
        <w:rPr/>
      </w:pPr>
      <w:r>
        <w:rPr/>
      </w:r>
    </w:p>
    <w:p>
      <w:pPr>
        <w:pStyle w:val="TextBody"/>
        <w:bidi w:val="0"/>
        <w:spacing w:lineRule="auto" w:line="240"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February 20, 2026, the U.S. Supreme Court ruled that certain of the tariffs imposed under the International Emergency Economic Powers Act were unlawful, and while we are no longer subject to such tariffs as a result of that decision, we are currently subject to new, temporary tariffs on imports under Section 122 of the Trade Act of 1974, effective February 24, 2026. The extent and duration of any tariffs and the resulting impact on general economic conditions and on our business, financial condition and results of operations are uncertain. </w:t>
      </w:r>
    </w:p>
    <w:p>
      <w:pPr>
        <w:pStyle w:val="TextBody"/>
        <w:bidi w:val="0"/>
        <w:spacing w:before="0" w:after="0"/>
        <w:ind w:left="0" w:right="0" w:firstLine="360"/>
        <w:jc w:val="both"/>
        <w:rPr/>
      </w:pPr>
      <w:r>
        <w:rPr/>
      </w:r>
    </w:p>
    <w:p>
      <w:pPr>
        <w:pStyle w:val="TextBody"/>
        <w:bidi w:val="0"/>
        <w:spacing w:lineRule="auto" w:line="240"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Foreign countries have and may continue to adopt other measures such as controls on the import or export of goods, technology or data, including personal data, which could adversely impact our operations and supply chains or limit our ability to offer certain products or services. We may take various actions in response to these measures, including changing suppliers, where we manufacture our products, or restructuring business relationships. Such actions may be expensive, time-consuming, disruptive to our logistics and operations, irreversible, and more costly for us and our customers. Trade restrictions may be announced with little or no advance notice and we may be unable to effectively mitigate any adverse impacts in a timely manner or at all. </w:t>
      </w:r>
    </w:p>
    <w:p>
      <w:pPr>
        <w:pStyle w:val="TextBody"/>
        <w:bidi w:val="0"/>
        <w:spacing w:before="0" w:after="0"/>
        <w:ind w:left="0" w:right="0" w:firstLine="360"/>
        <w:jc w:val="both"/>
        <w:rPr/>
      </w:pPr>
      <w:r>
        <w:rPr/>
      </w:r>
    </w:p>
    <w:p>
      <w:pPr>
        <w:pStyle w:val="TextBody"/>
        <w:bidi w:val="0"/>
        <w:spacing w:lineRule="auto" w:line="240" w:before="0" w:after="0"/>
        <w:ind w:left="0" w:right="0" w:firstLine="360"/>
        <w:jc w:val="both"/>
        <w:rPr/>
      </w:pPr>
      <w:r>
        <w:rPr>
          <w:rFonts w:ascii="Times New Roman;serif" w:hAnsi="Times New Roman;serif"/>
          <w:b w:val="false"/>
          <w:color w:val="000000"/>
          <w:sz w:val="20"/>
          <w:shd w:fill="FFFFFF" w:val="clear"/>
        </w:rPr>
        <w:t xml:space="preserve">Military conflicts, wars, and escalation of terrorist or gang activities </w:t>
      </w:r>
      <w:r>
        <w:rPr>
          <w:rFonts w:ascii="Times New Roman;serif" w:hAnsi="Times New Roman;serif"/>
          <w:b w:val="false"/>
          <w:color w:val="000000"/>
          <w:sz w:val="20"/>
        </w:rPr>
        <w:t>have and may in the future</w:t>
      </w:r>
      <w:r>
        <w:rPr>
          <w:color w:val="000000"/>
          <w:shd w:fill="FFFFFF" w:val="clear"/>
        </w:rPr>
        <w:t xml:space="preserve"> </w:t>
      </w:r>
      <w:r>
        <w:rPr>
          <w:rFonts w:ascii="Times New Roman;serif" w:hAnsi="Times New Roman;serif"/>
          <w:b w:val="false"/>
          <w:color w:val="000000"/>
          <w:sz w:val="20"/>
          <w:shd w:fill="FFFFFF" w:val="clear"/>
        </w:rPr>
        <w:t>materially adversely impact the economies in which we operate.</w:t>
      </w:r>
      <w:r>
        <w:rPr>
          <w:color w:val="000000"/>
        </w:rPr>
        <w:t xml:space="preserve"> </w:t>
      </w:r>
      <w:r>
        <w:rPr>
          <w:rFonts w:ascii="Times New Roman;serif" w:hAnsi="Times New Roman;serif"/>
          <w:b w:val="false"/>
          <w:color w:val="000000"/>
          <w:sz w:val="20"/>
        </w:rPr>
        <w:t>Our iTero operations, headquartered in Israel, are close to areas that have been affected by the conflict between Israel and Hamas. The outbreak of military conflict between the United States and Iran on February 28, 2026 and Israel’s war against Iran has resulted in instability around the Middle East region, particularly a disruption in shipment of global oil and gas flows, with cascading effects on energy prices and global economic conditions. Additionally, our supply chains and demand for our products could be impaired as a result of political instability, drug trafficking, the continuation or escalation of terrorist or gang activities (particularly with respect to our manufacturing operations in Mexico), hostilities, export and import restrictions, sanctions or boycotts. These events could disrupt ongoing operations and may materially impact the logistics, timing and cost of shipping of our products and materials or our ability to operate out of impacted areas, and our ongoing contingency planning and business continuity measures to mitigate these risks may not be sufficient. Additionally, China’s territorial conflicts with other neighboring countries may impact our operations and sales in China. We cannot predict the progress or outcome of these events or the reactions by governments, businesses or consumers and each event could, individually or in the aggregate, materially adversely affect our business, financial condition and results of operations.</w:t>
      </w:r>
    </w:p>
    <w:p>
      <w:pPr>
        <w:pStyle w:val="TextBody"/>
        <w:bidi w:val="0"/>
        <w:spacing w:before="0" w:after="0"/>
        <w:ind w:left="0" w:right="0" w:firstLine="360"/>
        <w:jc w:val="both"/>
        <w:rPr/>
      </w:pPr>
      <w:r>
        <w:rPr/>
      </w:r>
    </w:p>
    <w:p>
      <w:pPr>
        <w:pStyle w:val="TextBody"/>
        <w:bidi w:val="0"/>
        <w:spacing w:lineRule="auto" w:line="240" w:before="0" w:after="0"/>
        <w:ind w:left="0" w:right="0" w:firstLine="360"/>
        <w:jc w:val="both"/>
        <w:rPr>
          <w:rFonts w:ascii="Times New Roman;serif" w:hAnsi="Times New Roman;serif"/>
          <w:b/>
          <w:i/>
          <w:color w:val="000000"/>
          <w:sz w:val="20"/>
        </w:rPr>
      </w:pPr>
      <w:r>
        <w:rPr>
          <w:rFonts w:ascii="Times New Roman;serif" w:hAnsi="Times New Roman;serif"/>
          <w:b/>
          <w:i/>
          <w:color w:val="000000"/>
          <w:sz w:val="20"/>
        </w:rPr>
        <w:t>Natural disasters may adversely impact our business, financial condition and results of operations, as well as those of our customers and consumers, suppliers, contract manufacturers, commercial intermediaries and other business partners.</w:t>
      </w:r>
    </w:p>
    <w:p>
      <w:pPr>
        <w:pStyle w:val="TextBody"/>
        <w:bidi w:val="0"/>
        <w:spacing w:before="0" w:after="0"/>
        <w:jc w:val="both"/>
        <w:rPr/>
      </w:pPr>
      <w:r>
        <w:rPr/>
      </w:r>
    </w:p>
    <w:p>
      <w:pPr>
        <w:pStyle w:val="TextBody"/>
        <w:bidi w:val="0"/>
        <w:spacing w:lineRule="auto" w:line="240"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Natural disasters and extreme weather conditions (including those caused by climate change) can cause deaths, injuries and major public health crises, power outages, property damage, restrictions and shortages of food, water, shelter and medical supplies, telecommunications failures, materials scarcity, price volatility and other adverse consequences. If a natural disaster occurs in a region where one of our facilities or those of our customers or suppliers are located, our or their employees or facilities could be impacted, valuable research could be lost, and our ability to create treatment plans, respond to customer inquiries or manufacture and ship our products could be compromised, causing significant delays and reputational harm. Climate change could increase the frequency and severity of natural disasters such as hurricanes, tornadoes, earthquakes, wildfires, droughts, extreme temperatures, or flooding which could cause supply chain interruptions, increase demand and negatively impact availability of sources of energy or resources material to manufacturing our products and operations, or cause damage to our products and facilities. It could also affect the availability or cost of materials, goods, and services on which we and our suppliers, contract manufacturers, commercial intermediaries and other business partners rely, which could materially adversely impact our business, financial condition and results of operations. </w:t>
      </w:r>
    </w:p>
    <w:p>
      <w:pPr>
        <w:pStyle w:val="TextBody"/>
        <w:bidi w:val="0"/>
        <w:spacing w:before="0" w:after="0"/>
        <w:ind w:left="0" w:right="0" w:firstLine="360"/>
        <w:jc w:val="both"/>
        <w:rPr/>
      </w:pPr>
      <w:r>
        <w:rPr/>
      </w:r>
    </w:p>
    <w:p>
      <w:pPr>
        <w:pStyle w:val="TextBody"/>
        <w:bidi w:val="0"/>
        <w:spacing w:lineRule="auto" w:line="240" w:before="0" w:after="0"/>
        <w:jc w:val="both"/>
        <w:rPr>
          <w:rFonts w:ascii="Times New Roman;serif" w:hAnsi="Times New Roman;serif"/>
          <w:b/>
          <w:color w:val="333333"/>
          <w:sz w:val="20"/>
          <w:u w:val="single"/>
        </w:rPr>
      </w:pPr>
      <w:r>
        <w:rPr>
          <w:rFonts w:ascii="Times New Roman;serif" w:hAnsi="Times New Roman;serif"/>
          <w:b/>
          <w:color w:val="333333"/>
          <w:sz w:val="20"/>
          <w:u w:val="single"/>
        </w:rPr>
        <w:t>Business and Industry Risks</w:t>
      </w:r>
    </w:p>
    <w:p>
      <w:pPr>
        <w:pStyle w:val="TextBody"/>
        <w:bidi w:val="0"/>
        <w:spacing w:before="0" w:after="0"/>
        <w:ind w:left="0" w:right="0" w:firstLine="360"/>
        <w:jc w:val="both"/>
        <w:rPr/>
      </w:pPr>
      <w:r>
        <w:rPr/>
      </w:r>
    </w:p>
    <w:p>
      <w:pPr>
        <w:pStyle w:val="TextBody"/>
        <w:bidi w:val="0"/>
        <w:spacing w:lineRule="auto" w:line="240" w:before="0" w:after="0"/>
        <w:ind w:left="0" w:right="0" w:firstLine="360"/>
        <w:jc w:val="both"/>
        <w:rPr>
          <w:rFonts w:ascii="Times New Roman;serif" w:hAnsi="Times New Roman;serif"/>
          <w:b/>
          <w:i/>
          <w:color w:val="000000"/>
          <w:sz w:val="20"/>
        </w:rPr>
      </w:pPr>
      <w:r>
        <w:rPr>
          <w:rFonts w:ascii="Times New Roman;serif" w:hAnsi="Times New Roman;serif"/>
          <w:b/>
          <w:i/>
          <w:color w:val="000000"/>
          <w:sz w:val="20"/>
        </w:rPr>
        <w:t>Demand for our products and services may not increase or may decrease for many reasons, including resistance to the innovative and business-model-disruptive nature of some of our products and services.</w:t>
      </w:r>
    </w:p>
    <w:p>
      <w:pPr>
        <w:pStyle w:val="TextBody"/>
        <w:bidi w:val="0"/>
        <w:spacing w:before="0" w:after="0"/>
        <w:ind w:left="0" w:right="0" w:firstLine="360"/>
        <w:jc w:val="both"/>
        <w:rPr/>
      </w:pPr>
      <w:r>
        <w:rPr/>
      </w:r>
    </w:p>
    <w:p>
      <w:pPr>
        <w:pStyle w:val="TextBody"/>
        <w:bidi w:val="0"/>
        <w:spacing w:lineRule="auto" w:line="240"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products and services require our customers and consumers to forego traditional treatment methods. For example, Invisalign treatment is a significant departure from traditional orthodontic wires and brackets, and our customers and consumers may not find it cost-effective or preferable. A number of dental professionals believe Invisalign treatment is only appropriate for a limited percentage of patients. Additionally, our clear aligners and iTero products utilize digital technology and some dental professionals have and may continue to resist moving to a digital platform. Increased acceptance of our products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39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39 </w:t>
                      </w:r>
                    </w:p>
                  </w:txbxContent>
                </v:textbox>
                <w10:wrap type="none"/>
              </v:rect>
            </w:pict>
          </mc:Fallback>
        </mc:AlternateContent>
      </w:r>
    </w:p>
    <w:p>
      <w:pPr>
        <w:pStyle w:val="TextBody"/>
        <w:bidi w:val="0"/>
        <w:spacing w:lineRule="auto" w:line="288" w:before="0" w:after="0"/>
        <w:jc w:val="left"/>
        <w:rPr/>
      </w:pPr>
      <w:hyperlink w:anchor="i7a02b169d6be4765847899a2d1aa61f4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services depends in part on the recommendations of dental professionals, professional associations, societies and organizations, as well as other factors, including efficacy, safety, ease of use, reliability, aesthetics, third-party reimbursement, price compared to traditional treatment methods and competing products, and perceptions regarding single-use or non-recyclable plastics. Additionally, negative experiences with clear aligner products manufactured or distributed by competitors may adversely affect our reputation and demand for the Invisalign System if consumers or dental professionals attribute these negative experiences to clear aligner therapy generally, even if our products differ significantly in design, quality, and clinical effectiveness. If demand for our products or services fails to increase, or decreases, our business, financial condition and results of operations may be materially adversely affected.</w:t>
      </w:r>
    </w:p>
    <w:p>
      <w:pPr>
        <w:pStyle w:val="TextBody"/>
        <w:bidi w:val="0"/>
        <w:spacing w:before="0" w:after="0"/>
        <w:ind w:left="0" w:right="0" w:firstLine="360"/>
        <w:jc w:val="both"/>
        <w:rPr/>
      </w:pPr>
      <w:r>
        <w:rPr/>
      </w:r>
    </w:p>
    <w:p>
      <w:pPr>
        <w:pStyle w:val="TextBody"/>
        <w:bidi w:val="0"/>
        <w:spacing w:lineRule="auto" w:line="240" w:before="0" w:after="0"/>
        <w:ind w:left="0" w:right="0" w:firstLine="360"/>
        <w:jc w:val="both"/>
        <w:rPr>
          <w:rFonts w:ascii="Times New Roman;serif" w:hAnsi="Times New Roman;serif"/>
          <w:b/>
          <w:i/>
          <w:color w:val="000000"/>
          <w:sz w:val="20"/>
        </w:rPr>
      </w:pPr>
      <w:r>
        <w:rPr>
          <w:rFonts w:ascii="Times New Roman;serif" w:hAnsi="Times New Roman;serif"/>
          <w:b/>
          <w:i/>
          <w:color w:val="000000"/>
          <w:sz w:val="20"/>
        </w:rPr>
        <w:t>Our net revenues depend primarily on sales of the Invisalign System and iTero intraoral scanners and declines in volume or the average selling price (“ASP”) may adversely affect net revenues, gross profit, operating profit and net income.</w:t>
      </w:r>
    </w:p>
    <w:p>
      <w:pPr>
        <w:pStyle w:val="TextBody"/>
        <w:bidi w:val="0"/>
        <w:spacing w:before="0" w:after="0"/>
        <w:ind w:left="0" w:right="0" w:firstLine="360"/>
        <w:jc w:val="both"/>
        <w:rPr/>
      </w:pPr>
      <w:r>
        <w:rPr/>
      </w:r>
    </w:p>
    <w:p>
      <w:pPr>
        <w:pStyle w:val="TextBody"/>
        <w:bidi w:val="0"/>
        <w:spacing w:lineRule="auto" w:line="240" w:before="0" w:after="0"/>
        <w:ind w:left="0" w:right="0" w:firstLine="360"/>
        <w:jc w:val="both"/>
        <w:rPr/>
      </w:pPr>
      <w:r>
        <w:rPr>
          <w:rFonts w:ascii="Times New Roman;serif" w:hAnsi="Times New Roman;serif"/>
          <w:b w:val="false"/>
          <w:color w:val="000000"/>
          <w:sz w:val="20"/>
        </w:rPr>
        <w:t>Our net revenues are primarily dependent on sales of the Invisalign System an</w:t>
      </w:r>
      <w:r>
        <w:rPr>
          <w:rFonts w:ascii="Times New Roman;serif" w:hAnsi="Times New Roman;serif"/>
          <w:b w:val="false"/>
          <w:color w:val="000000"/>
          <w:sz w:val="20"/>
          <w:shd w:fill="FFFFFF" w:val="clear"/>
        </w:rPr>
        <w:t>d iTero intraoral scanners. Of the two, we expect the Invisalign System to continue to represent the majority of our net revenues and remain</w:t>
      </w:r>
      <w:r>
        <w:rPr>
          <w:color w:val="000000"/>
        </w:rPr>
        <w:t xml:space="preserve"> </w:t>
      </w:r>
      <w:r>
        <w:rPr>
          <w:rFonts w:ascii="Times New Roman;serif" w:hAnsi="Times New Roman;serif"/>
          <w:b w:val="false"/>
          <w:color w:val="000000"/>
          <w:sz w:val="20"/>
        </w:rPr>
        <w:t xml:space="preserve">critical to our success. </w:t>
      </w:r>
    </w:p>
    <w:p>
      <w:pPr>
        <w:pStyle w:val="TextBody"/>
        <w:bidi w:val="0"/>
        <w:spacing w:before="0" w:after="0"/>
        <w:ind w:left="0" w:right="0" w:firstLine="360"/>
        <w:jc w:val="both"/>
        <w:rPr/>
      </w:pPr>
      <w:r>
        <w:rPr/>
      </w:r>
    </w:p>
    <w:p>
      <w:pPr>
        <w:pStyle w:val="TextBody"/>
        <w:bidi w:val="0"/>
        <w:spacing w:lineRule="auto" w:line="240"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ASPs of our products, particularly the Invisalign System, are influenced by numerous factors, including the mix of product treatment packages, geographical mix, channel mix and timing of products sold, promotions and discounts, inflation and foreign currency exchange rates. In addition, we sell our products at different prices and with varying shipping and handling charges or processing fees that may differ by country. Our ASPs for the Invisalign System and iTero intraoral scanners have been and could in the future be adversely affected if: </w:t>
      </w:r>
    </w:p>
    <w:p>
      <w:pPr>
        <w:pStyle w:val="TextBody"/>
        <w:bidi w:val="0"/>
        <w:spacing w:before="0" w:after="0"/>
        <w:jc w:val="both"/>
        <w:rPr/>
      </w:pPr>
      <w:r>
        <w:rPr/>
      </w:r>
    </w:p>
    <w:p>
      <w:pPr>
        <w:pStyle w:val="TextBody"/>
        <w:bidi w:val="0"/>
        <w:spacing w:lineRule="auto" w:line="240" w:before="0" w:after="0"/>
        <w:ind w:left="0" w:right="0" w:hanging="360"/>
        <w:jc w:val="both"/>
        <w:rPr/>
      </w:pPr>
      <w:r>
        <w:rPr>
          <w:color w:val="000000"/>
        </w:rPr>
        <w:t>•</w:t>
      </w:r>
      <w:r>
        <w:rPr>
          <w:rFonts w:ascii="Times New Roman;serif" w:hAnsi="Times New Roman;serif"/>
          <w:b w:val="false"/>
          <w:color w:val="000000"/>
          <w:sz w:val="20"/>
        </w:rPr>
        <w:t>we offer promotions or general or volume-based discount programs, product or services bundles, large account sales or consumer rebate programs;</w:t>
      </w:r>
    </w:p>
    <w:p>
      <w:pPr>
        <w:pStyle w:val="TextBody"/>
        <w:bidi w:val="0"/>
        <w:spacing w:lineRule="auto" w:line="240" w:before="0" w:after="0"/>
        <w:ind w:left="0" w:right="0" w:hanging="360"/>
        <w:jc w:val="both"/>
        <w:rPr/>
      </w:pPr>
      <w:r>
        <w:rPr>
          <w:color w:val="000000"/>
        </w:rPr>
        <w:t>•</w:t>
      </w:r>
      <w:r>
        <w:rPr>
          <w:rFonts w:ascii="Times New Roman;serif" w:hAnsi="Times New Roman;serif"/>
          <w:b w:val="false"/>
          <w:color w:val="000000"/>
          <w:sz w:val="20"/>
        </w:rPr>
        <w:t xml:space="preserve">participation in promotions or programs unexpectedly increases, decreases or changes demand in material ways; </w:t>
      </w:r>
    </w:p>
    <w:p>
      <w:pPr>
        <w:pStyle w:val="TextBody"/>
        <w:bidi w:val="0"/>
        <w:spacing w:lineRule="auto" w:line="240" w:before="0" w:after="0"/>
        <w:ind w:left="0" w:right="0" w:hanging="360"/>
        <w:jc w:val="both"/>
        <w:rPr/>
      </w:pPr>
      <w:r>
        <w:rPr>
          <w:color w:val="000000"/>
        </w:rPr>
        <w:t>•</w:t>
      </w:r>
      <w:r>
        <w:rPr>
          <w:rFonts w:ascii="Times New Roman;serif" w:hAnsi="Times New Roman;serif"/>
          <w:b w:val="false"/>
          <w:color w:val="000000"/>
          <w:sz w:val="20"/>
        </w:rPr>
        <w:t>our geographic, channel or product mix shifts to lower-priced products or to products with a higher percentage of deferred revenue;</w:t>
      </w:r>
    </w:p>
    <w:p>
      <w:pPr>
        <w:pStyle w:val="TextBody"/>
        <w:bidi w:val="0"/>
        <w:spacing w:lineRule="auto" w:line="240" w:before="0" w:after="0"/>
        <w:ind w:left="0" w:right="0" w:hanging="360"/>
        <w:jc w:val="both"/>
        <w:rPr/>
      </w:pPr>
      <w:r>
        <w:rPr>
          <w:color w:val="000000"/>
        </w:rPr>
        <w:t>•</w:t>
      </w:r>
      <w:r>
        <w:rPr>
          <w:rFonts w:ascii="Times New Roman;serif" w:hAnsi="Times New Roman;serif"/>
          <w:b w:val="false"/>
          <w:color w:val="000000"/>
          <w:sz w:val="20"/>
        </w:rPr>
        <w:t>we decrease prices or are unable to increase prices on one or more products or services in response to increasing competitive pricing pressures;</w:t>
      </w:r>
    </w:p>
    <w:p>
      <w:pPr>
        <w:pStyle w:val="TextBody"/>
        <w:bidi w:val="0"/>
        <w:spacing w:lineRule="auto" w:line="240" w:before="0" w:after="0"/>
        <w:ind w:left="0" w:right="0" w:hanging="360"/>
        <w:jc w:val="both"/>
        <w:rPr/>
      </w:pPr>
      <w:r>
        <w:rPr>
          <w:color w:val="000000"/>
        </w:rPr>
        <w:t>•</w:t>
      </w:r>
      <w:r>
        <w:rPr>
          <w:rFonts w:ascii="Times New Roman;serif" w:hAnsi="Times New Roman;serif"/>
          <w:b w:val="false"/>
          <w:color w:val="000000"/>
          <w:sz w:val="20"/>
        </w:rPr>
        <w:t>we introduce new or change existing products or services, or modify how we market, lease or sell any of our new or existing products or services;</w:t>
      </w:r>
    </w:p>
    <w:p>
      <w:pPr>
        <w:pStyle w:val="TextBody"/>
        <w:bidi w:val="0"/>
        <w:spacing w:lineRule="auto" w:line="240" w:before="0" w:after="0"/>
        <w:ind w:left="0" w:right="0" w:hanging="360"/>
        <w:jc w:val="both"/>
        <w:rPr/>
      </w:pPr>
      <w:r>
        <w:rPr>
          <w:color w:val="000000"/>
        </w:rPr>
        <w:t>•</w:t>
      </w:r>
      <w:r>
        <w:rPr>
          <w:rFonts w:ascii="Times New Roman;serif" w:hAnsi="Times New Roman;serif"/>
          <w:b w:val="false"/>
          <w:color w:val="000000"/>
          <w:sz w:val="20"/>
        </w:rPr>
        <w:t>we modify our pricing strategies for certain products or adjust pricing for certain items based on cancellation fees, shipping and handling charges or processing fees;</w:t>
      </w:r>
    </w:p>
    <w:p>
      <w:pPr>
        <w:pStyle w:val="TextBody"/>
        <w:bidi w:val="0"/>
        <w:spacing w:lineRule="auto" w:line="240" w:before="0" w:after="0"/>
        <w:ind w:left="0" w:right="0" w:hanging="360"/>
        <w:jc w:val="both"/>
        <w:rPr/>
      </w:pPr>
      <w:r>
        <w:rPr>
          <w:color w:val="000000"/>
        </w:rPr>
        <w:t>•</w:t>
      </w:r>
      <w:r>
        <w:rPr>
          <w:rFonts w:ascii="Times New Roman;serif" w:hAnsi="Times New Roman;serif"/>
          <w:b w:val="false"/>
          <w:color w:val="000000"/>
          <w:sz w:val="20"/>
        </w:rPr>
        <w:t>we participate in government tenders, such as volume-based procurement in China; or</w:t>
      </w:r>
    </w:p>
    <w:p>
      <w:pPr>
        <w:pStyle w:val="TextBody"/>
        <w:bidi w:val="0"/>
        <w:spacing w:lineRule="auto" w:line="240" w:before="0" w:after="0"/>
        <w:ind w:left="0" w:right="0" w:hanging="360"/>
        <w:jc w:val="both"/>
        <w:rPr/>
      </w:pPr>
      <w:r>
        <w:rPr>
          <w:color w:val="000000"/>
        </w:rPr>
        <w:t>•</w:t>
      </w:r>
      <w:r>
        <w:rPr>
          <w:rFonts w:ascii="Times New Roman;serif" w:hAnsi="Times New Roman;serif"/>
          <w:b w:val="false"/>
          <w:color w:val="000000"/>
          <w:sz w:val="20"/>
        </w:rPr>
        <w:t xml:space="preserve">our critical accounting estimates materially differ from actual results. </w:t>
      </w:r>
    </w:p>
    <w:p>
      <w:pPr>
        <w:pStyle w:val="TextBody"/>
        <w:bidi w:val="0"/>
        <w:spacing w:before="0" w:after="0"/>
        <w:jc w:val="both"/>
        <w:rPr/>
      </w:pPr>
      <w:r>
        <w:rPr/>
      </w:r>
    </w:p>
    <w:p>
      <w:pPr>
        <w:pStyle w:val="TextBody"/>
        <w:bidi w:val="0"/>
        <w:spacing w:lineRule="auto" w:line="240"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a history of offering volume discounts, price reductions and other promotions to targeted customers and consumers and releasing lower priced products which have had, and may in the future have, unexpected and unintended consequences, including reduced net revenues, gross profit, operating profit and net income.</w:t>
      </w:r>
    </w:p>
    <w:p>
      <w:pPr>
        <w:pStyle w:val="TextBody"/>
        <w:bidi w:val="0"/>
        <w:spacing w:before="0" w:after="0"/>
        <w:ind w:left="0" w:right="0" w:firstLine="360"/>
        <w:jc w:val="both"/>
        <w:rPr/>
      </w:pPr>
      <w:r>
        <w:rPr/>
      </w:r>
    </w:p>
    <w:p>
      <w:pPr>
        <w:pStyle w:val="TextBody"/>
        <w:bidi w:val="0"/>
        <w:spacing w:lineRule="auto" w:line="240" w:before="0" w:after="0"/>
        <w:ind w:left="0" w:right="0" w:firstLine="360"/>
        <w:jc w:val="both"/>
        <w:rPr>
          <w:rFonts w:ascii="Times New Roman;serif" w:hAnsi="Times New Roman;serif"/>
          <w:b/>
          <w:i/>
          <w:color w:val="000000"/>
          <w:sz w:val="20"/>
        </w:rPr>
      </w:pPr>
      <w:r>
        <w:rPr>
          <w:rFonts w:ascii="Times New Roman;serif" w:hAnsi="Times New Roman;serif"/>
          <w:b/>
          <w:i/>
          <w:color w:val="000000"/>
          <w:sz w:val="20"/>
        </w:rPr>
        <w:t>Competition in the markets for our products and services is increasing.</w:t>
      </w:r>
    </w:p>
    <w:p>
      <w:pPr>
        <w:pStyle w:val="TextBody"/>
        <w:bidi w:val="0"/>
        <w:spacing w:before="0" w:after="0"/>
        <w:ind w:left="0" w:right="0" w:firstLine="360"/>
        <w:jc w:val="both"/>
        <w:rPr/>
      </w:pPr>
      <w:r>
        <w:rPr/>
      </w:r>
    </w:p>
    <w:p>
      <w:pPr>
        <w:pStyle w:val="TextBody"/>
        <w:bidi w:val="0"/>
        <w:spacing w:lineRule="auto" w:line="240"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dental industry is experiencing immense and rapid digital transformation and we may be unable to compete with existing competitors and emerging companies that introduce new technologies, products or services, and customers who alone or with others create orthodontic appliances and solutions or other products or services that compete with us. While our product portfolio facilitates this transition, our competitors may render our technology or products obsolete or economically unattractive, particularly as competitors incorporate AI and machine learning into new or existing services and technologies that facilitate changes in doctor-patient interactions, expectations and treatment workflows. We may be unable to devote adequate financial resources to develop or acquire new AI technologies and systems in the future and sufficiently meet evolving industry trends and consumer demands.</w:t>
      </w:r>
    </w:p>
    <w:p>
      <w:pPr>
        <w:pStyle w:val="TextBody"/>
        <w:bidi w:val="0"/>
        <w:spacing w:before="0" w:after="0"/>
        <w:ind w:left="0" w:right="0" w:firstLine="360"/>
        <w:jc w:val="both"/>
        <w:rPr/>
      </w:pPr>
      <w:r>
        <w:rPr/>
      </w:r>
    </w:p>
    <w:p>
      <w:pPr>
        <w:pStyle w:val="TextBody"/>
        <w:bidi w:val="0"/>
        <w:spacing w:lineRule="auto" w:line="240"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also face competition from traditional products and services, such as wires and brackets, which doctors have historically been able to purchase at a lower price point. We have and will likely continue to experience price-focused competition as we continue to expand into new markets, which could contribute to the commoditization of our products or services if we are unable to otherwise differentiate our offerings from those of our competitors. </w:t>
      </w:r>
    </w:p>
    <w:p>
      <w:pPr>
        <w:pStyle w:val="TextBody"/>
        <w:bidi w:val="0"/>
        <w:spacing w:lineRule="auto" w:line="240"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number and types of competitors we face are diverse and growing rapidly. The Invisalign System competes primarily against traditional wires and brackets and increasingly with clear aligners manufactured and distributed by new market entrants and existing competitors, including traditional medical device companies, laboratories, startups and, in some cases, doctors and DSOs. Our competitors also include DTC companies that provide clear aligners using a business model requiring little to no in-office care from trained and licensed doctors, and doctors and DSOs who manufacture custom aligners or procure products from third-party white-label providers. Large consumer product companies may also start supplying orthodontic products. Orthodontists, GPs and DSOs have and may continue to sample competitive and alternative products, take advantage of competitive promotions and sale opportunities, or engage in “bait and switch,” “margin steering” or similar practices that take advantage of the significant brand recognition of Invisalign to offer alternative products. </w:t>
      </w:r>
    </w:p>
    <w:p>
      <w:pPr>
        <w:pStyle w:val="TextBody"/>
        <w:bidi w:val="0"/>
        <w:spacing w:before="0" w:after="0"/>
        <w:ind w:left="0" w:right="0" w:firstLine="360"/>
        <w:jc w:val="both"/>
        <w:rPr/>
      </w:pPr>
      <w:r>
        <w:rPr/>
      </w:r>
    </w:p>
    <w:p>
      <w:pPr>
        <w:pStyle w:val="TextBody"/>
        <w:bidi w:val="0"/>
        <w:spacing w:lineRule="auto" w:line="240"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iTero intraoral scanners compete with polyvinyl siloxane impressions and numerous new and existing intraoral scanners and traditional impression methods, as well as traditional bite wing 2D dental X-rays and dental imaging systems that leverage near infrared imaging technology and AI for detecting interproximal caries. We have and may continue to experience competition with respect to our scanners and software solutions from competitors who introduce products at lower prices or with enhanced features or functionalities that better meets customer demand, including expansion of their portfolios in the digital ecosystem. If we are unable to compete effectively with existing products, existing competitors, new market entrants,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40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40 </w:t>
                      </w:r>
                    </w:p>
                  </w:txbxContent>
                </v:textbox>
                <w10:wrap type="none"/>
              </v:rect>
            </w:pict>
          </mc:Fallback>
        </mc:AlternateContent>
      </w:r>
    </w:p>
    <w:p>
      <w:pPr>
        <w:pStyle w:val="TextBody"/>
        <w:bidi w:val="0"/>
        <w:spacing w:lineRule="auto" w:line="288" w:before="0" w:after="0"/>
        <w:jc w:val="left"/>
        <w:rPr/>
      </w:pPr>
      <w:hyperlink w:anchor="i7a02b169d6be4765847899a2d1aa61f4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respond effectively to new technologies, our business, financial condition, and results of operations could be materially adversely impacted.</w:t>
      </w:r>
    </w:p>
    <w:p>
      <w:pPr>
        <w:pStyle w:val="TextBody"/>
        <w:bidi w:val="0"/>
        <w:spacing w:before="0" w:after="0"/>
        <w:ind w:left="0" w:right="0" w:firstLine="360"/>
        <w:jc w:val="both"/>
        <w:rPr/>
      </w:pPr>
      <w:r>
        <w:rPr/>
      </w:r>
    </w:p>
    <w:p>
      <w:pPr>
        <w:pStyle w:val="TextBody"/>
        <w:bidi w:val="0"/>
        <w:spacing w:lineRule="auto" w:line="240" w:before="0" w:after="0"/>
        <w:ind w:left="0" w:right="0" w:firstLine="360"/>
        <w:jc w:val="both"/>
        <w:rPr>
          <w:rFonts w:ascii="Times New Roman;serif" w:hAnsi="Times New Roman;serif"/>
          <w:b/>
          <w:i/>
          <w:color w:val="000000"/>
          <w:sz w:val="20"/>
        </w:rPr>
      </w:pPr>
      <w:r>
        <w:rPr>
          <w:rFonts w:ascii="Times New Roman;serif" w:hAnsi="Times New Roman;serif"/>
          <w:b/>
          <w:i/>
          <w:color w:val="000000"/>
          <w:sz w:val="20"/>
        </w:rPr>
        <w:t>Our success depends on our ability to quickly and profitably develop, manufacture, market, and obtain and maintain regulatory approvals or clearances of new, improved or refurbished products and services.</w:t>
      </w:r>
    </w:p>
    <w:p>
      <w:pPr>
        <w:pStyle w:val="TextBody"/>
        <w:bidi w:val="0"/>
        <w:spacing w:before="0" w:after="0"/>
        <w:ind w:left="0" w:right="0" w:firstLine="360"/>
        <w:jc w:val="both"/>
        <w:rPr/>
      </w:pPr>
      <w:r>
        <w:rPr/>
      </w:r>
    </w:p>
    <w:p>
      <w:pPr>
        <w:pStyle w:val="TextBody"/>
        <w:bidi w:val="0"/>
        <w:spacing w:lineRule="auto" w:line="240"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extent and rate at which our products or services achieve market acceptance and penetration depends on many factors, including our ability to:</w:t>
      </w:r>
    </w:p>
    <w:p>
      <w:pPr>
        <w:pStyle w:val="TextBody"/>
        <w:bidi w:val="0"/>
        <w:spacing w:before="0" w:after="0"/>
        <w:jc w:val="both"/>
        <w:rPr/>
      </w:pPr>
      <w:r>
        <w:rPr/>
      </w:r>
    </w:p>
    <w:p>
      <w:pPr>
        <w:pStyle w:val="TextBody"/>
        <w:bidi w:val="0"/>
        <w:spacing w:lineRule="auto" w:line="240" w:before="0" w:after="0"/>
        <w:ind w:left="0" w:right="0" w:hanging="360"/>
        <w:jc w:val="both"/>
        <w:rPr/>
      </w:pPr>
      <w:r>
        <w:rPr>
          <w:color w:val="000000"/>
        </w:rPr>
        <w:t>•</w:t>
      </w:r>
      <w:r>
        <w:rPr>
          <w:rFonts w:ascii="Times New Roman;serif" w:hAnsi="Times New Roman;serif"/>
          <w:b w:val="false"/>
          <w:color w:val="000000"/>
          <w:sz w:val="20"/>
        </w:rPr>
        <w:t>cost-effectively and efficiently predict, timely innovate, develop, manufacture, quality test, market, launch, dispose of and sell new or improved technologies, applications, features, products and services to meet market demand and keep pace with changes in technology, customers’ demands and industry standards;</w:t>
      </w:r>
    </w:p>
    <w:p>
      <w:pPr>
        <w:pStyle w:val="TextBody"/>
        <w:bidi w:val="0"/>
        <w:spacing w:lineRule="auto" w:line="240" w:before="0" w:after="0"/>
        <w:ind w:left="0" w:right="0" w:hanging="360"/>
        <w:jc w:val="both"/>
        <w:rPr/>
      </w:pPr>
      <w:r>
        <w:rPr>
          <w:color w:val="000000"/>
        </w:rPr>
        <w:t>•</w:t>
      </w:r>
      <w:r>
        <w:rPr>
          <w:rFonts w:ascii="Times New Roman;serif" w:hAnsi="Times New Roman;serif"/>
          <w:b w:val="false"/>
          <w:color w:val="000000"/>
          <w:sz w:val="20"/>
        </w:rPr>
        <w:t>successfully and timely obtain and maintain regulatory approvals or clearances of new or improved products or services from government agencies such as the FDA and analogous agencies in other countries;</w:t>
      </w:r>
    </w:p>
    <w:p>
      <w:pPr>
        <w:pStyle w:val="TextBody"/>
        <w:bidi w:val="0"/>
        <w:spacing w:lineRule="auto" w:line="240" w:before="0" w:after="0"/>
        <w:ind w:left="0" w:right="0" w:hanging="360"/>
        <w:jc w:val="both"/>
        <w:rPr/>
      </w:pPr>
      <w:r>
        <w:rPr>
          <w:color w:val="000000"/>
        </w:rPr>
        <w:t>•</w:t>
      </w:r>
      <w:r>
        <w:rPr>
          <w:rFonts w:ascii="Times New Roman;serif" w:hAnsi="Times New Roman;serif"/>
          <w:b w:val="false"/>
          <w:color w:val="000000"/>
          <w:sz w:val="20"/>
        </w:rPr>
        <w:t xml:space="preserve">properly forecast the amount and timing of new or improved product and services demand; </w:t>
      </w:r>
    </w:p>
    <w:p>
      <w:pPr>
        <w:pStyle w:val="TextBody"/>
        <w:bidi w:val="0"/>
        <w:spacing w:lineRule="auto" w:line="240" w:before="0" w:after="0"/>
        <w:ind w:left="0" w:right="0" w:hanging="360"/>
        <w:jc w:val="both"/>
        <w:rPr/>
      </w:pPr>
      <w:r>
        <w:rPr>
          <w:color w:val="000000"/>
        </w:rPr>
        <w:t>•</w:t>
      </w:r>
      <w:r>
        <w:rPr>
          <w:rFonts w:ascii="Times New Roman;serif" w:hAnsi="Times New Roman;serif"/>
          <w:b w:val="false"/>
          <w:color w:val="000000"/>
          <w:sz w:val="20"/>
        </w:rPr>
        <w:t>allocate our research and development funding to products and services with higher growth prospects;</w:t>
      </w:r>
    </w:p>
    <w:p>
      <w:pPr>
        <w:pStyle w:val="TextBody"/>
        <w:bidi w:val="0"/>
        <w:spacing w:lineRule="auto" w:line="240" w:before="0" w:after="0"/>
        <w:ind w:left="0" w:right="0" w:hanging="360"/>
        <w:jc w:val="both"/>
        <w:rPr/>
      </w:pPr>
      <w:r>
        <w:rPr>
          <w:color w:val="000000"/>
        </w:rPr>
        <w:t>•</w:t>
      </w:r>
      <w:r>
        <w:rPr>
          <w:rFonts w:ascii="Times New Roman;serif" w:hAnsi="Times New Roman;serif"/>
          <w:b w:val="false"/>
          <w:color w:val="000000"/>
          <w:sz w:val="20"/>
        </w:rPr>
        <w:t>ensure the compatibility of our technology, services and systems with those of our customers;</w:t>
      </w:r>
    </w:p>
    <w:p>
      <w:pPr>
        <w:pStyle w:val="TextBody"/>
        <w:bidi w:val="0"/>
        <w:spacing w:lineRule="auto" w:line="240" w:before="0" w:after="0"/>
        <w:ind w:left="0" w:right="0" w:hanging="360"/>
        <w:jc w:val="both"/>
        <w:rPr/>
      </w:pPr>
      <w:r>
        <w:rPr>
          <w:color w:val="000000"/>
        </w:rPr>
        <w:t>•</w:t>
      </w:r>
      <w:r>
        <w:rPr>
          <w:rFonts w:ascii="Times New Roman;serif" w:hAnsi="Times New Roman;serif"/>
          <w:b w:val="false"/>
          <w:color w:val="000000"/>
          <w:sz w:val="20"/>
        </w:rPr>
        <w:t>anticipate and rapidly innovate in response to new competitive offerings and technologies;</w:t>
      </w:r>
    </w:p>
    <w:p>
      <w:pPr>
        <w:pStyle w:val="TextBody"/>
        <w:bidi w:val="0"/>
        <w:spacing w:lineRule="auto" w:line="240" w:before="0" w:after="0"/>
        <w:ind w:left="0" w:right="0" w:hanging="360"/>
        <w:jc w:val="both"/>
        <w:rPr/>
      </w:pPr>
      <w:r>
        <w:rPr>
          <w:color w:val="000000"/>
        </w:rPr>
        <w:t>•</w:t>
      </w:r>
      <w:r>
        <w:rPr>
          <w:rFonts w:ascii="Times New Roman;serif" w:hAnsi="Times New Roman;serif"/>
          <w:b w:val="false"/>
          <w:color w:val="000000"/>
          <w:sz w:val="20"/>
        </w:rPr>
        <w:t>differentiate our products and services from those of our competitors as well as other products and services in our own portfolio and successfully articulate the benefits to potential customers;</w:t>
      </w:r>
    </w:p>
    <w:p>
      <w:pPr>
        <w:pStyle w:val="TextBody"/>
        <w:bidi w:val="0"/>
        <w:spacing w:lineRule="auto" w:line="240" w:before="0" w:after="0"/>
        <w:ind w:left="0" w:right="0" w:hanging="360"/>
        <w:jc w:val="both"/>
        <w:rPr/>
      </w:pPr>
      <w:r>
        <w:rPr>
          <w:color w:val="000000"/>
        </w:rPr>
        <w:t>•</w:t>
      </w:r>
      <w:r>
        <w:rPr>
          <w:rFonts w:ascii="Times New Roman;serif" w:hAnsi="Times New Roman;serif"/>
          <w:b w:val="false"/>
          <w:color w:val="000000"/>
          <w:sz w:val="20"/>
        </w:rPr>
        <w:t>design and manufacture products that achieve the clinical and practice outcomes necessary for market acceptance;</w:t>
      </w:r>
    </w:p>
    <w:p>
      <w:pPr>
        <w:pStyle w:val="TextBody"/>
        <w:bidi w:val="0"/>
        <w:spacing w:lineRule="auto" w:line="240" w:before="0" w:after="0"/>
        <w:ind w:left="0" w:right="0" w:hanging="360"/>
        <w:jc w:val="both"/>
        <w:rPr/>
      </w:pPr>
      <w:r>
        <w:rPr>
          <w:color w:val="000000"/>
        </w:rPr>
        <w:t>•</w:t>
      </w:r>
      <w:r>
        <w:rPr>
          <w:rFonts w:ascii="Times New Roman;serif" w:hAnsi="Times New Roman;serif"/>
          <w:b w:val="false"/>
          <w:color w:val="000000"/>
          <w:sz w:val="20"/>
        </w:rPr>
        <w:t>manage the impact of nationalism or initiatives encouraging consumer purchases from domestic vendors;</w:t>
      </w:r>
    </w:p>
    <w:p>
      <w:pPr>
        <w:pStyle w:val="TextBody"/>
        <w:bidi w:val="0"/>
        <w:spacing w:lineRule="auto" w:line="240" w:before="0" w:after="0"/>
        <w:ind w:left="0" w:right="0" w:hanging="360"/>
        <w:jc w:val="both"/>
        <w:rPr/>
      </w:pPr>
      <w:r>
        <w:rPr>
          <w:color w:val="000000"/>
        </w:rPr>
        <w:t>•</w:t>
      </w:r>
      <w:r>
        <w:rPr>
          <w:rFonts w:ascii="Times New Roman;serif" w:hAnsi="Times New Roman;serif"/>
          <w:b w:val="false"/>
          <w:color w:val="000000"/>
          <w:sz w:val="20"/>
        </w:rPr>
        <w:t xml:space="preserve">qualify for third-party reimbursement for procedures involving our products or services; </w:t>
      </w:r>
    </w:p>
    <w:p>
      <w:pPr>
        <w:pStyle w:val="TextBody"/>
        <w:bidi w:val="0"/>
        <w:spacing w:lineRule="auto" w:line="240" w:before="0" w:after="0"/>
        <w:ind w:left="0" w:right="0" w:hanging="360"/>
        <w:jc w:val="both"/>
        <w:rPr/>
      </w:pPr>
      <w:r>
        <w:rPr>
          <w:color w:val="000000"/>
        </w:rPr>
        <w:t>•</w:t>
      </w:r>
      <w:r>
        <w:rPr>
          <w:rFonts w:ascii="Times New Roman;serif" w:hAnsi="Times New Roman;serif"/>
          <w:b w:val="false"/>
          <w:color w:val="000000"/>
          <w:sz w:val="20"/>
        </w:rPr>
        <w:t xml:space="preserve">offer attractive and competitive products, services and subscription plans; </w:t>
      </w:r>
    </w:p>
    <w:p>
      <w:pPr>
        <w:pStyle w:val="TextBody"/>
        <w:bidi w:val="0"/>
        <w:spacing w:lineRule="auto" w:line="240" w:before="0" w:after="0"/>
        <w:ind w:left="0" w:right="0" w:hanging="360"/>
        <w:jc w:val="both"/>
        <w:rPr/>
      </w:pPr>
      <w:r>
        <w:rPr>
          <w:color w:val="000000"/>
        </w:rPr>
        <w:t>•</w:t>
      </w:r>
      <w:r>
        <w:rPr>
          <w:rFonts w:ascii="Times New Roman;serif" w:hAnsi="Times New Roman;serif"/>
          <w:b w:val="false"/>
          <w:color w:val="000000"/>
          <w:sz w:val="20"/>
        </w:rPr>
        <w:t xml:space="preserve">encourage customers to adopt new or improved technologies and provide the needed technical, sales and marketing support to make new or improved product and services launches successful; </w:t>
      </w:r>
    </w:p>
    <w:p>
      <w:pPr>
        <w:pStyle w:val="TextBody"/>
        <w:bidi w:val="0"/>
        <w:spacing w:lineRule="auto" w:line="240" w:before="0" w:after="0"/>
        <w:ind w:left="0" w:right="0" w:hanging="360"/>
        <w:jc w:val="both"/>
        <w:rPr/>
      </w:pPr>
      <w:r>
        <w:rPr>
          <w:color w:val="000000"/>
        </w:rPr>
        <w:t>•</w:t>
      </w:r>
      <w:r>
        <w:rPr>
          <w:rFonts w:ascii="Times New Roman;serif" w:hAnsi="Times New Roman;serif"/>
          <w:b w:val="false"/>
          <w:color w:val="000000"/>
          <w:sz w:val="20"/>
        </w:rPr>
        <w:t>manage government procurement program restrictions; and</w:t>
      </w:r>
    </w:p>
    <w:p>
      <w:pPr>
        <w:pStyle w:val="TextBody"/>
        <w:bidi w:val="0"/>
        <w:spacing w:lineRule="auto" w:line="240" w:before="0" w:after="0"/>
        <w:ind w:left="0" w:right="0" w:hanging="360"/>
        <w:jc w:val="both"/>
        <w:rPr/>
      </w:pPr>
      <w:r>
        <w:rPr>
          <w:color w:val="000000"/>
        </w:rPr>
        <w:t>•</w:t>
      </w:r>
      <w:r>
        <w:rPr>
          <w:rFonts w:ascii="Times New Roman;serif" w:hAnsi="Times New Roman;serif"/>
          <w:b w:val="false"/>
          <w:color w:val="000000"/>
          <w:sz w:val="20"/>
        </w:rPr>
        <w:t>source and receive quality raw materials or parts from our suppliers.</w:t>
      </w:r>
    </w:p>
    <w:p>
      <w:pPr>
        <w:pStyle w:val="TextBody"/>
        <w:bidi w:val="0"/>
        <w:spacing w:before="0" w:after="0"/>
        <w:jc w:val="both"/>
        <w:rPr/>
      </w:pPr>
      <w:r>
        <w:rPr/>
      </w:r>
    </w:p>
    <w:p>
      <w:pPr>
        <w:pStyle w:val="TextBody"/>
        <w:bidi w:val="0"/>
        <w:spacing w:lineRule="auto" w:line="240"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we fail to accurately predict the needs and preferences of customers and their patients, or fail to offer viable products or services, we may invest heavily in research and development that does not lead to significant revenues. Even if we successfully innovate and develop new or improved products and services, we may incur substantial costs doing so and our profitability may suffer. Introduction and acceptance of any products and services may take significant time and effort, particularly if they require doctor education and training to understand their benefits or doctors choose to withhold judgment on a product or service until patients complete their treatments. In addition, we periodically introduce new business and sales initiatives to meet customers’ needs and demands, which may not be successful and may involve short-term execution challenges. Should these initiatives fail, our business, financial condition and results of operations could be materially adversely impacted.</w:t>
      </w:r>
    </w:p>
    <w:p>
      <w:pPr>
        <w:pStyle w:val="TextBody"/>
        <w:bidi w:val="0"/>
        <w:spacing w:before="0" w:after="0"/>
        <w:jc w:val="both"/>
        <w:rPr/>
      </w:pPr>
      <w:r>
        <w:rPr/>
      </w:r>
    </w:p>
    <w:p>
      <w:pPr>
        <w:pStyle w:val="TextBody"/>
        <w:bidi w:val="0"/>
        <w:spacing w:lineRule="auto" w:line="240" w:before="0" w:after="0"/>
        <w:ind w:left="0" w:right="0" w:firstLine="360"/>
        <w:jc w:val="both"/>
        <w:rPr>
          <w:rFonts w:ascii="Times New Roman;serif" w:hAnsi="Times New Roman;serif"/>
          <w:b/>
          <w:i/>
          <w:color w:val="000000"/>
          <w:sz w:val="20"/>
        </w:rPr>
      </w:pPr>
      <w:r>
        <w:rPr>
          <w:rFonts w:ascii="Times New Roman;serif" w:hAnsi="Times New Roman;serif"/>
          <w:b/>
          <w:i/>
          <w:color w:val="000000"/>
          <w:sz w:val="20"/>
        </w:rPr>
        <w:t>We may not realize the anticipated benefits of acquisitions, investments or other strategic transactions, and they may require significant management attention, disrupt our business, dilute stockholder value or adversely affect our business, financial condition and results of operations.</w:t>
      </w:r>
    </w:p>
    <w:p>
      <w:pPr>
        <w:pStyle w:val="TextBody"/>
        <w:bidi w:val="0"/>
        <w:spacing w:before="0" w:after="0"/>
        <w:ind w:left="0" w:right="0" w:firstLine="360"/>
        <w:jc w:val="both"/>
        <w:rPr/>
      </w:pPr>
      <w:r>
        <w:rPr/>
      </w:r>
    </w:p>
    <w:p>
      <w:pPr>
        <w:pStyle w:val="TextBody"/>
        <w:bidi w:val="0"/>
        <w:spacing w:lineRule="auto" w:line="240"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and may in the future acquire, or make investments in, companies, businesses, products, technologies or other assets, which may not ultimately strengthen our competitive position or achieve our desired synergies and integration. Alternatively, we may be unable to find suitable investment or acquisition opportunities or be unable to complete investments or acquisitions on favorable terms. We are subject to various risks when making a strategic investment or acquisition and integrating the operations and cultures of acquired businesses within our own, including that we may:</w:t>
      </w:r>
    </w:p>
    <w:p>
      <w:pPr>
        <w:pStyle w:val="TextBody"/>
        <w:bidi w:val="0"/>
        <w:spacing w:before="0" w:after="0"/>
        <w:jc w:val="both"/>
        <w:rPr/>
      </w:pPr>
      <w:r>
        <w:rPr/>
      </w:r>
    </w:p>
    <w:p>
      <w:pPr>
        <w:pStyle w:val="TextBody"/>
        <w:bidi w:val="0"/>
        <w:spacing w:lineRule="auto" w:line="240" w:before="0" w:after="0"/>
        <w:ind w:left="0" w:right="0" w:hanging="360"/>
        <w:jc w:val="both"/>
        <w:rPr/>
      </w:pPr>
      <w:r>
        <w:rPr>
          <w:color w:val="000000"/>
        </w:rPr>
        <w:t>•</w:t>
      </w:r>
      <w:r>
        <w:rPr>
          <w:rFonts w:ascii="Times New Roman;serif" w:hAnsi="Times New Roman;serif"/>
          <w:b w:val="false"/>
          <w:color w:val="000000"/>
          <w:sz w:val="20"/>
        </w:rPr>
        <w:t>ultimately own less than a majority of the outstanding shares of the company and be unable to control or have significant influence over critical issues that could harm the value of our investment;</w:t>
      </w:r>
    </w:p>
    <w:p>
      <w:pPr>
        <w:pStyle w:val="TextBody"/>
        <w:bidi w:val="0"/>
        <w:spacing w:lineRule="auto" w:line="240" w:before="0" w:after="0"/>
        <w:ind w:left="0" w:right="0" w:hanging="360"/>
        <w:jc w:val="both"/>
        <w:rPr/>
      </w:pPr>
      <w:r>
        <w:rPr>
          <w:color w:val="000000"/>
        </w:rPr>
        <w:t>•</w:t>
      </w:r>
      <w:r>
        <w:rPr>
          <w:rFonts w:ascii="Times New Roman;serif" w:hAnsi="Times New Roman;serif"/>
          <w:b w:val="false"/>
          <w:color w:val="000000"/>
          <w:sz w:val="20"/>
        </w:rPr>
        <w:t xml:space="preserve">fail to perform proper due diligence and inherit unexpected material issues or assets, including intellectual property (“IP”) or other litigation or ongoing investigations, accounting irregularities or compliance liabilities; </w:t>
      </w:r>
    </w:p>
    <w:p>
      <w:pPr>
        <w:pStyle w:val="TextBody"/>
        <w:bidi w:val="0"/>
        <w:spacing w:lineRule="auto" w:line="240" w:before="0" w:after="0"/>
        <w:ind w:left="0" w:right="0" w:hanging="360"/>
        <w:jc w:val="both"/>
        <w:rPr/>
      </w:pPr>
      <w:r>
        <w:rPr>
          <w:color w:val="000000"/>
        </w:rPr>
        <w:t>•</w:t>
      </w:r>
      <w:r>
        <w:rPr>
          <w:rFonts w:ascii="Times New Roman;serif" w:hAnsi="Times New Roman;serif"/>
          <w:b w:val="false"/>
          <w:color w:val="000000"/>
          <w:sz w:val="20"/>
        </w:rPr>
        <w:t>experience information technology (“IT”) security and privacy compliance issues;</w:t>
      </w:r>
    </w:p>
    <w:p>
      <w:pPr>
        <w:pStyle w:val="TextBody"/>
        <w:bidi w:val="0"/>
        <w:spacing w:lineRule="auto" w:line="240" w:before="0" w:after="0"/>
        <w:ind w:left="0" w:right="0" w:hanging="360"/>
        <w:jc w:val="both"/>
        <w:rPr/>
      </w:pPr>
      <w:r>
        <w:rPr>
          <w:color w:val="000000"/>
        </w:rPr>
        <w:t>•</w:t>
      </w:r>
      <w:r>
        <w:rPr>
          <w:rFonts w:ascii="Times New Roman;serif" w:hAnsi="Times New Roman;serif"/>
          <w:b w:val="false"/>
          <w:color w:val="000000"/>
          <w:sz w:val="20"/>
        </w:rPr>
        <w:t>invest in companies that generate net losses or are slow or fail to develop;</w:t>
      </w:r>
    </w:p>
    <w:p>
      <w:pPr>
        <w:pStyle w:val="TextBody"/>
        <w:bidi w:val="0"/>
        <w:spacing w:lineRule="auto" w:line="240" w:before="0" w:after="0"/>
        <w:ind w:left="0" w:right="0" w:hanging="360"/>
        <w:jc w:val="both"/>
        <w:rPr/>
      </w:pPr>
      <w:r>
        <w:rPr>
          <w:color w:val="000000"/>
        </w:rPr>
        <w:t>•</w:t>
      </w:r>
      <w:r>
        <w:rPr>
          <w:rFonts w:ascii="Times New Roman;serif" w:hAnsi="Times New Roman;serif"/>
          <w:b w:val="false"/>
          <w:color w:val="000000"/>
          <w:sz w:val="20"/>
        </w:rPr>
        <w:t>not realize a positive return on our investment or determine that investments have declined in value, which could require recording impairments;</w:t>
      </w:r>
    </w:p>
    <w:p>
      <w:pPr>
        <w:pStyle w:val="TextBody"/>
        <w:bidi w:val="0"/>
        <w:spacing w:lineRule="auto" w:line="240" w:before="0" w:after="0"/>
        <w:ind w:left="0" w:right="0" w:hanging="360"/>
        <w:jc w:val="both"/>
        <w:rPr/>
      </w:pPr>
      <w:r>
        <w:rPr>
          <w:color w:val="000000"/>
        </w:rPr>
        <w:t>•</w:t>
      </w:r>
      <w:r>
        <w:rPr>
          <w:rFonts w:ascii="Times New Roman;serif" w:hAnsi="Times New Roman;serif"/>
          <w:b w:val="false"/>
          <w:color w:val="000000"/>
          <w:sz w:val="20"/>
        </w:rPr>
        <w:t>need to pay cash, incur debt or issue equity securities to pay for an acquisition, adversely affecting our liquidity, financial condition or the trading price of our common stock;</w:t>
      </w:r>
    </w:p>
    <w:p>
      <w:pPr>
        <w:pStyle w:val="TextBody"/>
        <w:bidi w:val="0"/>
        <w:spacing w:lineRule="auto" w:line="240" w:before="0" w:after="0"/>
        <w:ind w:left="0" w:right="0" w:hanging="360"/>
        <w:jc w:val="both"/>
        <w:rPr/>
      </w:pPr>
      <w:r>
        <w:rPr>
          <w:color w:val="000000"/>
        </w:rPr>
        <w:t>•</w:t>
      </w:r>
      <w:r>
        <w:rPr>
          <w:rFonts w:ascii="Times New Roman;serif" w:hAnsi="Times New Roman;serif"/>
          <w:b w:val="false"/>
          <w:color w:val="000000"/>
          <w:sz w:val="20"/>
        </w:rPr>
        <w:t>find it difficult to implement and harmonize company-wide financial reporting, forecasting and budgeting, accounting, billing, IT and other systems due to inconsistencies in standards, internal controls, procedures and policies;</w:t>
      </w:r>
    </w:p>
    <w:p>
      <w:pPr>
        <w:pStyle w:val="TextBody"/>
        <w:bidi w:val="0"/>
        <w:spacing w:lineRule="auto" w:line="240" w:before="0" w:after="0"/>
        <w:ind w:left="0" w:right="0" w:hanging="360"/>
        <w:jc w:val="both"/>
        <w:rPr/>
      </w:pPr>
      <w:r>
        <w:rPr>
          <w:color w:val="000000"/>
        </w:rPr>
        <w:t>•</w:t>
      </w:r>
      <w:r>
        <w:rPr>
          <w:rFonts w:ascii="Times New Roman;serif" w:hAnsi="Times New Roman;serif"/>
          <w:b w:val="false"/>
          <w:color w:val="000000"/>
          <w:sz w:val="20"/>
        </w:rPr>
        <w:t>require significant time and resources to effectuate the integration;</w:t>
      </w:r>
    </w:p>
    <w:p>
      <w:pPr>
        <w:pStyle w:val="TextBody"/>
        <w:bidi w:val="0"/>
        <w:spacing w:lineRule="auto" w:line="240" w:before="0" w:after="0"/>
        <w:ind w:left="0" w:right="0" w:hanging="360"/>
        <w:jc w:val="both"/>
        <w:rPr/>
      </w:pPr>
      <w:r>
        <w:rPr>
          <w:color w:val="000000"/>
        </w:rPr>
        <w:t>•</w:t>
      </w:r>
      <w:r>
        <w:rPr>
          <w:rFonts w:ascii="Times New Roman;serif" w:hAnsi="Times New Roman;serif"/>
          <w:b w:val="false"/>
          <w:color w:val="000000"/>
          <w:sz w:val="20"/>
        </w:rPr>
        <w:t>fail to retain key personnel or harm our existing culture or the culture of an acquired entity;</w:t>
      </w:r>
    </w:p>
    <w:p>
      <w:pPr>
        <w:pStyle w:val="TextBody"/>
        <w:bidi w:val="0"/>
        <w:spacing w:lineRule="auto" w:line="240" w:before="0" w:after="0"/>
        <w:ind w:left="0" w:right="0" w:hanging="360"/>
        <w:jc w:val="both"/>
        <w:rPr/>
      </w:pPr>
      <w:r>
        <w:rPr>
          <w:color w:val="000000"/>
        </w:rPr>
        <w:t>•</w:t>
      </w:r>
      <w:r>
        <w:rPr>
          <w:rFonts w:ascii="Times New Roman;serif" w:hAnsi="Times New Roman;serif"/>
          <w:b w:val="false"/>
          <w:color w:val="000000"/>
          <w:sz w:val="20"/>
        </w:rPr>
        <w:t>not realize material portions of the expected synergies and benefits of the investment or acquisition; or</w:t>
      </w:r>
    </w:p>
    <w:p>
      <w:pPr>
        <w:pStyle w:val="TextBody"/>
        <w:bidi w:val="0"/>
        <w:spacing w:lineRule="auto" w:line="240" w:before="0" w:after="0"/>
        <w:ind w:left="0" w:right="0" w:hanging="360"/>
        <w:jc w:val="both"/>
        <w:rPr/>
      </w:pPr>
      <w:r>
        <w:rPr>
          <w:color w:val="000000"/>
        </w:rPr>
        <w:t>•</w:t>
      </w:r>
      <w:r>
        <w:rPr>
          <w:rFonts w:ascii="Times New Roman;serif" w:hAnsi="Times New Roman;serif"/>
          <w:b w:val="false"/>
          <w:color w:val="000000"/>
          <w:sz w:val="20"/>
        </w:rPr>
        <w:t>unsuccessfully evaluate or utilize the acquired technology or acquired company’s know-how or fail to successfully integrate the technologies acquired.</w:t>
      </w:r>
    </w:p>
    <w:p>
      <w:pPr>
        <w:pStyle w:val="TextBody"/>
        <w:bidi w:val="0"/>
        <w:spacing w:before="0" w:after="0"/>
        <w:jc w:val="both"/>
        <w:rPr/>
      </w:pPr>
      <w:r>
        <w:rPr/>
      </w:r>
    </w:p>
    <w:p>
      <w:pPr>
        <w:pStyle w:val="TextBody"/>
        <w:bidi w:val="0"/>
        <w:spacing w:before="0" w:after="0"/>
        <w:ind w:left="0" w:right="0" w:firstLine="360"/>
        <w:jc w:val="both"/>
        <w:rPr/>
      </w:pPr>
      <w:r>
        <w:rPr/>
      </w:r>
    </w:p>
    <w:p>
      <w:pPr>
        <w:pStyle w:val="TextBody"/>
        <w:bidi w:val="0"/>
        <w:spacing w:lineRule="auto" w:line="240" w:before="0" w:after="0"/>
        <w:jc w:val="both"/>
        <w:rPr>
          <w:rFonts w:ascii="Times New Roman;serif" w:hAnsi="Times New Roman;serif"/>
          <w:b/>
          <w:color w:val="333333"/>
          <w:sz w:val="20"/>
          <w:u w:val="single"/>
        </w:rPr>
      </w:pPr>
      <w:r>
        <w:rPr>
          <w:rFonts w:ascii="Times New Roman;serif" w:hAnsi="Times New Roman;serif"/>
          <w:b/>
          <w:color w:val="333333"/>
          <w:sz w:val="20"/>
          <w:u w:val="single"/>
        </w:rPr>
        <w:t>Operational Risks</w:t>
      </w:r>
    </w:p>
    <w:p>
      <w:pPr>
        <w:pStyle w:val="TextBody"/>
        <w:bidi w:val="0"/>
        <w:spacing w:before="0" w:after="0"/>
        <w:jc w:val="both"/>
        <w:rPr/>
      </w:pPr>
      <w:r>
        <w:rPr/>
      </w:r>
    </w:p>
    <w:p>
      <w:pPr>
        <w:pStyle w:val="TextBody"/>
        <w:bidi w:val="0"/>
        <w:spacing w:lineRule="auto" w:line="240" w:before="0" w:after="0"/>
        <w:ind w:left="0" w:right="0" w:firstLine="360"/>
        <w:jc w:val="both"/>
        <w:rPr/>
      </w:pPr>
      <w:r>
        <w:rPr>
          <w:rFonts w:ascii="Times New Roman;serif" w:hAnsi="Times New Roman;serif"/>
          <w:b/>
          <w:i/>
          <w:color w:val="000000"/>
          <w:sz w:val="20"/>
        </w:rPr>
        <w:t>Our quarterly and annual</w:t>
      </w:r>
      <w:r>
        <w:rPr>
          <w:color w:val="000000"/>
        </w:rPr>
        <w:t xml:space="preserve"> </w:t>
      </w:r>
      <w:r>
        <w:rPr>
          <w:rFonts w:ascii="Times New Roman;serif" w:hAnsi="Times New Roman;serif"/>
          <w:b/>
          <w:i/>
          <w:color w:val="000000"/>
          <w:sz w:val="20"/>
        </w:rPr>
        <w:t>results of operations have and will continue to fluctuate in the future, and we may not accurately predict the timing and amount of customer demand and our revenues, costs, and expenditures.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41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41 </w:t>
                      </w:r>
                    </w:p>
                  </w:txbxContent>
                </v:textbox>
                <w10:wrap type="none"/>
              </v:rect>
            </w:pict>
          </mc:Fallback>
        </mc:AlternateContent>
      </w:r>
    </w:p>
    <w:p>
      <w:pPr>
        <w:pStyle w:val="TextBody"/>
        <w:bidi w:val="0"/>
        <w:spacing w:lineRule="auto" w:line="288" w:before="0" w:after="0"/>
        <w:jc w:val="left"/>
        <w:rPr/>
      </w:pPr>
      <w:hyperlink w:anchor="i7a02b169d6be4765847899a2d1aa61f4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before="0" w:after="0"/>
        <w:ind w:left="0" w:right="0" w:firstLine="360"/>
        <w:jc w:val="both"/>
        <w:rPr/>
      </w:pPr>
      <w:r>
        <w:rPr/>
      </w:r>
    </w:p>
    <w:p>
      <w:pPr>
        <w:pStyle w:val="TextBody"/>
        <w:bidi w:val="0"/>
        <w:spacing w:lineRule="auto" w:line="240"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Some of the factors that have and could in the future cause our operating results to fluctuate include:</w:t>
      </w:r>
    </w:p>
    <w:p>
      <w:pPr>
        <w:pStyle w:val="TextBody"/>
        <w:bidi w:val="0"/>
        <w:spacing w:before="0" w:after="0"/>
        <w:jc w:val="both"/>
        <w:rPr/>
      </w:pPr>
      <w:r>
        <w:rPr/>
      </w:r>
    </w:p>
    <w:p>
      <w:pPr>
        <w:pStyle w:val="TextBody"/>
        <w:bidi w:val="0"/>
        <w:spacing w:lineRule="auto" w:line="240" w:before="0" w:after="0"/>
        <w:ind w:left="0" w:right="0" w:hanging="360"/>
        <w:jc w:val="both"/>
        <w:rPr/>
      </w:pPr>
      <w:r>
        <w:rPr>
          <w:color w:val="000000"/>
        </w:rPr>
        <w:t>•</w:t>
      </w:r>
      <w:r>
        <w:rPr>
          <w:rFonts w:ascii="Times New Roman;serif" w:hAnsi="Times New Roman;serif"/>
          <w:b w:val="false"/>
          <w:color w:val="000000"/>
          <w:sz w:val="20"/>
        </w:rPr>
        <w:t>changes in consumer, customer and industry demand;</w:t>
      </w:r>
    </w:p>
    <w:p>
      <w:pPr>
        <w:pStyle w:val="TextBody"/>
        <w:bidi w:val="0"/>
        <w:spacing w:lineRule="auto" w:line="240" w:before="0" w:after="0"/>
        <w:ind w:left="0" w:right="0" w:hanging="360"/>
        <w:jc w:val="both"/>
        <w:rPr/>
      </w:pPr>
      <w:r>
        <w:rPr>
          <w:color w:val="000000"/>
        </w:rPr>
        <w:t>•</w:t>
      </w:r>
      <w:r>
        <w:rPr>
          <w:rFonts w:ascii="Times New Roman;serif" w:hAnsi="Times New Roman;serif"/>
          <w:b w:val="false"/>
          <w:color w:val="000000"/>
          <w:sz w:val="20"/>
          <w:shd w:fill="FFFFFF" w:val="clear"/>
        </w:rPr>
        <w:t>changes in manufacturing, packaging, delivery and inventory costs;</w:t>
      </w:r>
    </w:p>
    <w:p>
      <w:pPr>
        <w:pStyle w:val="TextBody"/>
        <w:bidi w:val="0"/>
        <w:spacing w:lineRule="auto" w:line="240" w:before="0" w:after="0"/>
        <w:ind w:left="0" w:right="0" w:hanging="360"/>
        <w:jc w:val="both"/>
        <w:rPr/>
      </w:pPr>
      <w:r>
        <w:rPr>
          <w:color w:val="000000"/>
        </w:rPr>
        <w:t>•</w:t>
      </w:r>
      <w:r>
        <w:rPr>
          <w:rFonts w:ascii="Times New Roman;serif" w:hAnsi="Times New Roman;serif"/>
          <w:b w:val="false"/>
          <w:color w:val="000000"/>
          <w:sz w:val="20"/>
          <w:shd w:fill="FFFFFF" w:val="clear"/>
        </w:rPr>
        <w:t xml:space="preserve">the creditworthiness, liquidity and solvency of our customers and their ability to timely make payments when due; </w:t>
      </w:r>
    </w:p>
    <w:p>
      <w:pPr>
        <w:pStyle w:val="TextBody"/>
        <w:bidi w:val="0"/>
        <w:spacing w:lineRule="auto" w:line="240" w:before="0" w:after="0"/>
        <w:ind w:left="0" w:right="0" w:hanging="360"/>
        <w:jc w:val="both"/>
        <w:rPr/>
      </w:pPr>
      <w:r>
        <w:rPr>
          <w:color w:val="000000"/>
          <w:shd w:fill="FFFFFF" w:val="clear"/>
        </w:rPr>
        <w:t>•</w:t>
      </w:r>
      <w:r>
        <w:rPr>
          <w:rFonts w:ascii="Times New Roman;serif" w:hAnsi="Times New Roman;serif"/>
          <w:b w:val="false"/>
          <w:color w:val="000000"/>
          <w:sz w:val="20"/>
          <w:shd w:fill="FFFFFF" w:val="clear"/>
        </w:rPr>
        <w:t xml:space="preserve">our ability to collect payments; </w:t>
      </w:r>
    </w:p>
    <w:p>
      <w:pPr>
        <w:pStyle w:val="TextBody"/>
        <w:bidi w:val="0"/>
        <w:spacing w:lineRule="auto" w:line="240" w:before="0" w:after="0"/>
        <w:ind w:left="0" w:right="0" w:hanging="360"/>
        <w:jc w:val="both"/>
        <w:rPr/>
      </w:pPr>
      <w:r>
        <w:rPr>
          <w:color w:val="000000"/>
          <w:shd w:fill="FFFFFF" w:val="clear"/>
        </w:rPr>
        <w:t>•</w:t>
      </w:r>
      <w:r>
        <w:rPr>
          <w:rFonts w:ascii="Times New Roman;serif" w:hAnsi="Times New Roman;serif"/>
          <w:b w:val="false"/>
          <w:color w:val="000000"/>
          <w:sz w:val="20"/>
          <w:shd w:fill="FFFFFF" w:val="clear"/>
        </w:rPr>
        <w:t xml:space="preserve">our acceptance of longer customer payment cycles; </w:t>
      </w:r>
    </w:p>
    <w:p>
      <w:pPr>
        <w:pStyle w:val="TextBody"/>
        <w:bidi w:val="0"/>
        <w:spacing w:lineRule="auto" w:line="240" w:before="0" w:after="0"/>
        <w:ind w:left="0" w:right="0" w:hanging="360"/>
        <w:jc w:val="both"/>
        <w:rPr/>
      </w:pPr>
      <w:r>
        <w:rPr>
          <w:color w:val="000000"/>
        </w:rPr>
        <w:t>•</w:t>
      </w:r>
      <w:r>
        <w:rPr>
          <w:rFonts w:ascii="Times New Roman;serif" w:hAnsi="Times New Roman;serif"/>
          <w:b w:val="false"/>
          <w:color w:val="000000"/>
          <w:sz w:val="20"/>
          <w:shd w:fill="FFFFFF" w:val="clear"/>
        </w:rPr>
        <w:t>changes in the timing of revenue recognition and our ASPs as a result of changes to the amount allocated to the standalone selling price of the distinct performance obligations under sales contracts;</w:t>
      </w:r>
    </w:p>
    <w:p>
      <w:pPr>
        <w:pStyle w:val="TextBody"/>
        <w:bidi w:val="0"/>
        <w:spacing w:lineRule="auto" w:line="240" w:before="0" w:after="0"/>
        <w:ind w:left="0" w:right="0" w:hanging="360"/>
        <w:jc w:val="both"/>
        <w:rPr/>
      </w:pPr>
      <w:r>
        <w:rPr>
          <w:color w:val="000000"/>
        </w:rPr>
        <w:t>•</w:t>
      </w:r>
      <w:r>
        <w:rPr>
          <w:rFonts w:ascii="Times New Roman;serif" w:hAnsi="Times New Roman;serif"/>
          <w:b w:val="false"/>
          <w:color w:val="000000"/>
          <w:sz w:val="20"/>
          <w:shd w:fill="FFFFFF" w:val="clear"/>
        </w:rPr>
        <w:t>seasonal fluctuations;</w:t>
      </w:r>
    </w:p>
    <w:p>
      <w:pPr>
        <w:pStyle w:val="TextBody"/>
        <w:bidi w:val="0"/>
        <w:spacing w:lineRule="auto" w:line="240" w:before="0" w:after="0"/>
        <w:ind w:left="0" w:right="0" w:hanging="360"/>
        <w:jc w:val="both"/>
        <w:rPr/>
      </w:pPr>
      <w:r>
        <w:rPr>
          <w:color w:val="000000"/>
        </w:rPr>
        <w:t>•</w:t>
      </w:r>
      <w:r>
        <w:rPr>
          <w:rFonts w:ascii="Times New Roman;serif" w:hAnsi="Times New Roman;serif"/>
          <w:b w:val="false"/>
          <w:color w:val="000000"/>
          <w:sz w:val="20"/>
        </w:rPr>
        <w:t>geographic, channel or product mix shifts to lower priced products or to products with a higher percentage of deferred revenue;</w:t>
      </w:r>
    </w:p>
    <w:p>
      <w:pPr>
        <w:pStyle w:val="TextBody"/>
        <w:bidi w:val="0"/>
        <w:spacing w:lineRule="auto" w:line="240" w:before="0" w:after="0"/>
        <w:ind w:left="0" w:right="0" w:hanging="360"/>
        <w:jc w:val="both"/>
        <w:rPr/>
      </w:pPr>
      <w:r>
        <w:rPr>
          <w:color w:val="000000"/>
        </w:rPr>
        <w:t>•</w:t>
      </w:r>
      <w:r>
        <w:rPr>
          <w:rFonts w:ascii="Times New Roman;serif" w:hAnsi="Times New Roman;serif"/>
          <w:b w:val="false"/>
          <w:color w:val="000000"/>
          <w:sz w:val="20"/>
        </w:rPr>
        <w:t>improvements to or changes in our products, capabilities or technologies that replace or shorten the life cycles of legacy products or cause customers to defer or stop purchasing legacy products until new products become available;</w:t>
      </w:r>
    </w:p>
    <w:p>
      <w:pPr>
        <w:pStyle w:val="TextBody"/>
        <w:bidi w:val="0"/>
        <w:spacing w:lineRule="auto" w:line="240" w:before="0" w:after="0"/>
        <w:ind w:left="0" w:right="0" w:hanging="360"/>
        <w:jc w:val="both"/>
        <w:rPr/>
      </w:pPr>
      <w:r>
        <w:rPr>
          <w:color w:val="000000"/>
          <w:shd w:fill="FFFFFF" w:val="clear"/>
        </w:rPr>
        <w:t>•</w:t>
      </w:r>
      <w:r>
        <w:rPr>
          <w:rFonts w:ascii="Times New Roman;serif" w:hAnsi="Times New Roman;serif"/>
          <w:b w:val="false"/>
          <w:color w:val="000000"/>
          <w:sz w:val="20"/>
          <w:shd w:fill="FFFFFF" w:val="clear"/>
        </w:rPr>
        <w:t xml:space="preserve">changes in costs and expenditures, including in connection with new treatment planning and fabrication facilities and the hiring and deployment of personnel; </w:t>
      </w:r>
    </w:p>
    <w:p>
      <w:pPr>
        <w:pStyle w:val="TextBody"/>
        <w:bidi w:val="0"/>
        <w:spacing w:lineRule="auto" w:line="240" w:before="0" w:after="0"/>
        <w:ind w:left="0" w:right="0" w:hanging="360"/>
        <w:jc w:val="both"/>
        <w:rPr/>
      </w:pPr>
      <w:r>
        <w:rPr>
          <w:color w:val="000000"/>
        </w:rPr>
        <w:t>•</w:t>
      </w:r>
      <w:r>
        <w:rPr>
          <w:rFonts w:ascii="Times New Roman;serif" w:hAnsi="Times New Roman;serif"/>
          <w:b w:val="false"/>
          <w:color w:val="000000"/>
          <w:sz w:val="20"/>
        </w:rPr>
        <w:t xml:space="preserve">the timing of clear aligner treatment order submissions, acceptance, processing and fulfillment, which can cause fluctuations in our backlog; </w:t>
      </w:r>
    </w:p>
    <w:p>
      <w:pPr>
        <w:pStyle w:val="TextBody"/>
        <w:bidi w:val="0"/>
        <w:spacing w:lineRule="auto" w:line="240" w:before="0" w:after="0"/>
        <w:ind w:left="0" w:right="0" w:hanging="360"/>
        <w:jc w:val="both"/>
        <w:rPr/>
      </w:pPr>
      <w:r>
        <w:rPr>
          <w:color w:val="000000"/>
        </w:rPr>
        <w:t>•</w:t>
      </w:r>
      <w:r>
        <w:rPr>
          <w:rFonts w:ascii="Times New Roman;serif" w:hAnsi="Times New Roman;serif"/>
          <w:b w:val="false"/>
          <w:color w:val="000000"/>
          <w:sz w:val="20"/>
        </w:rPr>
        <w:t xml:space="preserve">new, proposed or retaliatory tariffs; and </w:t>
      </w:r>
    </w:p>
    <w:p>
      <w:pPr>
        <w:pStyle w:val="TextBody"/>
        <w:bidi w:val="0"/>
        <w:spacing w:lineRule="auto" w:line="240" w:before="0" w:after="0"/>
        <w:ind w:left="0" w:right="0" w:hanging="360"/>
        <w:jc w:val="both"/>
        <w:rPr/>
      </w:pPr>
      <w:r>
        <w:rPr>
          <w:color w:val="000000"/>
          <w:shd w:fill="FFFFFF" w:val="clear"/>
        </w:rPr>
        <w:t>•</w:t>
      </w:r>
      <w:r>
        <w:rPr>
          <w:rFonts w:ascii="Times New Roman;serif" w:hAnsi="Times New Roman;serif"/>
          <w:b w:val="false"/>
          <w:color w:val="000000"/>
          <w:sz w:val="20"/>
          <w:shd w:fill="FFFFFF" w:val="clear"/>
        </w:rPr>
        <w:t>timing and fluctuation of spending around marketing and brand awareness campaigns and industry trade shows.</w:t>
      </w:r>
    </w:p>
    <w:p>
      <w:pPr>
        <w:pStyle w:val="TextBody"/>
        <w:bidi w:val="0"/>
        <w:spacing w:before="0" w:after="0"/>
        <w:jc w:val="both"/>
        <w:rPr/>
      </w:pPr>
      <w:r>
        <w:rPr/>
      </w:r>
    </w:p>
    <w:p>
      <w:pPr>
        <w:pStyle w:val="TextBody"/>
        <w:bidi w:val="0"/>
        <w:spacing w:lineRule="auto" w:line="240"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we fail to accurately predict product demand, our manufacturing capacity, staffing, supplies, components, or materials, or those of one or more of our suppliers may be inadequate. If we fail to timely manufacture and deliver products to meet demand, this could damage our relationships with existing customers or harm our ability to attract new customers and adversely affect our business, financial condition and results of operations.</w:t>
      </w:r>
    </w:p>
    <w:p>
      <w:pPr>
        <w:pStyle w:val="TextBody"/>
        <w:bidi w:val="0"/>
        <w:spacing w:before="0" w:after="0"/>
        <w:ind w:left="0" w:right="0" w:firstLine="360"/>
        <w:jc w:val="both"/>
        <w:rPr/>
      </w:pPr>
      <w:r>
        <w:rPr/>
      </w:r>
    </w:p>
    <w:p>
      <w:pPr>
        <w:pStyle w:val="TextBody"/>
        <w:bidi w:val="0"/>
        <w:spacing w:lineRule="auto" w:line="240"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may make business decisions that adversely affect our operating results such as modifications to our pricing policies and payment terms, promotions, development efforts, product releases, business structure or operations. The majority of our expenses, such as employee compensation and lease obligations, are relatively fixed in the short term. Moreover, our expense levels are based, in part, on expectations for future revenues. As a result, if our net revenues for a particular period are below expectations, we may be unable to timely or effectively reduce spending to offset any shortfalls. </w:t>
      </w:r>
    </w:p>
    <w:p>
      <w:pPr>
        <w:pStyle w:val="TextBody"/>
        <w:bidi w:val="0"/>
        <w:spacing w:before="0" w:after="0"/>
        <w:jc w:val="both"/>
        <w:rPr/>
      </w:pPr>
      <w:r>
        <w:rPr/>
      </w:r>
    </w:p>
    <w:p>
      <w:pPr>
        <w:pStyle w:val="TextBody"/>
        <w:bidi w:val="0"/>
        <w:spacing w:before="0" w:after="0"/>
        <w:ind w:left="0" w:right="0" w:firstLine="360"/>
        <w:jc w:val="both"/>
        <w:rPr/>
      </w:pPr>
      <w:r>
        <w:rPr/>
      </w:r>
    </w:p>
    <w:p>
      <w:pPr>
        <w:pStyle w:val="TextBody"/>
        <w:bidi w:val="0"/>
        <w:spacing w:lineRule="auto" w:line="240" w:before="0" w:after="0"/>
        <w:ind w:left="0" w:right="0" w:firstLine="360"/>
        <w:jc w:val="both"/>
        <w:rPr>
          <w:rFonts w:ascii="Times New Roman;serif" w:hAnsi="Times New Roman;serif"/>
          <w:b/>
          <w:i/>
          <w:color w:val="000000"/>
          <w:sz w:val="20"/>
        </w:rPr>
      </w:pPr>
      <w:r>
        <w:rPr>
          <w:rFonts w:ascii="Times New Roman;serif" w:hAnsi="Times New Roman;serif"/>
          <w:b/>
          <w:i/>
          <w:color w:val="000000"/>
          <w:sz w:val="20"/>
        </w:rPr>
        <w:t>Our results of operations may be adversely affected if doctors at DSOs, orthodontic service organizations (“OSOs”) or other large group practices reduce, delay, or do not increase their purchasing of our products and services in ways that reduce adoption of our products and services.</w:t>
      </w:r>
    </w:p>
    <w:p>
      <w:pPr>
        <w:pStyle w:val="TextBody"/>
        <w:bidi w:val="0"/>
        <w:spacing w:before="0" w:after="0"/>
        <w:jc w:val="left"/>
        <w:rPr/>
      </w:pPr>
      <w:r>
        <w:rPr/>
      </w:r>
    </w:p>
    <w:p>
      <w:pPr>
        <w:pStyle w:val="TextBody"/>
        <w:bidi w:val="0"/>
        <w:spacing w:lineRule="auto" w:line="240"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DSOs, OSOs and other large group practices have become an increasingly important channel for adoption of our products and services. If doctors at DSOs, OSOs or other large group practices reduce, delay, or do not expand their purchasing of our products and services, or otherwise change priorities, protocols, or workflows in ways that reduce utilization of our products, demand for our products and services may not increase or may decrease, which could have a material impact on our business, financial condition and results of operations. In addition, on behalf of the doctors in their affiliated practices, DSOs and other large group practices may have greater leverage to negotiate pricing, volume</w:t>
        <w:noBreakHyphen/>
        <w:t xml:space="preserve">based discounts, rebates, extended payment terms, or other commercial concessions, which could adversely affect our ASPs, gross margins and profitability. </w:t>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TextBody"/>
        <w:bidi w:val="0"/>
        <w:spacing w:lineRule="auto" w:line="240" w:before="0" w:after="0"/>
        <w:ind w:left="0" w:right="0" w:firstLine="360"/>
        <w:jc w:val="both"/>
        <w:rPr>
          <w:rFonts w:ascii="Times New Roman;serif" w:hAnsi="Times New Roman;serif"/>
          <w:b/>
          <w:i/>
          <w:color w:val="000000"/>
          <w:sz w:val="20"/>
        </w:rPr>
      </w:pPr>
      <w:r>
        <w:rPr>
          <w:rFonts w:ascii="Times New Roman;serif" w:hAnsi="Times New Roman;serif"/>
          <w:b/>
          <w:i/>
          <w:color w:val="000000"/>
          <w:sz w:val="20"/>
        </w:rPr>
        <w:t>We are subject to operating risks, including excess or constrained capacity, operational inefficiencies and pressure on our internal systems, personnel and suppliers, including as a result of our past and any future restructuring efforts, which could adversely affect our results of operations.</w:t>
      </w:r>
    </w:p>
    <w:p>
      <w:pPr>
        <w:pStyle w:val="TextBody"/>
        <w:bidi w:val="0"/>
        <w:spacing w:before="0" w:after="0"/>
        <w:ind w:left="0" w:right="0" w:firstLine="360"/>
        <w:jc w:val="both"/>
        <w:rPr/>
      </w:pPr>
      <w:r>
        <w:rPr/>
      </w:r>
    </w:p>
    <w:p>
      <w:pPr>
        <w:pStyle w:val="TextBody"/>
        <w:bidi w:val="0"/>
        <w:spacing w:lineRule="auto" w:line="240"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To manage current and anticipated future operations effectively, we must continually implement and improve our operational, financial and management information systems, hire, train, motivate, manage and retain employees, and ensure our suppliers remain diverse and capable of meeting demand for the systems, raw materials, parts and components essential to product manufacturing and delivery. We may fail to balance near-term efforts to meet existing demand with future demand, including adding personnel, creating scalable, secure and robust systems and operations, and automating processes for long-term efficiencies. Production of the Invisalign System and iTero intraoral scanners could also be limited by capacity constraints due to a variety of factors, including labor shortages, shipping delays, our dependency on third-party vendors for key materials, parts, components and equipment, the quality of or changes in product components, and limited production yields. Any such failure could materially impact our business, financial condition and results of operations. </w:t>
      </w:r>
    </w:p>
    <w:p>
      <w:pPr>
        <w:pStyle w:val="TextBody"/>
        <w:bidi w:val="0"/>
        <w:spacing w:before="0" w:after="0"/>
        <w:ind w:left="0" w:right="0" w:firstLine="360"/>
        <w:jc w:val="both"/>
        <w:rPr/>
      </w:pPr>
      <w:r>
        <w:rPr/>
      </w:r>
    </w:p>
    <w:p>
      <w:pPr>
        <w:pStyle w:val="TextBody"/>
        <w:bidi w:val="0"/>
        <w:spacing w:lineRule="auto" w:line="240"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Additionally, we have established treatment planning and manufacturing facilities closer to our international customers to provide better experiences, create efficiencies and provide redundancy should other facilities become unavailable. If one of these facilities is temporarily, partially or fully shut down, we may be unable to timely fulfill orders, which may negatively impact our reputation, business, financial condition and results of operations. </w:t>
      </w:r>
    </w:p>
    <w:p>
      <w:pPr>
        <w:pStyle w:val="TextBody"/>
        <w:bidi w:val="0"/>
        <w:spacing w:before="0" w:after="0"/>
        <w:jc w:val="both"/>
        <w:rPr/>
      </w:pPr>
      <w:r>
        <w:rPr/>
      </w:r>
    </w:p>
    <w:p>
      <w:pPr>
        <w:pStyle w:val="TextBody"/>
        <w:bidi w:val="0"/>
        <w:spacing w:before="0" w:after="0"/>
        <w:ind w:left="0" w:right="0" w:firstLine="360"/>
        <w:jc w:val="both"/>
        <w:rPr/>
      </w:pPr>
      <w:r>
        <w:rPr/>
      </w:r>
    </w:p>
    <w:p>
      <w:pPr>
        <w:pStyle w:val="TextBody"/>
        <w:bidi w:val="0"/>
        <w:spacing w:lineRule="auto" w:line="240" w:before="0" w:after="0"/>
        <w:ind w:left="0" w:right="0" w:firstLine="360"/>
        <w:jc w:val="both"/>
        <w:rPr>
          <w:rFonts w:ascii="Times New Roman;serif" w:hAnsi="Times New Roman;serif"/>
          <w:b/>
          <w:i/>
          <w:color w:val="000000"/>
          <w:sz w:val="20"/>
        </w:rPr>
      </w:pPr>
      <w:r>
        <w:rPr>
          <w:rFonts w:ascii="Times New Roman;serif" w:hAnsi="Times New Roman;serif"/>
          <w:b/>
          <w:i/>
          <w:color w:val="000000"/>
          <w:sz w:val="20"/>
        </w:rPr>
        <w:t>Security breaches, data breaches, cybersecurity attacks, or other cybersecurity incidents could materially adversely impact our operations and patient care, and our reputation, business, financial condition and results of operations could be harmed.</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42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42 </w:t>
                      </w:r>
                    </w:p>
                  </w:txbxContent>
                </v:textbox>
                <w10:wrap type="none"/>
              </v:rect>
            </w:pict>
          </mc:Fallback>
        </mc:AlternateContent>
      </w:r>
    </w:p>
    <w:p>
      <w:pPr>
        <w:pStyle w:val="TextBody"/>
        <w:bidi w:val="0"/>
        <w:spacing w:lineRule="auto" w:line="288" w:before="0" w:after="0"/>
        <w:jc w:val="left"/>
        <w:rPr/>
      </w:pPr>
      <w:hyperlink w:anchor="i7a02b169d6be4765847899a2d1aa61f4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40"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IT systems, policies and contracts and the policies of our third-party vendors, and their IT systems safeguard employee, applicant and customer personal, health and financial, and our own proprietary information and data essential to our operations. Our cybersecurity controls also depend on our customers, many of whom are individual or small healthcare providers with limited IT experience and inadequate or untested security protocols, to successfully manage data privacy and security requirements. We and our service providers, third-party vendors and other third parties could be targeted by or subject to physical break-ins, computer viruses and other malicious code, unauthorized or fraudulent access, programming errors or other technical malfunctions, hacking attacks, phishing, vishing, deepfakes, and other social engineering attacks, malware, ransomware, employee noncompliance, error or malfeasance, cybersecurity attacks, malicious code, and other breaches of, or incidents impacting, IT systems or similar malicious or otherwise disruptive actions, including by organized groups and nation-state actors, which may disrupt or limit the availability of, or result in damage to, our IT systems and result in loss or unavailability of, damage to, or the unauthorized acquisition, use, disclosure, or other processing of confidential information. We have experienced, and may again experience in the future, cybersecurity incidents, data incidents, and unauthorized internal employee exfiltration of information. </w:t>
      </w:r>
    </w:p>
    <w:p>
      <w:pPr>
        <w:pStyle w:val="TextBody"/>
        <w:bidi w:val="0"/>
        <w:spacing w:before="0" w:after="0"/>
        <w:ind w:left="0" w:right="0" w:firstLine="360"/>
        <w:jc w:val="both"/>
        <w:rPr/>
      </w:pPr>
      <w:r>
        <w:rPr/>
      </w:r>
    </w:p>
    <w:p>
      <w:pPr>
        <w:pStyle w:val="TextBody"/>
        <w:bidi w:val="0"/>
        <w:spacing w:lineRule="auto" w:line="240"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cybersecurity risk management program and processes, including our policies, controls or procedures, may not be successfully implemented, complied with or effective in protecting our systems and information or any other information we maintain or otherwise process. Further, the frequency and sophistication of third-party cybersecurity attacks are increasing, particularly with the advancement of AI technologies. Significant service disruptions, breaches, incidents, interruptions or other disruptive events impacting our infrastructure and IT systems, or other cybersecurity incidents, or any belief or reporting that any of the foregoing has occurred, could expose us to regulatory investigations, private claims, demands, litigation or other proceedings, impair our reputation and competitive position, distract management and require significant time and resources to address. In addition, patient care could suffer, and we could be liable if our products, services or IT systems fail to timely deliver accurate and complete information.</w:t>
      </w:r>
    </w:p>
    <w:p>
      <w:pPr>
        <w:pStyle w:val="TextBody"/>
        <w:bidi w:val="0"/>
        <w:spacing w:before="0" w:after="0"/>
        <w:ind w:left="0" w:right="0" w:firstLine="360"/>
        <w:jc w:val="both"/>
        <w:rPr/>
      </w:pPr>
      <w:r>
        <w:rPr/>
      </w:r>
    </w:p>
    <w:p>
      <w:pPr>
        <w:pStyle w:val="TextBody"/>
        <w:bidi w:val="0"/>
        <w:spacing w:lineRule="auto" w:line="240"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Additionally, our iTero intraoral scanners may be independently or collectively the target of cybersecurity incidents or attacks or subject to security vulnerabilities, bugs, errors, defects, or viruses or other malicious code. Due to the large and growing number of these decentralized devices, we may be unable, or not have the capacity, knowledge or infrastructure, to respond to or remedy a cybersecurity incident in a timely manner. Any such cybersecurity incident may cause loss or damage to us, our customers or strategic business partners or may cause further malfunctions in, or damage to, our products, services, or IT systems, damage to, or loss, unavailability, or unauthorized acquisition, use, or other processing of our data, or disruption, interruption or temporary cessation of our operations. Further, any such security breach or incident, or other cybersecurity incident, or any belief or reporting that any of the foregoing has occurred, may otherwise have a negative impact upon our business or reputation.</w:t>
      </w:r>
    </w:p>
    <w:p>
      <w:pPr>
        <w:pStyle w:val="TextBody"/>
        <w:bidi w:val="0"/>
        <w:spacing w:before="0" w:after="0"/>
        <w:ind w:left="0" w:right="0" w:firstLine="360"/>
        <w:jc w:val="both"/>
        <w:rPr/>
      </w:pPr>
      <w:r>
        <w:rPr/>
      </w:r>
    </w:p>
    <w:p>
      <w:pPr>
        <w:pStyle w:val="TextBody"/>
        <w:bidi w:val="0"/>
        <w:spacing w:lineRule="auto" w:line="240" w:before="0" w:after="0"/>
        <w:ind w:left="0" w:right="0" w:firstLine="360"/>
        <w:jc w:val="both"/>
        <w:rPr>
          <w:rFonts w:ascii="Times New Roman;serif" w:hAnsi="Times New Roman;serif"/>
          <w:b/>
          <w:i/>
          <w:color w:val="000000"/>
          <w:sz w:val="20"/>
        </w:rPr>
      </w:pPr>
      <w:r>
        <w:rPr>
          <w:rFonts w:ascii="Times New Roman;serif" w:hAnsi="Times New Roman;serif"/>
          <w:b/>
          <w:i/>
          <w:color w:val="000000"/>
          <w:sz w:val="20"/>
        </w:rPr>
        <w:t>Issues with IT system and software integration, implementation, updates, and upgrades, or third-party software have previously and could again in the future disrupt our operations.</w:t>
      </w:r>
    </w:p>
    <w:p>
      <w:pPr>
        <w:pStyle w:val="TextBody"/>
        <w:bidi w:val="0"/>
        <w:spacing w:before="0" w:after="0"/>
        <w:ind w:left="0" w:right="0" w:firstLine="360"/>
        <w:jc w:val="both"/>
        <w:rPr/>
      </w:pPr>
      <w:r>
        <w:rPr/>
      </w:r>
    </w:p>
    <w:p>
      <w:pPr>
        <w:pStyle w:val="TextBody"/>
        <w:bidi w:val="0"/>
        <w:spacing w:lineRule="auto" w:line="240"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rely on the efficient, uninterrupted, and secure operation of complex IT systems and are dependent on key third-party software embedded in IT systems as well as third-party hosted IT systems to support our operations, including third-party cloud platforms. To effectively manage and improve our operations, our IT systems and applications require an ongoing commitment of significant expenditures and resources to maintain, protect, upgrade, enhance, and restore existing systems and develop new systems to keep pace with continuing changes in information processing technology, evolving industry and regulatory standards, and changing customer preferences. Usage of online and hosted technology platforms by us, our customers, and suppliers, including remote working, teledentistry, and new or expanded use of online service platforms, products, and solutions such as doctor, consumer, and patient apps have increased the demands on and risks to our IT systems and personnel. Moreover, we continue to transform business processes, extend established processes to new subsidiaries, and implement additional functionality in our enterprise resource planning, product development, manufacturing, and other software and IT systems. This entails certain risks, including operational disruptions, such as our ability to continue developing and updating products while addressing safety and security, track orders and timely ship products, manage our supply chain, and aggregate financial and operational data. Failure to adequately protect and maintain the integrity of our products, IT systems and data in those systems, and those of our suppliers and customers may materially impact our reputation, business, financial condition, and results of operations. </w:t>
      </w:r>
    </w:p>
    <w:p>
      <w:pPr>
        <w:pStyle w:val="TextBody"/>
        <w:bidi w:val="0"/>
        <w:spacing w:before="0" w:after="0"/>
        <w:ind w:left="0" w:right="0" w:firstLine="360"/>
        <w:jc w:val="both"/>
        <w:rPr/>
      </w:pPr>
      <w:r>
        <w:rPr/>
      </w:r>
    </w:p>
    <w:p>
      <w:pPr>
        <w:pStyle w:val="TextBody"/>
        <w:bidi w:val="0"/>
        <w:spacing w:lineRule="auto" w:line="240"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Additionally, we continuously upgrade and issue new software releases upon which customer facing manufacturing and treatment planning operations depend. Software applications and products containing software may contain errors or defects, especially when first introduced or released. The discovery of a defect, error, or security vulnerability in our products, software applications or IT systems, incompatibility with customers’ computer operating systems and hardware configurations with a new release or upgraded version or the failure of our products or primary IT systems, that we are unable to timely cure, may cause adverse consequences. These may include delays, loss of revenues, significant remediation costs, market acceptance delays, data damage, loss, or unavailability, unintended disclosure or other processing of financial, health or other information relating to individuals, product recalls, loss of market share or increased service costs, any of which could have a material effect on our reputation, business, financial condition or results of our operations and those of our customers or our business partners.</w:t>
      </w:r>
    </w:p>
    <w:p>
      <w:pPr>
        <w:pStyle w:val="TextBody"/>
        <w:bidi w:val="0"/>
        <w:spacing w:before="0" w:after="0"/>
        <w:ind w:left="0" w:right="0" w:firstLine="360"/>
        <w:jc w:val="both"/>
        <w:rPr/>
      </w:pPr>
      <w:r>
        <w:rPr/>
      </w:r>
    </w:p>
    <w:p>
      <w:pPr>
        <w:pStyle w:val="TextBody"/>
        <w:bidi w:val="0"/>
        <w:spacing w:lineRule="auto" w:line="240" w:before="0" w:after="0"/>
        <w:ind w:left="0" w:right="0" w:firstLine="360"/>
        <w:jc w:val="both"/>
        <w:rPr>
          <w:rFonts w:ascii="Times New Roman;serif" w:hAnsi="Times New Roman;serif"/>
          <w:b/>
          <w:i/>
          <w:color w:val="000000"/>
          <w:sz w:val="20"/>
        </w:rPr>
      </w:pPr>
      <w:r>
        <w:rPr>
          <w:rFonts w:ascii="Times New Roman;serif" w:hAnsi="Times New Roman;serif"/>
          <w:b/>
          <w:i/>
          <w:color w:val="000000"/>
          <w:sz w:val="20"/>
        </w:rPr>
        <w:t>Products in our Systems and Services segment, such as our iTero intraoral scanners, are subject to software and hardware risks that, if improperly managed, could have a material adverse impact on our business and financial results.</w:t>
      </w:r>
    </w:p>
    <w:p>
      <w:pPr>
        <w:pStyle w:val="TextBody"/>
        <w:bidi w:val="0"/>
        <w:spacing w:before="0" w:after="0"/>
        <w:ind w:left="0" w:right="0" w:firstLine="360"/>
        <w:jc w:val="both"/>
        <w:rPr/>
      </w:pPr>
      <w:r>
        <w:rPr/>
      </w:r>
    </w:p>
    <w:p>
      <w:pPr>
        <w:pStyle w:val="TextBody"/>
        <w:bidi w:val="0"/>
        <w:spacing w:lineRule="auto" w:line="240"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Systems and Services segment is subject to software and hardware risks related to the manufacturing, design, quality and safety of our complex, global installed base of iTero intraoral scanners, which are continually updated to add, expand or improve features with new hardware or software, to integrate new or existing software or other components manufactured by third parties, or to provide repair or replacement parts, any of which may contain errors or exhibit failures, especially when products are first introduced. We may be unable to ensure that third-party components or changes to them will be completely compatible with our scanners, which could cause our scanners to fail to perform as anticipated. Additionally, the third-party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43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43 </w:t>
                      </w:r>
                    </w:p>
                  </w:txbxContent>
                </v:textbox>
                <w10:wrap type="none"/>
              </v:rect>
            </w:pict>
          </mc:Fallback>
        </mc:AlternateContent>
      </w:r>
    </w:p>
    <w:p>
      <w:pPr>
        <w:pStyle w:val="TextBody"/>
        <w:bidi w:val="0"/>
        <w:spacing w:lineRule="auto" w:line="288" w:before="0" w:after="0"/>
        <w:jc w:val="left"/>
        <w:rPr/>
      </w:pPr>
      <w:hyperlink w:anchor="i7a02b169d6be4765847899a2d1aa61f4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software integrated into or interoperable with our scanners routinely reach end of life, and as a consequence, certain applications and models may be exposed to additional vulnerabilities, including security risks, errors, and malfunctions that may be irreparable or difficult to repair. We may not timely and adequately remediate or implement corrective measures for such failures, including due to reliance on third-party providers or suppliers. Consequently, any remediation may be time-consuming or difficult to achieve, which may materially impact our customers and business partners, damage our reputation, and result in lost business and revenue opportunities, and could be materially costly. If our products experience component aging, errors, or performance problems, or do not otherwise satisfy our stringent quality processes and controls we may choose to or be compelled to recall certain products, which may include, product withdrawals from the market, labeling changes, design changes, customer notifications, and notifications to global regulatory bodies.</w:t>
      </w:r>
    </w:p>
    <w:p>
      <w:pPr>
        <w:pStyle w:val="TextBody"/>
        <w:bidi w:val="0"/>
        <w:spacing w:before="0" w:after="0"/>
        <w:ind w:left="0" w:right="0" w:firstLine="360"/>
        <w:jc w:val="both"/>
        <w:rPr/>
      </w:pPr>
      <w:r>
        <w:rPr/>
      </w:r>
    </w:p>
    <w:p>
      <w:pPr>
        <w:pStyle w:val="TextBody"/>
        <w:bidi w:val="0"/>
        <w:spacing w:lineRule="auto" w:line="240"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 significant portion of our clear aligner production is dependent on digital scans from our globally dispersed and decentralized installed base of iTero and third-party intraoral scanners, and if we or third parties discontinue commercial availability or support for older versions of these scanners, our clear aligner revenues could be adversely impacted. Failures of all or any portion of our or third-party software or other components or systems to interoperate with iTero or third-party scanners, termination of interoperability with third-party scanners, product or system vulnerabilities or defects, interference or disruptions for us, our customers, labs or other business partners in the use of our products or the transmission or processing of data needed for the use or ordering of our products, or system outages, regardless of cause, have harmed our operations previously and in the future could materially and adversely affect our ability to accept scans, manufacture clear aligners or restorative procedures or treatments and services, or otherwise service our customers. Any of these events could harm our sales, damage our reputation, adversely impact our strategic partners, or result in claims, demands, litigation, and liabilities, which could have a material effect on our reputation, business, financial condition or results of our operations and the operations of our customers or business partners. </w:t>
      </w:r>
    </w:p>
    <w:p>
      <w:pPr>
        <w:pStyle w:val="TextBody"/>
        <w:bidi w:val="0"/>
        <w:spacing w:before="0" w:after="0"/>
        <w:ind w:left="0" w:right="0" w:firstLine="360"/>
        <w:jc w:val="both"/>
        <w:rPr/>
      </w:pPr>
      <w:r>
        <w:rPr/>
      </w:r>
    </w:p>
    <w:p>
      <w:pPr>
        <w:pStyle w:val="TextBody"/>
        <w:bidi w:val="0"/>
        <w:spacing w:lineRule="auto" w:line="240" w:before="0" w:after="0"/>
        <w:ind w:left="0" w:right="0" w:firstLine="360"/>
        <w:jc w:val="both"/>
        <w:rPr>
          <w:rFonts w:ascii="Times New Roman;serif" w:hAnsi="Times New Roman;serif"/>
          <w:b/>
          <w:i/>
          <w:color w:val="000000"/>
          <w:sz w:val="20"/>
        </w:rPr>
      </w:pPr>
      <w:r>
        <w:rPr>
          <w:rFonts w:ascii="Times New Roman;serif" w:hAnsi="Times New Roman;serif"/>
          <w:b/>
          <w:i/>
          <w:color w:val="000000"/>
          <w:sz w:val="20"/>
        </w:rPr>
        <w:t>We are highly dependent on third-party suppliers, some of whom are sole source suppliers, for certain key machines, components and materials, and our business, financial condition and results of operations could be materially adversely affected if supply is restricted or ends or the price materially increases.</w:t>
      </w:r>
    </w:p>
    <w:p>
      <w:pPr>
        <w:pStyle w:val="TextBody"/>
        <w:bidi w:val="0"/>
        <w:spacing w:before="0" w:after="0"/>
        <w:ind w:left="0" w:right="0" w:firstLine="360"/>
        <w:jc w:val="both"/>
        <w:rPr/>
      </w:pPr>
      <w:r>
        <w:rPr/>
      </w:r>
    </w:p>
    <w:p>
      <w:pPr>
        <w:pStyle w:val="TextBody"/>
        <w:bidi w:val="0"/>
        <w:spacing w:lineRule="auto" w:line="240"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are highly dependent on our supply chain, particularly manufacturers of specialized and customized scanning equipment, rapid prototyping machines, resin and other advanced materials, as well as the optics, electronic and other mechanical components of our iTero scanners. We maintain single and sole supply relationships in limited locations for materials and manufacturing, which exposes us to multiple supply chain vulnerabilities. We are reliant upon manufacturers that we contract with for quality and stability and any failures on their part may have an impact on our ability to supply our products. </w:t>
      </w:r>
    </w:p>
    <w:p>
      <w:pPr>
        <w:pStyle w:val="TextBody"/>
        <w:bidi w:val="0"/>
        <w:spacing w:before="0" w:after="0"/>
        <w:ind w:left="0" w:right="0" w:firstLine="360"/>
        <w:jc w:val="both"/>
        <w:rPr/>
      </w:pPr>
      <w:r>
        <w:rPr/>
      </w:r>
    </w:p>
    <w:p>
      <w:pPr>
        <w:pStyle w:val="TextBody"/>
        <w:bidi w:val="0"/>
        <w:spacing w:lineRule="auto" w:line="240"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Because of our dependence on our suppliers, changes in key relationships can materially disrupt our supply chain. For instance, we may be unable to quickly establish or qualify replacement suppliers, which could create production interruptions, delays and inefficiencies. Finding substitute manufacturers may be expensive, time-consuming or impossible and could result in significant interruptions in the supply of one or more products, product retesting or additional product registration, causing us to lose revenues and damage customer relationships. Technology changes by our service providers, vendors and other third parties could disrupt access to required manufacturing capacity or require expensive, time-consuming development efforts to adapt and integrate new equipment or processes. In the event of technology changes, delivery delays, labor stoppages or shortages, or increases in price for these items, sales may decrease and our business and prospects may be harmed.</w:t>
      </w:r>
    </w:p>
    <w:p>
      <w:pPr>
        <w:pStyle w:val="TextBody"/>
        <w:bidi w:val="0"/>
        <w:spacing w:before="0" w:after="0"/>
        <w:ind w:left="0" w:right="0" w:firstLine="360"/>
        <w:jc w:val="both"/>
        <w:rPr/>
      </w:pPr>
      <w:r>
        <w:rPr/>
      </w:r>
    </w:p>
    <w:p>
      <w:pPr>
        <w:pStyle w:val="TextBody"/>
        <w:bidi w:val="0"/>
        <w:spacing w:lineRule="auto" w:line="240" w:before="0" w:after="0"/>
        <w:ind w:left="0" w:right="0" w:firstLine="360"/>
        <w:jc w:val="both"/>
        <w:rPr>
          <w:rFonts w:ascii="Times New Roman;serif" w:hAnsi="Times New Roman;serif"/>
          <w:b/>
          <w:i/>
          <w:color w:val="000000"/>
          <w:sz w:val="20"/>
        </w:rPr>
      </w:pPr>
      <w:r>
        <w:rPr>
          <w:rFonts w:ascii="Times New Roman;serif" w:hAnsi="Times New Roman;serif"/>
          <w:b/>
          <w:i/>
          <w:color w:val="000000"/>
          <w:sz w:val="20"/>
        </w:rPr>
        <w:t>We contract with commercial intermediaries to distribute a portion of the importation, marketing and sales of our products and services, which exposes us to risks to our sales, operations and reputation, including the risk these intermediaries do not comply with applicable laws or our internal procedures.</w:t>
      </w:r>
    </w:p>
    <w:p>
      <w:pPr>
        <w:pStyle w:val="TextBody"/>
        <w:bidi w:val="0"/>
        <w:spacing w:before="0" w:after="0"/>
        <w:ind w:left="0" w:right="0" w:firstLine="360"/>
        <w:jc w:val="both"/>
        <w:rPr/>
      </w:pPr>
      <w:r>
        <w:rPr/>
      </w:r>
    </w:p>
    <w:p>
      <w:pPr>
        <w:pStyle w:val="TextBody"/>
        <w:bidi w:val="0"/>
        <w:spacing w:lineRule="auto" w:line="240"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to our direct sales force, we have and expect to continue to use distributors, resellers or other commercial intermediaries to import, market, sell, service and support our products and services. Our distribution agreements are generally non-exclusive and terminable by either party with customary notice. If qualified and acceptable alternative commercial intermediaries cannot be quickly found and trained in the use, marketing, sales and support of our products and services, our revenues and ability to sell or service our products and services in key markets could be adversely affected. These commercial intermediaries may also choose to sell alternative or competing products or services. In addition, we may be held responsible for the actions of these commercial intermediaries, their employees and commercial intermediaries for non-compliance with laws and regulations, including fair competition, bribery and corruption, import and export compliance, safety, data privacy, false advertising or unfair and deceptive trade practices, and marketing and sales activities. If these commercial intermediaries fail to satisfy customers, our reputation and brand loyalty could be harmed. An intermediary may also affect our ability to effectively market our products in certain foreign countries or regulatory jurisdictions if it holds the regulatory authorization in such countries or within such regions and causes, by action or inaction, the suspension of such marketing authorization or sanctions for non-compliance or prevents us from taking control of any such authorization. It may be difficult, expensive, and time-consuming for us to re-establish market access or regulatory compliance.</w:t>
      </w:r>
    </w:p>
    <w:p>
      <w:pPr>
        <w:pStyle w:val="TextBody"/>
        <w:bidi w:val="0"/>
        <w:spacing w:before="0" w:after="0"/>
        <w:ind w:left="0" w:right="0" w:firstLine="360"/>
        <w:jc w:val="both"/>
        <w:rPr/>
      </w:pPr>
      <w:r>
        <w:rPr/>
      </w:r>
    </w:p>
    <w:p>
      <w:pPr>
        <w:pStyle w:val="TextBody"/>
        <w:bidi w:val="0"/>
        <w:spacing w:lineRule="auto" w:line="240" w:before="0" w:after="0"/>
        <w:ind w:left="0" w:right="0" w:firstLine="360"/>
        <w:jc w:val="both"/>
        <w:rPr>
          <w:rFonts w:ascii="Times New Roman;serif" w:hAnsi="Times New Roman;serif"/>
          <w:b/>
          <w:i/>
          <w:color w:val="000000"/>
          <w:sz w:val="20"/>
        </w:rPr>
      </w:pPr>
      <w:r>
        <w:rPr>
          <w:rFonts w:ascii="Times New Roman;serif" w:hAnsi="Times New Roman;serif"/>
          <w:b/>
          <w:i/>
          <w:color w:val="000000"/>
          <w:sz w:val="20"/>
        </w:rPr>
        <w:t>A disruption in the operations of a primary freight carrier, higher shipping costs or shipping delays could disrupt our supply chain and impact our operating and financial results.</w:t>
      </w:r>
    </w:p>
    <w:p>
      <w:pPr>
        <w:pStyle w:val="TextBody"/>
        <w:bidi w:val="0"/>
        <w:spacing w:before="0" w:after="0"/>
        <w:ind w:left="0" w:right="0" w:firstLine="360"/>
        <w:jc w:val="both"/>
        <w:rPr/>
      </w:pPr>
      <w:r>
        <w:rPr/>
      </w:r>
    </w:p>
    <w:p>
      <w:pPr>
        <w:pStyle w:val="TextBody"/>
        <w:bidi w:val="0"/>
        <w:spacing w:lineRule="auto" w:line="240"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depend on commercial freight carriers, primarily United Parcel Service, Inc., to deliver our products. If the operations of commercial freight carriers are disrupted or we fail to mitigate any disruptions, we may be unable to timely deliver products to our customers who may choose alternative products, causing our net revenues and gross margin to decline, possibly materially. Moreover, when fuel costs increase, our freight costs generally do as well. In addition, we earn an increasingly larger portion of our total revenues from international sales, which carry higher shipping costs that negatively impact our gross margin and results of operations. If freight costs materially increase and we are unable to successfully pass all or significant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44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44 </w:t>
                      </w:r>
                    </w:p>
                  </w:txbxContent>
                </v:textbox>
                <w10:wrap type="none"/>
              </v:rect>
            </w:pict>
          </mc:Fallback>
        </mc:AlternateContent>
      </w:r>
    </w:p>
    <w:p>
      <w:pPr>
        <w:pStyle w:val="TextBody"/>
        <w:bidi w:val="0"/>
        <w:spacing w:lineRule="auto" w:line="288" w:before="0" w:after="0"/>
        <w:jc w:val="left"/>
        <w:rPr/>
      </w:pPr>
      <w:hyperlink w:anchor="i7a02b169d6be4765847899a2d1aa61f4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portions of the increases along to our customers, or we cannot otherwise offset such increases, our gross margin and financial results could be materially affected.</w:t>
      </w:r>
    </w:p>
    <w:p>
      <w:pPr>
        <w:pStyle w:val="TextBody"/>
        <w:bidi w:val="0"/>
        <w:spacing w:before="0" w:after="0"/>
        <w:ind w:left="0" w:right="0" w:firstLine="360"/>
        <w:jc w:val="both"/>
        <w:rPr/>
      </w:pPr>
      <w:r>
        <w:rPr/>
      </w:r>
    </w:p>
    <w:p>
      <w:pPr>
        <w:pStyle w:val="TextBody"/>
        <w:bidi w:val="0"/>
        <w:spacing w:lineRule="auto" w:line="240" w:before="0" w:after="0"/>
        <w:ind w:left="0" w:right="0" w:firstLine="360"/>
        <w:jc w:val="both"/>
        <w:rPr>
          <w:rFonts w:ascii="Times New Roman;serif" w:hAnsi="Times New Roman;serif"/>
          <w:b/>
          <w:i/>
          <w:color w:val="000000"/>
          <w:sz w:val="20"/>
        </w:rPr>
      </w:pPr>
      <w:r>
        <w:rPr>
          <w:rFonts w:ascii="Times New Roman;serif" w:hAnsi="Times New Roman;serif"/>
          <w:b/>
          <w:i/>
          <w:color w:val="000000"/>
          <w:sz w:val="20"/>
        </w:rPr>
        <w:t>If we cannot attract, motivate, train or retain personnel, it will be difficult to achieve our strategic priorities, which could materially adversely affect our business, financial condition and results of operations.</w:t>
      </w:r>
    </w:p>
    <w:p>
      <w:pPr>
        <w:pStyle w:val="TextBody"/>
        <w:bidi w:val="0"/>
        <w:spacing w:before="0" w:after="0"/>
        <w:ind w:left="0" w:right="0" w:firstLine="360"/>
        <w:jc w:val="both"/>
        <w:rPr/>
      </w:pPr>
      <w:r>
        <w:rPr/>
      </w:r>
    </w:p>
    <w:p>
      <w:pPr>
        <w:pStyle w:val="TextBody"/>
        <w:bidi w:val="0"/>
        <w:spacing w:lineRule="auto" w:line="240" w:before="0" w:after="0"/>
        <w:ind w:left="0" w:right="0" w:firstLine="360"/>
        <w:jc w:val="both"/>
        <w:rPr/>
      </w:pPr>
      <w:r>
        <w:rPr>
          <w:rFonts w:ascii="Times New Roman;serif" w:hAnsi="Times New Roman;serif"/>
          <w:b w:val="false"/>
          <w:color w:val="000000"/>
          <w:sz w:val="20"/>
        </w:rPr>
        <w:t xml:space="preserve">The loss of the services and knowledge of any key personnel, particularly executive management, research and development, or sales personnel, could harm our business and prospects and impede the achievement of our research and development, operational or strategic objectives. Competition for highly skilled personnel, particularly technical and digital talent, is intense, and traditional and emerging competitors have and are likely to continue to recruit our personnel as the dental industry undergoes rapid digital transformation on a global scale. </w:t>
      </w:r>
      <w:r>
        <w:rPr>
          <w:rFonts w:ascii="Times New Roman;serif" w:hAnsi="Times New Roman;serif"/>
          <w:b w:val="false"/>
          <w:color w:val="000000"/>
          <w:sz w:val="20"/>
          <w:shd w:fill="FFFFFF" w:val="clear"/>
        </w:rPr>
        <w:t>Various internal and external factors can impact our ability to hire and retain talent, including o</w:t>
      </w:r>
      <w:r>
        <w:rPr>
          <w:rFonts w:ascii="Times New Roman;serif" w:hAnsi="Times New Roman;serif"/>
          <w:b w:val="false"/>
          <w:color w:val="000000"/>
          <w:sz w:val="20"/>
        </w:rPr>
        <w:t>ur compensation and benefit arrangements,</w:t>
      </w:r>
      <w:r>
        <w:rPr>
          <w:color w:val="000000"/>
          <w:shd w:fill="FFFFFF" w:val="clear"/>
        </w:rPr>
        <w:t xml:space="preserve"> </w:t>
      </w:r>
      <w:r>
        <w:rPr>
          <w:rFonts w:ascii="Times New Roman;serif" w:hAnsi="Times New Roman;serif"/>
          <w:b w:val="false"/>
          <w:color w:val="000000"/>
          <w:sz w:val="20"/>
          <w:shd w:fill="FFFFFF" w:val="clear"/>
        </w:rPr>
        <w:t>advancement or career opportunities at our organization,</w:t>
      </w:r>
      <w:r>
        <w:rPr>
          <w:color w:val="000000"/>
        </w:rPr>
        <w:t xml:space="preserve"> </w:t>
      </w:r>
      <w:r>
        <w:rPr>
          <w:rFonts w:ascii="Times New Roman;serif" w:hAnsi="Times New Roman;serif"/>
          <w:b w:val="false"/>
          <w:color w:val="000000"/>
          <w:sz w:val="20"/>
        </w:rPr>
        <w:t xml:space="preserve">and our past and any future restructuring efforts, such as the restructuring plans we have implemented in each of the past three fiscal years, and most recently in the third quarter of 2025. Additionally, approximately 91% of our employees are located internationally, and </w:t>
      </w:r>
      <w:r>
        <w:rPr>
          <w:rFonts w:ascii="Times New Roman;serif" w:hAnsi="Times New Roman;serif"/>
          <w:b w:val="false"/>
          <w:color w:val="000000"/>
          <w:sz w:val="20"/>
          <w:shd w:fill="FFFFFF" w:val="clear"/>
        </w:rPr>
        <w:t>restrictive immigration or travel policies or legal or regulatory developments relating to immigration in the United States and other countries may negatively affect our efforts to attract, motivate, train or retain qualified personnel.</w:t>
      </w:r>
    </w:p>
    <w:p>
      <w:pPr>
        <w:pStyle w:val="TextBody"/>
        <w:bidi w:val="0"/>
        <w:spacing w:before="0" w:after="0"/>
        <w:ind w:left="0" w:right="0" w:firstLine="360"/>
        <w:jc w:val="both"/>
        <w:rPr/>
      </w:pPr>
      <w:r>
        <w:rPr/>
      </w:r>
    </w:p>
    <w:p>
      <w:pPr>
        <w:pStyle w:val="TextBody"/>
        <w:bidi w:val="0"/>
        <w:spacing w:lineRule="auto" w:line="240"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Seamless leadership transitions for key positions are critical to sustaining our culture and organizational success. If our succession planning is ineffective, it could adversely impact our business. Organizational changes, such as our past and any future restructuring efforts, such as the restructuring plans we have implemented in each of the past three fiscal years, and most recently in the third quarter of 2025, may increase attrition and adversely impact our ability to successfully attract, motivate, and retain key personnel. In September, 2025, we required most of our employees to return to working five days per week in the office for most locations, which could impact our ability to attract and retain qualified personnel, particularly if companies that we compete with for talent have adopted work policies and arrangements that our employees may consider to be more appealing. We have experienced and may continue to experience difficulties attracting and retaining personnel that meet the qualifications, experience, compliance mindset and values we expect and share our core values of Agility, Customer and Accountability, which could impact our ability to achieve our strategic objectives and maintain compliance with obligations under our internal controls and other requirements. We provide significant training and experience to our personnel that, for certain roles, can make key personnel, such as our commercial and sales personnel, highly desirable to competitors and lead to increased attrition. </w:t>
      </w:r>
    </w:p>
    <w:p>
      <w:pPr>
        <w:pStyle w:val="TextBody"/>
        <w:bidi w:val="0"/>
        <w:spacing w:before="0" w:after="0"/>
        <w:ind w:left="0" w:right="0" w:firstLine="360"/>
        <w:jc w:val="both"/>
        <w:rPr/>
      </w:pPr>
      <w:r>
        <w:rPr/>
      </w:r>
    </w:p>
    <w:p>
      <w:pPr>
        <w:pStyle w:val="TextBody"/>
        <w:bidi w:val="0"/>
        <w:spacing w:lineRule="auto" w:line="240"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personnel represented by works councils and trade unions in certain countries and others that may be or may become eligible to be represented by works councils, trade unions and other employee associations. Labor disputes and work stoppages involving our personnel may disrupt our operations and could materially impact our results or operations.</w:t>
      </w:r>
    </w:p>
    <w:p>
      <w:pPr>
        <w:pStyle w:val="TextBody"/>
        <w:bidi w:val="0"/>
        <w:spacing w:before="0" w:after="0"/>
        <w:ind w:left="0" w:right="0" w:firstLine="360"/>
        <w:jc w:val="both"/>
        <w:rPr/>
      </w:pPr>
      <w:r>
        <w:rPr/>
      </w:r>
    </w:p>
    <w:p>
      <w:pPr>
        <w:pStyle w:val="TextBody"/>
        <w:bidi w:val="0"/>
        <w:spacing w:lineRule="auto" w:line="240" w:before="0" w:after="0"/>
        <w:ind w:left="0" w:right="0" w:firstLine="360"/>
        <w:jc w:val="both"/>
        <w:rPr>
          <w:rFonts w:ascii="Times New Roman;serif" w:hAnsi="Times New Roman;serif"/>
          <w:b/>
          <w:i/>
          <w:color w:val="000000"/>
          <w:sz w:val="20"/>
        </w:rPr>
      </w:pPr>
      <w:r>
        <w:rPr>
          <w:rFonts w:ascii="Times New Roman;serif" w:hAnsi="Times New Roman;serif"/>
          <w:b/>
          <w:i/>
          <w:color w:val="000000"/>
          <w:sz w:val="20"/>
        </w:rPr>
        <w:t>We depend on our marketing activities to deepen our market penetration and raise awareness of our brands, products, and services, which may prove unsuccessful or may become less effective or more costly to maintain in the long term.</w:t>
      </w:r>
    </w:p>
    <w:p>
      <w:pPr>
        <w:pStyle w:val="TextBody"/>
        <w:bidi w:val="0"/>
        <w:spacing w:before="0" w:after="0"/>
        <w:ind w:left="0" w:right="0" w:firstLine="360"/>
        <w:jc w:val="both"/>
        <w:rPr/>
      </w:pPr>
      <w:r>
        <w:rPr/>
      </w:r>
    </w:p>
    <w:p>
      <w:pPr>
        <w:pStyle w:val="TextBody"/>
        <w:bidi w:val="0"/>
        <w:spacing w:lineRule="auto" w:line="240"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marketing efforts and costs are significant and include national and regional campaigns in multiple countries involving television, film, print, social media and alliances with professional sports teams, athletes, social media influencers and other strategic partners. Our advertising campaigns may not achieve the desired returns on advertising spend, increase brand, product or services awareness sufficiently or generate goodwill and positive reputational goals among the teen and adult markets, enable us to maintain commercial relationships with social media influencers and other strategic partners, or differentiate our products from those featured in the growing number of advertising campaigns by competitors promoting similar products and messaging. Moreover, should any entity or individual endorsing us, our products or services take actions, make or publish statements in support of, or lend support to events or causes which are perceived by a portion of society negatively, our sponsorships or support of these entities or individuals may be questioned, our products and services boycotted and our brand image and reputation harmed, any of which could materially affect our business, financial condition and results of operations. The harm of negative publicity, particularly on social media platforms, may be immediate, without affording us an opportunity for redress or correction.</w:t>
      </w:r>
    </w:p>
    <w:p>
      <w:pPr>
        <w:pStyle w:val="TextBody"/>
        <w:bidi w:val="0"/>
        <w:spacing w:before="0" w:after="0"/>
        <w:ind w:left="0" w:right="0" w:firstLine="360"/>
        <w:jc w:val="both"/>
        <w:rPr/>
      </w:pPr>
      <w:r>
        <w:rPr/>
      </w:r>
    </w:p>
    <w:p>
      <w:pPr>
        <w:pStyle w:val="TextBody"/>
        <w:bidi w:val="0"/>
        <w:spacing w:lineRule="auto" w:line="240" w:before="0" w:after="0"/>
        <w:ind w:left="0" w:right="0" w:firstLine="360"/>
        <w:jc w:val="both"/>
        <w:rPr/>
      </w:pPr>
      <w:r>
        <w:rPr>
          <w:rFonts w:ascii="Times New Roman;serif" w:hAnsi="Times New Roman;serif"/>
          <w:b w:val="false"/>
          <w:color w:val="000000"/>
          <w:sz w:val="20"/>
        </w:rPr>
        <w:t>In addition, many countries prohibit certain types of marketing activities, such as direct to consumer advertising of medical devices. We have and may in the future be alleged to violate marketing restrictions and be ordered to stop certain marketing activities or prevented from selling our products and services. Moreover, competitors do not always follow these restrictions, which can create an unfair advantage and make it more difficult and costly to compete.</w:t>
      </w:r>
      <w:r>
        <w:rPr>
          <w:color w:val="000000"/>
        </w:rPr>
        <w:t xml:space="preserve"> </w:t>
      </w:r>
    </w:p>
    <w:p>
      <w:pPr>
        <w:pStyle w:val="TextBody"/>
        <w:bidi w:val="0"/>
        <w:spacing w:before="0" w:after="0"/>
        <w:ind w:left="0" w:right="0" w:firstLine="360"/>
        <w:jc w:val="both"/>
        <w:rPr/>
      </w:pPr>
      <w:r>
        <w:rPr/>
      </w:r>
    </w:p>
    <w:p>
      <w:pPr>
        <w:pStyle w:val="TextBody"/>
        <w:bidi w:val="0"/>
        <w:spacing w:lineRule="auto" w:line="240"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Additionally, we rely heavily on data generated from our campaigns to target specific audiences and evaluate their effectiveness, particularly data generated from internet activities on mobile devices. To obtain this data, we are dependent on third parties and popular mobile operating systems, networks, technologies, products and standards we do not control, such as the Android and iOS operating systems, and mobile browsers. Changes in such systems that degrade or eliminate our ability to target or measure the results of ads or increase costs to target audiences could adversely affect our campaigns. Operating systems could also include data privacy settings that may limit our ability to interpret, target and measure ads effectively. </w:t>
      </w:r>
    </w:p>
    <w:p>
      <w:pPr>
        <w:pStyle w:val="TextBody"/>
        <w:bidi w:val="0"/>
        <w:spacing w:before="0" w:after="0"/>
        <w:ind w:left="0" w:right="0" w:firstLine="360"/>
        <w:jc w:val="both"/>
        <w:rPr/>
      </w:pPr>
      <w:r>
        <w:rPr/>
      </w:r>
    </w:p>
    <w:p>
      <w:pPr>
        <w:pStyle w:val="TextBody"/>
        <w:bidi w:val="0"/>
        <w:spacing w:lineRule="auto" w:line="240" w:before="0" w:after="0"/>
        <w:jc w:val="both"/>
        <w:rPr>
          <w:rFonts w:ascii="Times New Roman;serif" w:hAnsi="Times New Roman;serif"/>
          <w:b/>
          <w:color w:val="333333"/>
          <w:sz w:val="20"/>
          <w:u w:val="single"/>
        </w:rPr>
      </w:pPr>
      <w:r>
        <w:rPr>
          <w:rFonts w:ascii="Times New Roman;serif" w:hAnsi="Times New Roman;serif"/>
          <w:b/>
          <w:color w:val="333333"/>
          <w:sz w:val="20"/>
          <w:u w:val="single"/>
        </w:rPr>
        <w:t>Legal, Regulatory and Compliance Risks</w:t>
      </w:r>
    </w:p>
    <w:p>
      <w:pPr>
        <w:pStyle w:val="TextBody"/>
        <w:bidi w:val="0"/>
        <w:spacing w:before="0" w:after="0"/>
        <w:jc w:val="both"/>
        <w:rPr/>
      </w:pPr>
      <w:r>
        <w:rPr/>
      </w:r>
    </w:p>
    <w:p>
      <w:pPr>
        <w:pStyle w:val="TextBody"/>
        <w:bidi w:val="0"/>
        <w:spacing w:lineRule="auto" w:line="240" w:before="0" w:after="0"/>
        <w:ind w:left="0" w:right="0" w:firstLine="360"/>
        <w:jc w:val="both"/>
        <w:rPr>
          <w:rFonts w:ascii="Times New Roman;serif" w:hAnsi="Times New Roman;serif"/>
          <w:b/>
          <w:i/>
          <w:color w:val="000000"/>
          <w:sz w:val="20"/>
        </w:rPr>
      </w:pPr>
      <w:r>
        <w:rPr>
          <w:rFonts w:ascii="Times New Roman;serif" w:hAnsi="Times New Roman;serif"/>
          <w:b/>
          <w:i/>
          <w:color w:val="000000"/>
          <w:sz w:val="20"/>
        </w:rPr>
        <w:t>We are subject to antitrust and competition regulations, litigation and enforcement that may result in fines, penalties, restrictions on our business practices, and product, services or operational changes which could materially impact our business, financial condition and results of operations.</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45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45 </w:t>
                      </w:r>
                    </w:p>
                  </w:txbxContent>
                </v:textbox>
                <w10:wrap type="none"/>
              </v:rect>
            </w:pict>
          </mc:Fallback>
        </mc:AlternateContent>
      </w:r>
    </w:p>
    <w:p>
      <w:pPr>
        <w:pStyle w:val="TextBody"/>
        <w:bidi w:val="0"/>
        <w:spacing w:lineRule="auto" w:line="288" w:before="0" w:after="0"/>
        <w:jc w:val="left"/>
        <w:rPr/>
      </w:pPr>
      <w:hyperlink w:anchor="i7a02b169d6be4765847899a2d1aa61f4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68" w:before="0" w:after="0"/>
        <w:ind w:left="0" w:right="0" w:firstLine="360"/>
        <w:jc w:val="both"/>
        <w:rPr/>
      </w:pPr>
      <w:r>
        <w:rPr>
          <w:rFonts w:ascii="Times New Roman;serif" w:hAnsi="Times New Roman;serif"/>
          <w:b w:val="false"/>
          <w:color w:val="000000"/>
          <w:sz w:val="20"/>
        </w:rPr>
        <w:t>We currently are and may in the future be subject to antitrust, competition or unfair competition-related investigations, enforcement actions or claims by governmental agencies, competitors, consumers, customers and others which, even if unfounded, could cause us to incur substantial costs (including fines), enter into settlements or consent decrees, be subject to judgments, receive negative publicity, forego certain mergers, acquisitions, business combinations, investments or other transactions, divert management time and attention, or change our business in ways that could have a material adverse effect on our business practices, revenues and results of operations, such as limiting our ability to provide certain benefits to our customers and consumers, reducing the attractiveness of our products, services and the net revenue derived from them. Governments and regulators are actively developing new competition laws, regulations and actions aimed at the technology sector, AI and digital platforms, and global activities and expansion, including in large markets such as the United States, the EU, and China. For more information, see Note 6</w:t>
      </w:r>
      <w:r>
        <w:rPr>
          <w:color w:val="000000"/>
        </w:rPr>
        <w:t xml:space="preserve"> “</w:t>
      </w:r>
      <w:r>
        <w:rPr>
          <w:rFonts w:ascii="Times New Roman;serif" w:hAnsi="Times New Roman;serif"/>
          <w:b w:val="false"/>
          <w:color w:val="000000"/>
          <w:sz w:val="20"/>
        </w:rPr>
        <w:t>Legal Proceedings” of the Notes to Condensed Consolidated Financial Statements in Part I, Item 1 of this Quarterly Report on Form 10-Q.</w:t>
      </w:r>
    </w:p>
    <w:p>
      <w:pPr>
        <w:pStyle w:val="TextBody"/>
        <w:bidi w:val="0"/>
        <w:spacing w:before="0" w:after="0"/>
        <w:ind w:left="0" w:right="0" w:firstLine="360"/>
        <w:jc w:val="both"/>
        <w:rPr/>
      </w:pPr>
      <w:r>
        <w:rPr/>
      </w:r>
    </w:p>
    <w:p>
      <w:pPr>
        <w:pStyle w:val="TextBody"/>
        <w:bidi w:val="0"/>
        <w:spacing w:lineRule="auto" w:line="240"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Antitrust considerations may also hinder our ability to settle such matters on favorable terms, as certain types of settlement agreements may be subject to heightened scrutiny by antitrust authorities. In the E.U., for instance, antitrust regulators closely monitor settlement agreements for compliance with competition laws, adding another layer of complexity and potential risk to these proceedings.</w:t>
      </w:r>
    </w:p>
    <w:p>
      <w:pPr>
        <w:pStyle w:val="TextBody"/>
        <w:bidi w:val="0"/>
        <w:spacing w:before="0" w:after="0"/>
        <w:ind w:left="0" w:right="0" w:firstLine="360"/>
        <w:jc w:val="both"/>
        <w:rPr/>
      </w:pPr>
      <w:r>
        <w:rPr/>
      </w:r>
    </w:p>
    <w:p>
      <w:pPr>
        <w:pStyle w:val="TextBody"/>
        <w:bidi w:val="0"/>
        <w:spacing w:lineRule="auto" w:line="240" w:before="0" w:after="0"/>
        <w:ind w:left="0" w:right="0" w:firstLine="360"/>
        <w:jc w:val="both"/>
        <w:rPr>
          <w:rFonts w:ascii="Times New Roman;serif" w:hAnsi="Times New Roman;serif"/>
          <w:b/>
          <w:i/>
          <w:color w:val="000000"/>
          <w:sz w:val="20"/>
        </w:rPr>
      </w:pPr>
      <w:r>
        <w:rPr>
          <w:rFonts w:ascii="Times New Roman;serif" w:hAnsi="Times New Roman;serif"/>
          <w:b/>
          <w:i/>
          <w:color w:val="000000"/>
          <w:sz w:val="20"/>
        </w:rPr>
        <w:t>Failure to obtain or maintain approvals or comply with regulations and government actions regarding our products or services or those of our suppliers could materially harm our sales, result in substantial penalties and fines, interrupt our supply chain and cause harm to our reputation.</w:t>
      </w:r>
    </w:p>
    <w:p>
      <w:pPr>
        <w:pStyle w:val="TextBody"/>
        <w:bidi w:val="0"/>
        <w:spacing w:before="0" w:after="0"/>
        <w:ind w:left="0" w:right="0" w:firstLine="360"/>
        <w:jc w:val="both"/>
        <w:rPr/>
      </w:pPr>
      <w:r>
        <w:rPr/>
      </w:r>
    </w:p>
    <w:p>
      <w:pPr>
        <w:pStyle w:val="TextBody"/>
        <w:bidi w:val="0"/>
        <w:spacing w:lineRule="auto" w:line="240"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and many of our healthcare provider customers, suppliers and commercial intermediaries are subject to extensive and evolving regulations and government actions under numerous federal, state, local, and foreign laws, including those regulating:</w:t>
      </w:r>
    </w:p>
    <w:p>
      <w:pPr>
        <w:pStyle w:val="TextBody"/>
        <w:bidi w:val="0"/>
        <w:spacing w:before="0" w:after="0"/>
        <w:jc w:val="both"/>
        <w:rPr/>
      </w:pPr>
      <w:r>
        <w:rPr/>
      </w:r>
    </w:p>
    <w:p>
      <w:pPr>
        <w:pStyle w:val="TextBody"/>
        <w:bidi w:val="0"/>
        <w:spacing w:lineRule="auto" w:line="240" w:before="0" w:after="0"/>
        <w:ind w:left="0" w:right="0" w:hanging="360"/>
        <w:jc w:val="both"/>
        <w:rPr/>
      </w:pPr>
      <w:r>
        <w:rPr>
          <w:color w:val="000000"/>
        </w:rPr>
        <w:t>•</w:t>
      </w:r>
      <w:r>
        <w:rPr>
          <w:rFonts w:ascii="Times New Roman;serif" w:hAnsi="Times New Roman;serif"/>
          <w:b w:val="false"/>
          <w:color w:val="000000"/>
          <w:sz w:val="20"/>
        </w:rPr>
        <w:t xml:space="preserve">the access, storage, transmission, disclosure, and other processing of, and security measures with respect to, personal, financial and medical information as well as healthcare records, including children’s personal and health data; </w:t>
      </w:r>
    </w:p>
    <w:p>
      <w:pPr>
        <w:pStyle w:val="TextBody"/>
        <w:bidi w:val="0"/>
        <w:spacing w:lineRule="auto" w:line="240" w:before="0" w:after="0"/>
        <w:ind w:left="0" w:right="0" w:hanging="360"/>
        <w:jc w:val="both"/>
        <w:rPr/>
      </w:pPr>
      <w:r>
        <w:rPr>
          <w:color w:val="000000"/>
        </w:rPr>
        <w:t>•</w:t>
      </w:r>
      <w:r>
        <w:rPr>
          <w:rFonts w:ascii="Times New Roman;serif" w:hAnsi="Times New Roman;serif"/>
          <w:b w:val="false"/>
          <w:color w:val="000000"/>
          <w:sz w:val="20"/>
        </w:rPr>
        <w:t xml:space="preserve">websites and application advertising, including those involving the use of cookies or involving the collection, use, disclosure, or other processing of data relating to individuals for marketing purposes and other business purposes; </w:t>
      </w:r>
    </w:p>
    <w:p>
      <w:pPr>
        <w:pStyle w:val="TextBody"/>
        <w:bidi w:val="0"/>
        <w:spacing w:lineRule="auto" w:line="240" w:before="0" w:after="0"/>
        <w:ind w:left="0" w:right="0" w:hanging="360"/>
        <w:jc w:val="both"/>
        <w:rPr/>
      </w:pPr>
      <w:r>
        <w:rPr>
          <w:color w:val="000000"/>
        </w:rPr>
        <w:t>•</w:t>
      </w:r>
      <w:r>
        <w:rPr>
          <w:rFonts w:ascii="Times New Roman;serif" w:hAnsi="Times New Roman;serif"/>
          <w:b w:val="false"/>
          <w:color w:val="000000"/>
          <w:sz w:val="20"/>
        </w:rPr>
        <w:t>prohibitions against the offer, payment or receipt of remuneration to induce referrals to entities providing healthcare services or goods or to induce the order, purchase or recommendation of our products and services; and</w:t>
      </w:r>
    </w:p>
    <w:p>
      <w:pPr>
        <w:pStyle w:val="TextBody"/>
        <w:bidi w:val="0"/>
        <w:spacing w:lineRule="auto" w:line="240" w:before="0" w:after="0"/>
        <w:ind w:left="0" w:right="0" w:hanging="360"/>
        <w:jc w:val="both"/>
        <w:rPr/>
      </w:pPr>
      <w:r>
        <w:rPr>
          <w:color w:val="000000"/>
        </w:rPr>
        <w:t>•</w:t>
      </w:r>
      <w:r>
        <w:rPr>
          <w:rFonts w:ascii="Times New Roman;serif" w:hAnsi="Times New Roman;serif"/>
          <w:b w:val="false"/>
          <w:color w:val="000000"/>
          <w:sz w:val="20"/>
        </w:rPr>
        <w:t>the design, manufacture, marketing and advertising of our products and services.</w:t>
      </w:r>
    </w:p>
    <w:p>
      <w:pPr>
        <w:pStyle w:val="TextBody"/>
        <w:bidi w:val="0"/>
        <w:spacing w:before="0" w:after="0"/>
        <w:jc w:val="both"/>
        <w:rPr/>
      </w:pPr>
      <w:r>
        <w:rPr/>
      </w:r>
    </w:p>
    <w:p>
      <w:pPr>
        <w:pStyle w:val="TextBody"/>
        <w:bidi w:val="0"/>
        <w:spacing w:lineRule="auto" w:line="240"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healthcare and technology markets are also highly regulated and subject to evolving political, economic and regulatory influences and government actions. Global regulators are expanding and changing regulations and guidance for products and services, which can limit their potential benefits and cause protracted review timelines for new products and services. Our critical third-party vendors and service providers are subject to similar regulations. Our failure or the failure of our suppliers, customers, advertisers, consultants, and influencers to strictly adhere to clearances or approvals in the labeling, marketing and sales of our products and services could subject us to claims or litigation, including allegations of false or misleading advertising or violations of laws or regulations, which may result in costly investigations, fines, penalties, as well as material judgments, settlements or decrees. We are also subject to complex, new and evolving environmental, health and safety regulations. There can be no assurance we will adequately address the risks associated with the implementation and compliance with such laws and our internal processes and procedures to comply with such laws or that we will be able to take advantage of any resulting business opportunities.</w:t>
      </w:r>
    </w:p>
    <w:p>
      <w:pPr>
        <w:pStyle w:val="TextBody"/>
        <w:bidi w:val="0"/>
        <w:spacing w:before="0" w:after="0"/>
        <w:ind w:left="0" w:right="0" w:firstLine="360"/>
        <w:jc w:val="both"/>
        <w:rPr/>
      </w:pPr>
      <w:r>
        <w:rPr/>
      </w:r>
    </w:p>
    <w:p>
      <w:pPr>
        <w:pStyle w:val="TextBody"/>
        <w:bidi w:val="0"/>
        <w:spacing w:lineRule="auto" w:line="240"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Furthermore, we frequently must obtain regulatory clearance or approval before we can sell a new medical device or market a new use of, or claim for, an existing product. For instance, in the United States, FDA regulations are wide-ranging and govern, among other things, product design, product materials, development, manufacturing and testing, product labeling and product storage. It takes significant time, effort, and expense to obtain and maintain clearances and approvals of products and services, and there is no guarantee we will timely succeed, if at all, in the countries in which we do business. In other countries, the requirements, time, effort and expense to obtain and maintain clearances may differ materially. Moreover, these laws may change, resulting in additional time, expense or loss of market access. If the requirements to market our products or services are delayed, we may be unable to offer them in markets we deem important. Additionally, failure to comply with applicable regulatory requirements could result in enforcement actions with sanctions, including fines, civil penalties and criminal prosecution. Delays or failures to obtain or maintain regulatory approvals or clearances, or to comply with regulatory requirements, may materially adversely affect our domestic or international operations, and adversely impact our business. We and certain of our third-party vendors must also comply with and adhere to facility registration and product listing requirements for Quality System regulations. The FDA enforces its Quality System regulations through periodic unannounced inspections. Failure to satisfactorily correct an adverse inspection finding or comply with applicable regulations can result in enforcement actions, or require us to find alternative manufacturers, which could be a long and costly process and may cause reputational harm. Enforcement actions by regulators could have a material effect on our business, financial condition and results of operations.</w:t>
      </w:r>
    </w:p>
    <w:p>
      <w:pPr>
        <w:pStyle w:val="TextBody"/>
        <w:bidi w:val="0"/>
        <w:spacing w:before="0" w:after="0"/>
        <w:ind w:left="0" w:right="0" w:firstLine="360"/>
        <w:jc w:val="both"/>
        <w:rPr/>
      </w:pPr>
      <w:r>
        <w:rPr/>
      </w:r>
    </w:p>
    <w:p>
      <w:pPr>
        <w:pStyle w:val="TextBody"/>
        <w:bidi w:val="0"/>
        <w:spacing w:lineRule="auto" w:line="240"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are also subject to anti-corruption and anti-bribery (“ABAC”) laws such as the Foreign Corrupt Practices Act (“FCPA”) and the U.K. Bribery Act of 2010, which generally prohibit payments to foreign officials for the purpose of obtaining or maintaining business, securing an advantage and directing business to another. ABAC laws require us to maintain accurate books and records and a system of internal accounting controls. Under the FCPA, we may be held liable for corruption by directors, officers, employees, agents, or other strategic or local partners, intermediaries or representatives acting on our behalf. </w:t>
      </w:r>
    </w:p>
    <w:p>
      <w:pPr>
        <w:pStyle w:val="TextBody"/>
        <w:bidi w:val="0"/>
        <w:spacing w:before="0" w:after="0"/>
        <w:ind w:left="0" w:right="0" w:firstLine="360"/>
        <w:jc w:val="both"/>
        <w:rPr/>
      </w:pPr>
      <w:r>
        <w:rPr/>
      </w:r>
    </w:p>
    <w:p>
      <w:pPr>
        <w:pStyle w:val="TextBody"/>
        <w:bidi w:val="0"/>
        <w:spacing w:lineRule="auto" w:line="240"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While we have policies and procedures requiring compliance with applicable laws and regulations and we provide training to foster compliance, our employees, third parties acting on our behalf, and customers may not adhere to our policies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46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46 </w:t>
                      </w:r>
                    </w:p>
                  </w:txbxContent>
                </v:textbox>
                <w10:wrap type="none"/>
              </v:rect>
            </w:pict>
          </mc:Fallback>
        </mc:AlternateContent>
      </w:r>
    </w:p>
    <w:p>
      <w:pPr>
        <w:pStyle w:val="TextBody"/>
        <w:bidi w:val="0"/>
        <w:spacing w:lineRule="auto" w:line="288" w:before="0" w:after="0"/>
        <w:jc w:val="left"/>
        <w:rPr/>
      </w:pPr>
      <w:hyperlink w:anchor="i7a02b169d6be4765847899a2d1aa61f4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procedures or applicable laws or regulations, including the use of certain electronic communications and maintaining accurate books and records. If our personnel or the personnel of our agents or suppliers fail to comply with any laws, regulations, policies or procedures, or we fail to audit and enforce compliance, our reputation may be harmed, we may lose customers or revenues or we may face regulatory investigations, actions and fines.</w:t>
      </w:r>
    </w:p>
    <w:p>
      <w:pPr>
        <w:pStyle w:val="TextBody"/>
        <w:bidi w:val="0"/>
        <w:spacing w:before="0" w:after="0"/>
        <w:jc w:val="both"/>
        <w:rPr/>
      </w:pPr>
      <w:r>
        <w:rPr/>
      </w:r>
    </w:p>
    <w:p>
      <w:pPr>
        <w:pStyle w:val="TextBody"/>
        <w:bidi w:val="0"/>
        <w:spacing w:lineRule="auto" w:line="240" w:before="0" w:after="0"/>
        <w:ind w:left="0" w:right="0" w:firstLine="360"/>
        <w:jc w:val="both"/>
        <w:rPr>
          <w:rFonts w:ascii="Times New Roman;serif" w:hAnsi="Times New Roman;serif"/>
          <w:b/>
          <w:i/>
          <w:color w:val="000000"/>
          <w:sz w:val="20"/>
        </w:rPr>
      </w:pPr>
      <w:r>
        <w:rPr>
          <w:rFonts w:ascii="Times New Roman;serif" w:hAnsi="Times New Roman;serif"/>
          <w:b/>
          <w:i/>
          <w:color w:val="000000"/>
          <w:sz w:val="20"/>
        </w:rPr>
        <w:t>We are subject to various laws relating to privacy, data protection, data governance and cybersecurity, and face risks related to the data we collect, process, and share.</w:t>
      </w:r>
    </w:p>
    <w:p>
      <w:pPr>
        <w:pStyle w:val="TextBody"/>
        <w:bidi w:val="0"/>
        <w:spacing w:before="0" w:after="0"/>
        <w:ind w:left="0" w:right="0" w:firstLine="360"/>
        <w:jc w:val="both"/>
        <w:rPr/>
      </w:pPr>
      <w:r>
        <w:rPr/>
      </w:r>
    </w:p>
    <w:p>
      <w:pPr>
        <w:pStyle w:val="TextBody"/>
        <w:bidi w:val="0"/>
        <w:spacing w:lineRule="auto" w:line="240"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are or may become, or alleged to be or become, subject to stringent federal, state, and foreign laws and regulations, such as HIPAA, which regulates the security and privacy of patient healthcare information applicable to healthcare providers and their business associates, and the California Consumer Protection Act, as amended by the California Privacy Rights Act, which regulates privacy, data security, content regulation and consumer protection. Numerous other states have enacted, or plan to enact, laws relating to privacy, data protection, data governance and cybersecurity, with such enacted laws either in operation or slated to go into operation over the next several years. Outside of the United States, relevant legal requirements continue to evolve. For example, the collection and use of health data and other personal information is governed in the EU by the EU GDPR, which imposes significant obligations upon companies and rights for individuals, with substantial penalties for noncompliance. Numerous other jurisdictions maintain similar legislation or other laws or regulations addressing privacy, data protection, data governance, or cybersecurity. Several jurisdictions, including the EU, United States, China, Australia, and Japan, have enacted data export restrictions and international transfer laws and regulations that established legal requirements for cross-border transfers of all or certain personal information and certain jurisdictions have also established legal requirements for data localization, which may require us to maintain separate servers located in those countries so that all or certain personal information are maintained locally. </w:t>
      </w:r>
    </w:p>
    <w:p>
      <w:pPr>
        <w:pStyle w:val="TextBody"/>
        <w:bidi w:val="0"/>
        <w:spacing w:before="0" w:after="0"/>
        <w:ind w:left="0" w:right="0" w:firstLine="360"/>
        <w:jc w:val="both"/>
        <w:rPr/>
      </w:pPr>
      <w:r>
        <w:rPr/>
      </w:r>
    </w:p>
    <w:p>
      <w:pPr>
        <w:pStyle w:val="TextBody"/>
        <w:bidi w:val="0"/>
        <w:spacing w:lineRule="auto" w:line="240"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These laws, regulations and other obligations relating to privacy, data protection, data governance and cybersecurity are constantly evolving and may be created, interpreted or enforced in ways that could impose new, substantially uncertain, and relatively burdensome obligations on our global operations, restrict our activities and our ability to provide our products and services in certain jurisdictions, require us to cease operations or modify our policies and business practices in a materially limiting manner, prevent us from resolving issues quickly or force us to resolve them in unanticipated ways, require us to engage in additional contractual negotiations, increase our costs and obligations and limit our ability to efficiently transfer personal data across borders, cause us to incur significant costs, expenses and damages, and present challenges in adapting our policies and practices to address their requirements. Any failure or perceived failure by us or our vendors, customers, or service providers to comply with applicable privacy and data protection laws or to adequately safeguard personal data or patient healthcare information, even if unfounded, may result in regulatory investigations, enforcement actions, litigation (including class actions), and financial penalties, any of which could materially affect our operations and financial performance. Additionally, concerns over our practices with respect to privacy, data protection, data governance, and cybersecurity could adversely affect our reputation and deter customers and consumers from using our products and services. </w:t>
      </w:r>
    </w:p>
    <w:p>
      <w:pPr>
        <w:pStyle w:val="TextBody"/>
        <w:bidi w:val="0"/>
        <w:spacing w:before="0" w:after="0"/>
        <w:ind w:left="0" w:right="0" w:firstLine="360"/>
        <w:jc w:val="both"/>
        <w:rPr/>
      </w:pPr>
      <w:r>
        <w:rPr/>
      </w:r>
    </w:p>
    <w:p>
      <w:pPr>
        <w:pStyle w:val="TextBody"/>
        <w:bidi w:val="0"/>
        <w:spacing w:lineRule="auto" w:line="240"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cybersecurity and other forms of insurance coverage related to cyberattacks, breaches, and other incidents or security problems, but we cannot guarantee applicable insurance will be available to us in the future on economically reasonable terms or at all. Damages and claims arising from incidents may not be covered, may exceed coverage limits, and may not cover the time and effort we incur investigating and responding to any incidents, or other costs or liabilities, which may be material. The costs to eliminate, mitigate, or recover from security problems and cybersecurity attacks and incidents could be material and require us to implement additional or different security controls or other measures and, depending on the nature and extent of the problem and the products, services or IT systems impacted, such security problems and cybersecurity attacks and incidents may result in network, IT system interruptions or other disruptions, decreased product sales, data loss, damage, unavailability, or other liabilities, any of which may have a material impact on our operations, net revenues and operating results. The costs associated with cybersecurity tools and infrastructure and competition for scarce cybersecurity and IT resources could limit our ability to identify, eliminate or remediate cybersecurity or other security vulnerabilities or problems or enact changes to minimize the attack surface of our network.</w:t>
      </w:r>
    </w:p>
    <w:p>
      <w:pPr>
        <w:pStyle w:val="TextBody"/>
        <w:bidi w:val="0"/>
        <w:spacing w:before="0" w:after="0"/>
        <w:jc w:val="both"/>
        <w:rPr/>
      </w:pPr>
      <w:r>
        <w:rPr/>
      </w:r>
    </w:p>
    <w:p>
      <w:pPr>
        <w:pStyle w:val="TextBody"/>
        <w:bidi w:val="0"/>
        <w:spacing w:lineRule="auto" w:line="240" w:before="0" w:after="0"/>
        <w:ind w:left="0" w:right="0" w:firstLine="360"/>
        <w:jc w:val="both"/>
        <w:rPr>
          <w:rFonts w:ascii="Times New Roman;serif" w:hAnsi="Times New Roman;serif"/>
          <w:b/>
          <w:i/>
          <w:color w:val="000000"/>
          <w:sz w:val="20"/>
        </w:rPr>
      </w:pPr>
      <w:r>
        <w:rPr>
          <w:rFonts w:ascii="Times New Roman;serif" w:hAnsi="Times New Roman;serif"/>
          <w:b/>
          <w:i/>
          <w:color w:val="000000"/>
          <w:sz w:val="20"/>
        </w:rPr>
        <w:t>Our business exposes us to potential liability for the quality and safety of our products and services, how we advertise and market those products and services, and how and to whom we sell them, and we may incur substantial expenses or be found liable for substantial damages or penalties if we are subject to claims or litigation.</w:t>
      </w:r>
    </w:p>
    <w:p>
      <w:pPr>
        <w:pStyle w:val="TextBody"/>
        <w:bidi w:val="0"/>
        <w:spacing w:before="0" w:after="0"/>
        <w:ind w:left="0" w:right="0" w:firstLine="360"/>
        <w:jc w:val="both"/>
        <w:rPr/>
      </w:pPr>
      <w:r>
        <w:rPr/>
      </w:r>
    </w:p>
    <w:p>
      <w:pPr>
        <w:pStyle w:val="TextBody"/>
        <w:bidi w:val="0"/>
        <w:spacing w:lineRule="auto" w:line="240"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products and services involve an inherent risk of claims concerning their design, materials, manufacture, safety, and performance, how we package, bundle, or sell them to individual customers or companies, including hospitals and clinics, and how we train and support doctors, their staffs and patients who use our products and services. Moreover, consumer products and services are routinely subject to claims of false, deceptive or misleading advertising, labeling, consumer fraud and unfair business practices. Additionally, we may be held liable if our products or services cause injury or are otherwise found unhealthy. If our products and services are safe but they are promoted for use or used in unintended or unexpected ways or for which we have not obtained clearance (“off-label” usage), we may be investigated, fined or have our products or services enjoined or approvals rescinded or we may be required to defend ourselves in litigation. Although we maintain insurance for product liability, business practices, and other types of activities we make or offer, coverage may not be available on acceptable terms, if at all, and may be insufficient for actual liabilities. Any claim for product liability, sales, advertising and business practices, regardless of its merit or eventual outcome, could result in material legal defense costs and damage our reputation, increase our expenses, and divert management’s attention.</w:t>
      </w:r>
    </w:p>
    <w:p>
      <w:pPr>
        <w:pStyle w:val="TextBody"/>
        <w:bidi w:val="0"/>
        <w:spacing w:before="0" w:after="0"/>
        <w:ind w:left="0" w:right="0" w:firstLine="360"/>
        <w:jc w:val="both"/>
        <w:rPr/>
      </w:pPr>
      <w:r>
        <w:rPr/>
      </w:r>
    </w:p>
    <w:p>
      <w:pPr>
        <w:pStyle w:val="TextBody"/>
        <w:bidi w:val="0"/>
        <w:spacing w:lineRule="auto" w:line="240" w:before="0" w:after="0"/>
        <w:ind w:left="0" w:right="0" w:firstLine="360"/>
        <w:jc w:val="both"/>
        <w:rPr>
          <w:rFonts w:ascii="Times New Roman;serif" w:hAnsi="Times New Roman;serif"/>
          <w:b/>
          <w:i/>
          <w:color w:val="000000"/>
          <w:sz w:val="20"/>
        </w:rPr>
      </w:pPr>
      <w:r>
        <w:rPr>
          <w:rFonts w:ascii="Times New Roman;serif" w:hAnsi="Times New Roman;serif"/>
          <w:b/>
          <w:i/>
          <w:color w:val="000000"/>
          <w:sz w:val="20"/>
        </w:rPr>
        <w:t xml:space="preserve">Current and anticipated sustainability and social (“Sustainability”) laws and scrutiny of our Sustainability policies and practices may materially increase our costs, expose us to liability, and adversely impact our reputation, employee retention, willingness of customers and suppliers to do business with us and willingness of investors to invest in us. </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47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47 </w:t>
                      </w:r>
                    </w:p>
                  </w:txbxContent>
                </v:textbox>
                <w10:wrap type="none"/>
              </v:rect>
            </w:pict>
          </mc:Fallback>
        </mc:AlternateContent>
      </w:r>
    </w:p>
    <w:p>
      <w:pPr>
        <w:pStyle w:val="TextBody"/>
        <w:bidi w:val="0"/>
        <w:spacing w:lineRule="auto" w:line="288" w:before="0" w:after="0"/>
        <w:jc w:val="left"/>
        <w:rPr/>
      </w:pPr>
      <w:hyperlink w:anchor="i7a02b169d6be4765847899a2d1aa61f4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40"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operations are subject to rapidly changing and varied expectations and requirements regarding Sustainability issues from a wide range of stakeholders, such as governmental and self-regulatory organizations, including U.S. federal and state governments, and the EU, as well as investor advocacy groups, institutional investors, investment funds, proxy advisory services, stockholders and customers. We are also required to comply with disclosure obligations under the SEC’s long-standing climate change disclosure guidance and other SEC regulations, as well as the European Union’s Corporate Sustainability Reporting Directive (“CSRD”). If we fail to adopt Sustainability standards or practices as quickly as stakeholders desire, comply with or timely report on our Sustainability efforts or practices accurately, or satisfy the disclosure and other expectations of stakeholders, our brand, reputation, employee retention, business, financial performance, growth, and stock price may be adversely impacted.</w:t>
      </w:r>
    </w:p>
    <w:p>
      <w:pPr>
        <w:pStyle w:val="TextBody"/>
        <w:bidi w:val="0"/>
        <w:spacing w:before="0" w:after="0"/>
        <w:ind w:left="0" w:right="0" w:firstLine="360"/>
        <w:jc w:val="both"/>
        <w:rPr/>
      </w:pPr>
      <w:r>
        <w:rPr/>
      </w:r>
    </w:p>
    <w:p>
      <w:pPr>
        <w:pStyle w:val="TextBody"/>
        <w:bidi w:val="0"/>
        <w:spacing w:lineRule="auto" w:line="240"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compliance obligations span all aspects of our business and operations, including product design and development, materials sourcing and other procurement activities, product packaging, product safety, energy and natural resources usage, facilities design and utilization, recycling and collection, transportation, disposal activities, workers’ and human rights. U.S. and foreign regulators have or are considering enacting new or additional disclosure requirements or limits on the emissions of greenhouse gases from power generated by fossil fuels. Additionally, customers and consumers may demand our products, packaging and operations be more sustainable, which could affect how we manufacture and package our products, increase our costs and those of our suppliers, and result in manufacturing, transportation and supply chain disruptions if clean energy sources are unavailable in adequate amounts when required. Moreover, clean energy sources, coupled with reduced investments in traditional energy production and infrastructure, may not provide the predictable and reliable energy we, our suppliers and other business partners require.</w:t>
      </w:r>
    </w:p>
    <w:p>
      <w:pPr>
        <w:pStyle w:val="TextBody"/>
        <w:bidi w:val="0"/>
        <w:spacing w:before="0" w:after="0"/>
        <w:ind w:left="0" w:right="0" w:firstLine="360"/>
        <w:jc w:val="both"/>
        <w:rPr/>
      </w:pPr>
      <w:r>
        <w:rPr/>
      </w:r>
    </w:p>
    <w:p>
      <w:pPr>
        <w:pStyle w:val="TextBody"/>
        <w:bidi w:val="0"/>
        <w:spacing w:lineRule="auto" w:line="240"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Other restrictions apply to the substances incorporated into our products, including the chemical compounds in our clear aligners, electronics in our scanners and the packaging in which they are shipped. These laws are proliferating and new substances subject to restrictions are added regularly and may require additional reporting or phasing out of certain chemicals and compounds such as per- and polyfluoroalkyl substances (PFAS) and microplastics. We may be required to re-design our products or identify new suppliers to maintain compliance with these laws. Further, these laws and regulations may decrease the number of suppliers capable of supplying our needs, thereby negatively affecting our ability to manufacture products in sufficient quantities at competitive prices, leading customers to potentially choose competitive goods and services. </w:t>
      </w:r>
    </w:p>
    <w:p>
      <w:pPr>
        <w:pStyle w:val="TextBody"/>
        <w:bidi w:val="0"/>
        <w:spacing w:before="0" w:after="0"/>
        <w:ind w:left="0" w:right="0" w:firstLine="360"/>
        <w:jc w:val="both"/>
        <w:rPr/>
      </w:pPr>
      <w:r>
        <w:rPr/>
      </w:r>
    </w:p>
    <w:p>
      <w:pPr>
        <w:pStyle w:val="TextBody"/>
        <w:bidi w:val="0"/>
        <w:spacing w:lineRule="auto" w:line="240"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Meeting our obligations under existing Sustainability laws and regulations is costly for us and our suppliers, and we expect these regulations and costs to increase as the regulatory frameworks in each jurisdiction in which we operate become more complex and distinct. Additionally, regulators may perform investigations, inspections and periodically audit our compliance with these laws and regulations, and our efforts or operations may not be compliant. If we fail to comply with any requirements, we could be subject to significant penalties or liabilities and we may be required to implement new and materially more costly processes and procedures. Even if we successfully comply with these laws and regulations, our suppliers may not. We may also suffer financial and reputational harm if customers require, and we cannot deliver, certification that our products are compliant. In all of these situations, customers may stop purchasing products from us, and may take legal action against us, which could harm our reputation, business, financial condition and results of operations.</w:t>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TextBody"/>
        <w:bidi w:val="0"/>
        <w:spacing w:lineRule="auto" w:line="240" w:before="0" w:after="0"/>
        <w:ind w:left="0" w:right="0" w:firstLine="360"/>
        <w:jc w:val="both"/>
        <w:rPr>
          <w:rFonts w:ascii="Times New Roman;serif" w:hAnsi="Times New Roman;serif"/>
          <w:b/>
          <w:i/>
          <w:color w:val="000000"/>
          <w:sz w:val="20"/>
        </w:rPr>
      </w:pPr>
      <w:r>
        <w:rPr>
          <w:rFonts w:ascii="Times New Roman;serif" w:hAnsi="Times New Roman;serif"/>
          <w:b/>
          <w:i/>
          <w:color w:val="000000"/>
          <w:sz w:val="20"/>
        </w:rPr>
        <w:t>AI and machine learning technologies in our products, services and IT systems may result in legal and regulatory risks, reputational harm or have other adverse consequences to our business.</w:t>
      </w:r>
    </w:p>
    <w:p>
      <w:pPr>
        <w:pStyle w:val="TextBody"/>
        <w:bidi w:val="0"/>
        <w:spacing w:before="0" w:after="0"/>
        <w:ind w:left="0" w:right="0" w:firstLine="360"/>
        <w:jc w:val="both"/>
        <w:rPr/>
      </w:pPr>
      <w:r>
        <w:rPr/>
      </w:r>
    </w:p>
    <w:p>
      <w:pPr>
        <w:pStyle w:val="TextBody"/>
        <w:bidi w:val="0"/>
        <w:spacing w:lineRule="auto" w:line="240"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and are continuing to incorporate AI and machine learning technologies into certain of our products, services and IT systems, while continuing to explore the opportunities that AI could bring to our company. However, there can be no assurance that we or our customers will realize the expected benefits from these investments. AI innovation presents risks and challenges that could impact our business. Our or our vendors’ AI technologies may be developed using inaccurate, incomplete, flawed or biased algorithms, training methodologies or data, which could lead to the dissemination of false information and result in competitive harm, regulatory penalties, legal liability, or brand or reputational harm.</w:t>
      </w:r>
    </w:p>
    <w:p>
      <w:pPr>
        <w:pStyle w:val="TextBody"/>
        <w:bidi w:val="0"/>
        <w:spacing w:before="0" w:after="0"/>
        <w:ind w:left="0" w:right="0" w:firstLine="360"/>
        <w:jc w:val="both"/>
        <w:rPr/>
      </w:pPr>
      <w:r>
        <w:rPr/>
      </w:r>
    </w:p>
    <w:p>
      <w:pPr>
        <w:pStyle w:val="TextBody"/>
        <w:bidi w:val="0"/>
        <w:spacing w:lineRule="auto" w:line="240"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AI is subject to a dynamic and rapidly evolving legal and regulatory environment, which, without appropriate review, governance and risk management, could expose us to unforeseen legal or regulatory scrutiny and liabilities. For example, the U.S. AI regulatory framework remains in development and has been introduced at the federal level through executive orders and legislation has been introduced and enacted at the state level. In Europe, the EU AI Act entered into force on August 1, 2024 which will become fully effective on August 2, 2026, with some provisions effective in February 2025. Other jurisdictions are considering similar legislation. Although we do not engage in developing or providing AI systems for which their placement on the market, putting into service, or use would qualify as “prohibited AI practices,” restrictions and obligations under this regulation, to the extent applicable to us, could have a negative impact on our business, global systems, financial condition and results of operations. Additionally, other jurisdictions have proposed, and in certain cases enacted, laws and regulations addressing aspects of the use and development of AI. The evolving AI regulatory environment may, among other impacts, result in inconsistencies among AI regulations and frameworks across jurisdictions; onerous compliance, governance, and research and development obligations that may require us to rework or reevaluate products or services to be compliant or result in the development of products that are unacceptable under new or revised regulatory frameworks; increased risk of exposure to investigations, proceedings and claims related to our AI models; increased liability related to the use of AI by our customers, consumers or suppliers beyond our control; delays in the deployment of new products and services; competitive and reputational harm; and increased cybersecurity risks. </w:t>
      </w:r>
    </w:p>
    <w:p>
      <w:pPr>
        <w:pStyle w:val="TextBody"/>
        <w:bidi w:val="0"/>
        <w:spacing w:before="0" w:after="0"/>
        <w:ind w:left="0" w:right="0" w:firstLine="360"/>
        <w:jc w:val="both"/>
        <w:rPr/>
      </w:pPr>
      <w:r>
        <w:rPr/>
      </w:r>
    </w:p>
    <w:p>
      <w:pPr>
        <w:pStyle w:val="TextBody"/>
        <w:bidi w:val="0"/>
        <w:spacing w:lineRule="auto" w:line="240"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Additionally, as we offer more third-party AI models in our solutions, we face risks inherent in how third-party AI models used in our solutions have been developed and deployed, including situations in which the third party may lack a proper license or consent for the training data used for their model. The use and availability of third-party AI models in our solutions could result in scrutiny and legal liability, including intellectual property infringement claims. Such claims or scrutiny could cause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48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48 </w:t>
                      </w:r>
                    </w:p>
                  </w:txbxContent>
                </v:textbox>
                <w10:wrap type="none"/>
              </v:rect>
            </w:pict>
          </mc:Fallback>
        </mc:AlternateContent>
      </w:r>
    </w:p>
    <w:p>
      <w:pPr>
        <w:pStyle w:val="TextBody"/>
        <w:bidi w:val="0"/>
        <w:spacing w:lineRule="auto" w:line="288" w:before="0" w:after="0"/>
        <w:jc w:val="left"/>
        <w:rPr/>
      </w:pPr>
      <w:hyperlink w:anchor="i7a02b169d6be4765847899a2d1aa61f4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reputational harm and loss of customers, and adversely impact our business and financial results. In addition, new competition regulations on AI development and deployment could impose new requirements on our markets that could impact our business and financial results.</w:t>
      </w:r>
    </w:p>
    <w:p>
      <w:pPr>
        <w:pStyle w:val="TextBody"/>
        <w:bidi w:val="0"/>
        <w:spacing w:before="0" w:after="0"/>
        <w:ind w:left="0" w:right="0" w:firstLine="360"/>
        <w:jc w:val="both"/>
        <w:rPr/>
      </w:pPr>
      <w:r>
        <w:rPr/>
      </w:r>
    </w:p>
    <w:p>
      <w:pPr>
        <w:pStyle w:val="TextBody"/>
        <w:bidi w:val="0"/>
        <w:spacing w:lineRule="auto" w:line="240"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input of confidential information or trade secrets into AI systems may result in the loss of intellectual property, proprietary rights or attorney-client privilege in such information or trade secrets. The use of AI technologies for developing products or services may adversely affect or preclude our intellectual property rights in such products or services, or may expose us to liability related to the infringement, misappropriation or other violation of third-party intellectual property. Further, particularly given the nascent stage of the technology, the use of AI can lead to unintended consequences, including the generation of outputs that appear correct but are factually inaccurate, misleading, or that result in unintended biases and discriminatory outcomes, or are otherwise flawed, which could harm our reputation and business and expose us to risks related to such inaccuracies or errors in these outputs.</w:t>
      </w:r>
    </w:p>
    <w:p>
      <w:pPr>
        <w:pStyle w:val="TextBody"/>
        <w:bidi w:val="0"/>
        <w:spacing w:before="0" w:after="0"/>
        <w:ind w:left="0" w:right="0" w:firstLine="360"/>
        <w:jc w:val="both"/>
        <w:rPr/>
      </w:pPr>
      <w:r>
        <w:rPr/>
      </w:r>
    </w:p>
    <w:p>
      <w:pPr>
        <w:pStyle w:val="TextBody"/>
        <w:bidi w:val="0"/>
        <w:spacing w:lineRule="auto" w:line="240" w:before="0" w:after="0"/>
        <w:jc w:val="both"/>
        <w:rPr>
          <w:rFonts w:ascii="Times New Roman;serif" w:hAnsi="Times New Roman;serif"/>
          <w:b/>
          <w:color w:val="333333"/>
          <w:sz w:val="20"/>
          <w:u w:val="single"/>
        </w:rPr>
      </w:pPr>
      <w:r>
        <w:rPr>
          <w:rFonts w:ascii="Times New Roman;serif" w:hAnsi="Times New Roman;serif"/>
          <w:b/>
          <w:color w:val="333333"/>
          <w:sz w:val="20"/>
          <w:u w:val="single"/>
        </w:rPr>
        <w:t>Intellectual Property Risks</w:t>
      </w:r>
    </w:p>
    <w:p>
      <w:pPr>
        <w:pStyle w:val="TextBody"/>
        <w:bidi w:val="0"/>
        <w:spacing w:before="0" w:after="0"/>
        <w:jc w:val="both"/>
        <w:rPr/>
      </w:pPr>
      <w:r>
        <w:rPr/>
      </w:r>
    </w:p>
    <w:p>
      <w:pPr>
        <w:pStyle w:val="TextBody"/>
        <w:bidi w:val="0"/>
        <w:spacing w:lineRule="auto" w:line="240" w:before="0" w:after="0"/>
        <w:ind w:left="0" w:right="0" w:firstLine="360"/>
        <w:jc w:val="both"/>
        <w:rPr>
          <w:rFonts w:ascii="Times New Roman;serif" w:hAnsi="Times New Roman;serif"/>
          <w:b/>
          <w:i/>
          <w:color w:val="000000"/>
          <w:sz w:val="20"/>
        </w:rPr>
      </w:pPr>
      <w:r>
        <w:rPr>
          <w:rFonts w:ascii="Times New Roman;serif" w:hAnsi="Times New Roman;serif"/>
          <w:b/>
          <w:i/>
          <w:color w:val="000000"/>
          <w:sz w:val="20"/>
        </w:rPr>
        <w:t xml:space="preserve">Our success depends in part on our proprietary technology, and if we fail to successfully obtain or enforce our IP rights, our competitive position may be harmed. </w:t>
      </w:r>
    </w:p>
    <w:p>
      <w:pPr>
        <w:pStyle w:val="TextBody"/>
        <w:bidi w:val="0"/>
        <w:spacing w:before="0" w:after="0"/>
        <w:ind w:left="0" w:right="0" w:firstLine="360"/>
        <w:jc w:val="both"/>
        <w:rPr/>
      </w:pPr>
      <w:r>
        <w:rPr/>
      </w:r>
    </w:p>
    <w:p>
      <w:pPr>
        <w:pStyle w:val="TextBody"/>
        <w:bidi w:val="0"/>
        <w:spacing w:lineRule="auto" w:line="240"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success depends in part on our ability to maintain existing IP rights and obtain, maintain and enforce further IP protections for our products. Our inability to do so could harm our competitive position.</w:t>
      </w:r>
    </w:p>
    <w:p>
      <w:pPr>
        <w:pStyle w:val="TextBody"/>
        <w:bidi w:val="0"/>
        <w:spacing w:before="0" w:after="0"/>
        <w:ind w:left="0" w:right="0" w:firstLine="360"/>
        <w:jc w:val="both"/>
        <w:rPr/>
      </w:pPr>
      <w:r>
        <w:rPr/>
      </w:r>
    </w:p>
    <w:p>
      <w:pPr>
        <w:pStyle w:val="TextBody"/>
        <w:bidi w:val="0"/>
        <w:spacing w:lineRule="auto" w:line="240"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rely on our portfolio of issued and pending patent applications in the United States and other countries to protect a large part of our IP and competitive position; however, these patents may not prevent third parties from producing competing products similar in design to ours if they are invalidated, held unenforceable, circumvented or otherwise limited in scope. Furthermore, our foreign patent protections may be more limited in scope than those under U.S. patent and IP laws. </w:t>
      </w:r>
    </w:p>
    <w:p>
      <w:pPr>
        <w:pStyle w:val="TextBody"/>
        <w:bidi w:val="0"/>
        <w:spacing w:before="0" w:after="0"/>
        <w:ind w:left="0" w:right="0" w:firstLine="360"/>
        <w:jc w:val="both"/>
        <w:rPr/>
      </w:pPr>
      <w:r>
        <w:rPr/>
      </w:r>
    </w:p>
    <w:p>
      <w:pPr>
        <w:pStyle w:val="TextBody"/>
        <w:bidi w:val="0"/>
        <w:spacing w:lineRule="auto" w:line="240"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Additionally, any of our patent applications may not result in an issued patent or the scope of the patent ultimately issued may be narrower than initially sought. We may not be afforded the protection of a patent if our currently pending or future patent filings do not result in the issuance of patents or if we fail to timely apply for patent protection. We may not apply for a patent if our personnel fail to timely disclose or recognize new patentable ideas or innovations. We may choose not to file a foreign patent application if the limited protections provided by a foreign patent do not outweigh the costs to obtain it. Further, third parties may file patents or develop IP strategies that prevent or limit the effectiveness of our patents.</w:t>
      </w:r>
    </w:p>
    <w:p>
      <w:pPr>
        <w:pStyle w:val="TextBody"/>
        <w:bidi w:val="0"/>
        <w:spacing w:before="0" w:after="0"/>
        <w:ind w:left="0" w:right="0" w:firstLine="360"/>
        <w:jc w:val="both"/>
        <w:rPr/>
      </w:pPr>
      <w:r>
        <w:rPr/>
      </w:r>
    </w:p>
    <w:p>
      <w:pPr>
        <w:pStyle w:val="TextBody"/>
        <w:bidi w:val="0"/>
        <w:spacing w:lineRule="auto" w:line="240"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also protect our IP through copyrights, trademarks, trade secrets and confidentiality obligations. We generally enter into confidentiality agreements with our employees, consultants and collaborative partners upon commencement of a relationship with us. However, despite the existence of these protections, our proprietary information has been misappropriated in the past and could be misappropriated again in the future. If these agreements do not provide meaningful protection against the unauthorized use or disclosure of our trade secrets or other confidential information, adequate remedies may not exist to prevent unauthorized uses or disclosures. Furthermore, if these agreements are breached through the unauthorized use or disclosure of our trade secrets or other confidential information, available remedies may be insufficient to adequately compensate for damages caused by the unauthorized use or disclosure, even with successful enforcement of a breach of contract or trade secret claim.</w:t>
      </w:r>
    </w:p>
    <w:p>
      <w:pPr>
        <w:pStyle w:val="TextBody"/>
        <w:bidi w:val="0"/>
        <w:spacing w:before="0" w:after="0"/>
        <w:ind w:left="0" w:right="0" w:firstLine="360"/>
        <w:jc w:val="both"/>
        <w:rPr/>
      </w:pPr>
      <w:r>
        <w:rPr/>
      </w:r>
    </w:p>
    <w:p>
      <w:pPr>
        <w:pStyle w:val="TextBody"/>
        <w:bidi w:val="0"/>
        <w:spacing w:lineRule="auto" w:line="240"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Enforcement of our IP rights is time-consuming and costly, and could ultimately prove to be unsuccessful. In certain jurisdictions, enforcement of IP rights is more difficult due to legislation and geopolitical circumstances. As we launch our products in different regions at different times, our products may be acquired and reverse engineered by potential competitors in regions where infringement is more difficult to pursue. </w:t>
      </w:r>
    </w:p>
    <w:p>
      <w:pPr>
        <w:pStyle w:val="TextBody"/>
        <w:bidi w:val="0"/>
        <w:spacing w:before="0" w:after="0"/>
        <w:ind w:left="0" w:right="0" w:firstLine="360"/>
        <w:jc w:val="both"/>
        <w:rPr/>
      </w:pPr>
      <w:r>
        <w:rPr/>
      </w:r>
    </w:p>
    <w:p>
      <w:pPr>
        <w:pStyle w:val="TextBody"/>
        <w:bidi w:val="0"/>
        <w:spacing w:lineRule="auto" w:line="240"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inability to maintain the proprietary nature of our technology through patents, copyrights, or trade secrets could impair our competitive advantages and could have a material effect on our operating results, financial condition, and future growth prospects. In particular, failure in protecting and enforcing our IP rights might allow competitors to copy our technology or create counterfeit or pirated versions of our products, which could adversely affect our reputation, pricing, and market share. </w:t>
      </w:r>
    </w:p>
    <w:p>
      <w:pPr>
        <w:pStyle w:val="TextBody"/>
        <w:bidi w:val="0"/>
        <w:spacing w:before="0" w:after="0"/>
        <w:ind w:left="0" w:right="0" w:firstLine="360"/>
        <w:jc w:val="both"/>
        <w:rPr/>
      </w:pPr>
      <w:r>
        <w:rPr/>
      </w:r>
    </w:p>
    <w:p>
      <w:pPr>
        <w:pStyle w:val="TextBody"/>
        <w:bidi w:val="0"/>
        <w:spacing w:lineRule="auto" w:line="240" w:before="0" w:after="0"/>
        <w:ind w:left="0" w:right="0" w:firstLine="360"/>
        <w:jc w:val="both"/>
        <w:rPr>
          <w:rFonts w:ascii="Times New Roman;serif" w:hAnsi="Times New Roman;serif"/>
          <w:b/>
          <w:i/>
          <w:color w:val="000000"/>
          <w:sz w:val="20"/>
        </w:rPr>
      </w:pPr>
      <w:r>
        <w:rPr>
          <w:rFonts w:ascii="Times New Roman;serif" w:hAnsi="Times New Roman;serif"/>
          <w:b/>
          <w:i/>
          <w:color w:val="000000"/>
          <w:sz w:val="20"/>
        </w:rPr>
        <w:t>Litigation regarding our IP rights, rights claimed by third parties or IP litigation by any vendors on whose products or services we rely for our products and services may impact our ability to grow our business and adversely impact our reputation and results of operations.</w:t>
      </w:r>
    </w:p>
    <w:p>
      <w:pPr>
        <w:pStyle w:val="TextBody"/>
        <w:bidi w:val="0"/>
        <w:spacing w:before="0" w:after="0"/>
        <w:ind w:left="0" w:right="0" w:firstLine="360"/>
        <w:jc w:val="both"/>
        <w:rPr/>
      </w:pPr>
      <w:r>
        <w:rPr/>
      </w:r>
    </w:p>
    <w:p>
      <w:pPr>
        <w:pStyle w:val="TextBody"/>
        <w:bidi w:val="0"/>
        <w:spacing w:lineRule="auto" w:line="240"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Extensive litigation over IP rights is common in technologies and industries on which our products and services are based. Litigation, interferences, oppositions, reexaminations, inter partes reviews, post-grant reviews or other proceedings have been necessary and will likely be needed in the future to determine the validity and scope of certain of our IP rights and those claimed by third parties. These proceedings are used to determine the validity, scope or non-infringement of certain IP rights pertinent to the manufacture, use or sale of our products and the products of competitors. We have been, and may in the future be, sued and need to defend against lawsuits alleging infringement of third parties’ IP rights or other legal claims challenging our IP rights. In addition, we periodically receive letters from third parties drawing our attention to their IP rights and there may be other third-party IP rights of which we are presently unaware. As dentistry continues to become more digital, competitors may make defense of our IP more challenging. Asserting or defending these proceedings can be unpredictable (e.g., due to differences in forums, judges, and jurisdictions; case law that continues to evolve with time; changes in administrative policies, etc.), protracted, time-consuming, expensive, and distracting to management and technical personnel. Their outcomes may adversely affect our ability to manufacture and market our products and services, require us to seek licenses for infringing products or technologies, or result in the assessment of significant monetary damages. Unfavorable rulings could also include monetary damages, injunctions prohibiting us from selling our products, or exclusion orders preventing us from importing our products in one or more countries. Moreover, independent actions by competitors, customers, or others have alleged that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49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49 </w:t>
                      </w:r>
                    </w:p>
                  </w:txbxContent>
                </v:textbox>
                <w10:wrap type="none"/>
              </v:rect>
            </w:pict>
          </mc:Fallback>
        </mc:AlternateContent>
      </w:r>
    </w:p>
    <w:p>
      <w:pPr>
        <w:pStyle w:val="TextBody"/>
        <w:bidi w:val="0"/>
        <w:spacing w:lineRule="auto" w:line="288" w:before="0" w:after="0"/>
        <w:jc w:val="left"/>
        <w:rPr/>
      </w:pPr>
      <w:hyperlink w:anchor="i7a02b169d6be4765847899a2d1aa61f4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efforts to enforce our IP rights constitute unfair competition or violations of antitrust laws. Investigations and additional litigation based on the same or similar claims may be brought in the future. The potential effects on our business operations resulting from litigation, whether or not ultimately determined in our favor or settled by us, are costly and could materially affect our reputation, business, financial condition and results of operations.</w: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color w:val="333333"/>
          <w:sz w:val="20"/>
          <w:u w:val="single"/>
        </w:rPr>
      </w:pPr>
      <w:r>
        <w:rPr>
          <w:rFonts w:ascii="Times New Roman;serif" w:hAnsi="Times New Roman;serif"/>
          <w:b/>
          <w:color w:val="333333"/>
          <w:sz w:val="20"/>
          <w:u w:val="single"/>
        </w:rPr>
        <w:t>Financial, Tax and Accounting Risks</w:t>
      </w:r>
    </w:p>
    <w:p>
      <w:pPr>
        <w:pStyle w:val="TextBody"/>
        <w:bidi w:val="0"/>
        <w:spacing w:before="0" w:after="0"/>
        <w:jc w:val="both"/>
        <w:rPr/>
      </w:pPr>
      <w:r>
        <w:rPr/>
      </w:r>
    </w:p>
    <w:p>
      <w:pPr>
        <w:pStyle w:val="TextBody"/>
        <w:bidi w:val="0"/>
        <w:spacing w:lineRule="auto" w:line="240" w:before="0" w:after="0"/>
        <w:ind w:left="0" w:right="0" w:firstLine="360"/>
        <w:jc w:val="both"/>
        <w:rPr>
          <w:rFonts w:ascii="Times New Roman;serif" w:hAnsi="Times New Roman;serif"/>
          <w:b/>
          <w:i/>
          <w:color w:val="000000"/>
          <w:sz w:val="20"/>
        </w:rPr>
      </w:pPr>
      <w:r>
        <w:rPr>
          <w:rFonts w:ascii="Times New Roman;serif" w:hAnsi="Times New Roman;serif"/>
          <w:b/>
          <w:i/>
          <w:color w:val="000000"/>
          <w:sz w:val="20"/>
        </w:rPr>
        <w:t>If our goodwill, finite-lived intangible or long-lived assets become impaired, we may be required to record material charges to income.</w:t>
      </w:r>
    </w:p>
    <w:p>
      <w:pPr>
        <w:pStyle w:val="TextBody"/>
        <w:bidi w:val="0"/>
        <w:spacing w:before="0" w:after="0"/>
        <w:ind w:left="0" w:right="0" w:firstLine="360"/>
        <w:jc w:val="both"/>
        <w:rPr/>
      </w:pPr>
      <w:r>
        <w:rPr/>
      </w:r>
    </w:p>
    <w:p>
      <w:pPr>
        <w:pStyle w:val="TextBody"/>
        <w:bidi w:val="0"/>
        <w:spacing w:lineRule="auto" w:line="240"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Under U.S. GAAP, we review our goodwill annually or more frequently if we identify events or circumstances that indicate it is more likely than not the fair value of a reporting unit has been reduced below its carrying value. We review finite-lived intangible assets and long-lived assets for impairment when events or circumstances indicate the carrying value of the asset (asset group) may not be recoverable. The qualitative analysis performed by management to identify indicators of impairment or the quantitative analysis used to determine fair value requires management to exercise significant judgment in determining appropriate assumptions and estimates, including revenue growth rates, gross and operating margins, and discount rates. Consequently, we may be required to record material charges to income during the period in which any impairment of goodwill, finite-lived intangible assets or long-lived assets is determined.</w:t>
      </w:r>
    </w:p>
    <w:p>
      <w:pPr>
        <w:pStyle w:val="TextBody"/>
        <w:bidi w:val="0"/>
        <w:spacing w:before="0" w:after="0"/>
        <w:ind w:left="0" w:right="0" w:firstLine="360"/>
        <w:jc w:val="both"/>
        <w:rPr/>
      </w:pPr>
      <w:r>
        <w:rPr/>
      </w:r>
    </w:p>
    <w:p>
      <w:pPr>
        <w:pStyle w:val="TextBody"/>
        <w:bidi w:val="0"/>
        <w:spacing w:lineRule="auto" w:line="240" w:before="0" w:after="0"/>
        <w:ind w:left="0" w:right="0" w:firstLine="360"/>
        <w:jc w:val="both"/>
        <w:rPr>
          <w:rFonts w:ascii="Times New Roman;serif" w:hAnsi="Times New Roman;serif"/>
          <w:b/>
          <w:i/>
          <w:color w:val="000000"/>
          <w:sz w:val="20"/>
        </w:rPr>
      </w:pPr>
      <w:r>
        <w:rPr>
          <w:rFonts w:ascii="Times New Roman;serif" w:hAnsi="Times New Roman;serif"/>
          <w:b/>
          <w:i/>
          <w:color w:val="000000"/>
          <w:sz w:val="20"/>
        </w:rPr>
        <w:t>Changes in, or interpretations of, accounting rules and regulations, could result in unfavorable accounting charges.</w:t>
      </w:r>
    </w:p>
    <w:p>
      <w:pPr>
        <w:pStyle w:val="TextBody"/>
        <w:bidi w:val="0"/>
        <w:spacing w:before="0" w:after="0"/>
        <w:ind w:left="0" w:right="0" w:firstLine="360"/>
        <w:jc w:val="both"/>
        <w:rPr/>
      </w:pPr>
      <w:r>
        <w:rPr/>
      </w:r>
    </w:p>
    <w:p>
      <w:pPr>
        <w:pStyle w:val="TextBody"/>
        <w:bidi w:val="0"/>
        <w:spacing w:lineRule="auto" w:line="240"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prepare our consolidated financial statements in conformity with U.S. GAAP. These principles are subject to interpretation by the SEC and various bodies formed to interpret and create appropriate accounting principles. A change in these principles or in the way these principles are interpreted by us or by our regulators could materially affect our current or previously issued financial statements.</w:t>
      </w:r>
    </w:p>
    <w:p>
      <w:pPr>
        <w:pStyle w:val="TextBody"/>
        <w:bidi w:val="0"/>
        <w:spacing w:before="0" w:after="0"/>
        <w:ind w:left="0" w:right="0" w:firstLine="360"/>
        <w:jc w:val="both"/>
        <w:rPr/>
      </w:pPr>
      <w:r>
        <w:rPr/>
      </w:r>
    </w:p>
    <w:p>
      <w:pPr>
        <w:pStyle w:val="TextBody"/>
        <w:bidi w:val="0"/>
        <w:spacing w:lineRule="auto" w:line="240" w:before="0" w:after="0"/>
        <w:ind w:left="0" w:right="0" w:firstLine="360"/>
        <w:jc w:val="both"/>
        <w:rPr>
          <w:rFonts w:ascii="Times New Roman;serif" w:hAnsi="Times New Roman;serif"/>
          <w:b/>
          <w:i/>
          <w:color w:val="000000"/>
          <w:sz w:val="20"/>
        </w:rPr>
      </w:pPr>
      <w:r>
        <w:rPr>
          <w:rFonts w:ascii="Times New Roman;serif" w:hAnsi="Times New Roman;serif"/>
          <w:b/>
          <w:i/>
          <w:color w:val="000000"/>
          <w:sz w:val="20"/>
        </w:rPr>
        <w:t>We are required to annually assess our internal control over financial reporting and any adverse results from such assessment may result in a loss of investor confidence in our financial reports and adversely affect our stock price.</w:t>
      </w:r>
    </w:p>
    <w:p>
      <w:pPr>
        <w:pStyle w:val="TextBody"/>
        <w:bidi w:val="0"/>
        <w:spacing w:before="0" w:after="0"/>
        <w:ind w:left="0" w:right="0" w:firstLine="360"/>
        <w:jc w:val="both"/>
        <w:rPr/>
      </w:pPr>
      <w:r>
        <w:rPr/>
      </w:r>
    </w:p>
    <w:p>
      <w:pPr>
        <w:pStyle w:val="TextBody"/>
        <w:bidi w:val="0"/>
        <w:spacing w:lineRule="auto" w:line="256"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Establishing, testing and maintaining an effective system of internal control over financial reporting requires significant resources and time commitments by management and our finance staff, and may require additional staffing and infrastructure investments and increases our costs of doing business. If we are unable to assert that our internal control over financial reporting is effective, if our auditors are unable to express an opinion on the effectiveness of our internal controls, or conclude that our internal controls are ineffective, the timely filing of our financial reports could be delayed or we could be required to restate past reports. This could cause our investors to lose confidence in the accuracy and completeness of our financial reports, which could have an adverse effect on our stock price.</w:t>
      </w:r>
    </w:p>
    <w:p>
      <w:pPr>
        <w:pStyle w:val="TextBody"/>
        <w:bidi w:val="0"/>
        <w:spacing w:before="0" w:after="0"/>
        <w:ind w:left="0" w:right="0" w:firstLine="360"/>
        <w:jc w:val="both"/>
        <w:rPr/>
      </w:pPr>
      <w:r>
        <w:rPr/>
      </w:r>
    </w:p>
    <w:p>
      <w:pPr>
        <w:pStyle w:val="TextBody"/>
        <w:bidi w:val="0"/>
        <w:spacing w:lineRule="auto" w:line="240" w:before="0" w:after="0"/>
        <w:ind w:left="0" w:right="0" w:firstLine="360"/>
        <w:jc w:val="both"/>
        <w:rPr>
          <w:rFonts w:ascii="Times New Roman;serif" w:hAnsi="Times New Roman;serif"/>
          <w:b/>
          <w:i/>
          <w:color w:val="000000"/>
          <w:sz w:val="20"/>
        </w:rPr>
      </w:pPr>
      <w:r>
        <w:rPr>
          <w:rFonts w:ascii="Times New Roman;serif" w:hAnsi="Times New Roman;serif"/>
          <w:b/>
          <w:i/>
          <w:color w:val="000000"/>
          <w:sz w:val="20"/>
        </w:rPr>
        <w:t>Our effective tax rate may vary significantly from period to period, which could result in volatility of our operating results and adversely affect our financial results.</w:t>
      </w:r>
    </w:p>
    <w:p>
      <w:pPr>
        <w:pStyle w:val="TextBody"/>
        <w:bidi w:val="0"/>
        <w:spacing w:before="0" w:after="0"/>
        <w:ind w:left="0" w:right="0" w:firstLine="360"/>
        <w:jc w:val="both"/>
        <w:rPr/>
      </w:pPr>
      <w:r>
        <w:rPr/>
      </w:r>
    </w:p>
    <w:p>
      <w:pPr>
        <w:pStyle w:val="TextBody"/>
        <w:bidi w:val="0"/>
        <w:spacing w:lineRule="auto" w:line="240"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future effective tax rate may be impacted by various internal and external factors, such as changes in the global economic environment, our legal entity structure or activities performed within our entities, our business operations, tax laws, regulations and/or rates, changes to existing accounting pronouncements, changes in interpretations of existing tax laws or regulations, the relative proportions of revenues and income before taxes in the various jurisdictions in which we operate that have differing statutory tax rates, overall levels of pretax earnings, settlements of income tax audits, non-deductible goodwill impairments, and changes in the valuation allowance offsetting deferred tax assets. Furthermore, we may continue to experience variation in our effective tax rate related to excess tax benefits or tax expense on stock-based compensation, particularly in the first quarter of each year when the majority of our equity awards vest.</w:t>
      </w:r>
    </w:p>
    <w:p>
      <w:pPr>
        <w:pStyle w:val="TextBody"/>
        <w:bidi w:val="0"/>
        <w:spacing w:before="0" w:after="0"/>
        <w:ind w:left="0" w:right="0" w:firstLine="360"/>
        <w:jc w:val="both"/>
        <w:rPr/>
      </w:pPr>
      <w:r>
        <w:rPr/>
      </w:r>
    </w:p>
    <w:p>
      <w:pPr>
        <w:pStyle w:val="TextBody"/>
        <w:bidi w:val="0"/>
        <w:spacing w:lineRule="auto" w:line="240" w:before="0" w:after="0"/>
        <w:ind w:left="0" w:right="0" w:firstLine="360"/>
        <w:jc w:val="both"/>
        <w:rPr>
          <w:rFonts w:ascii="Times New Roman;serif" w:hAnsi="Times New Roman;serif"/>
          <w:b/>
          <w:i/>
          <w:color w:val="000000"/>
          <w:sz w:val="20"/>
        </w:rPr>
      </w:pPr>
      <w:r>
        <w:rPr>
          <w:rFonts w:ascii="Times New Roman;serif" w:hAnsi="Times New Roman;serif"/>
          <w:b/>
          <w:i/>
          <w:color w:val="000000"/>
          <w:sz w:val="20"/>
        </w:rPr>
        <w:t>New tax laws and practices, changes to existing tax laws and practices, or disputes regarding the positions we take regarding tax laws, could negatively affect our provision for income taxes as well as our ongoing operations.</w:t>
      </w:r>
    </w:p>
    <w:p>
      <w:pPr>
        <w:pStyle w:val="TextBody"/>
        <w:bidi w:val="0"/>
        <w:spacing w:before="0" w:after="0"/>
        <w:ind w:left="0" w:right="0" w:firstLine="360"/>
        <w:jc w:val="both"/>
        <w:rPr/>
      </w:pPr>
      <w:r>
        <w:rPr/>
      </w:r>
    </w:p>
    <w:p>
      <w:pPr>
        <w:pStyle w:val="TextBody"/>
        <w:bidi w:val="0"/>
        <w:spacing w:lineRule="auto" w:line="240"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Compliance with tax laws requires significant judgment concerning our worldwide provision for income taxes. Changes in tax laws, such as the Inclusive Framework on Base Erosion and Profit Shifting (“BEPS”) established by Organization for Economic Cooperation and Development (“OECD”), the OECD/G20 Framework’s Pillar Two 15% global minimum tax, and the One Big Beautiful Bill Act, or changes to how those laws are applied to our business could affect the amount of tax which we are subject to and the manner in which we operate. We continue to monitor the enactment of legislation to evaluate the impact of changing global tax laws, which could adversely affect our provision for income taxes or operations.</w:t>
      </w:r>
    </w:p>
    <w:p>
      <w:pPr>
        <w:pStyle w:val="TextBody"/>
        <w:bidi w:val="0"/>
        <w:spacing w:lineRule="auto" w:line="240"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application of indirect taxes (such as sales and use tax (“SUT”), value-added tax (“VAT”), goods and services tax (“GST”), and other indirect taxes) to our operations is complex and evolving. U.S. states, local and foreign taxing jurisdictions have differing rules and regulations governing differing types of taxes, and these rules and regulations are subject to varying interpretations and exemptions that may change over time. We collect and remit SUT, VAT, GST and other taxes in many jurisdictions and we are routinely subject to audits. The positions we take regarding taxes as well as the amounts we collect or remit have and may continue to be challenged and we may be liable for failing to collect or remit all taxes deemed owed or the taxes could exceed our estimates. Certain jurisdictions have applied novel or aggressive interpretations of their laws in new ways in an effort to raise additional tax revenue from U.S. based companies such as us, and we may experience similar developments in the future. In addition, ongoing volatility due to international trade may prompt foreign governments to expand regulatory authority or adopt new measures, increasing compliance risks, taxes, and operational complexities. We have and may continue to dispute rulings or positions taken by tax authorities, which have and may continue to incur significant expenses, time, and effort to defend our positions.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50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50 </w:t>
                      </w:r>
                    </w:p>
                  </w:txbxContent>
                </v:textbox>
                <w10:wrap type="none"/>
              </v:rect>
            </w:pict>
          </mc:Fallback>
        </mc:AlternateContent>
      </w:r>
    </w:p>
    <w:p>
      <w:pPr>
        <w:pStyle w:val="TextBody"/>
        <w:bidi w:val="0"/>
        <w:spacing w:lineRule="auto" w:line="288" w:before="0" w:after="0"/>
        <w:jc w:val="left"/>
        <w:rPr/>
      </w:pPr>
      <w:hyperlink w:anchor="i7a02b169d6be4765847899a2d1aa61f4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before="0" w:after="0"/>
        <w:ind w:left="0" w:right="0" w:firstLine="360"/>
        <w:jc w:val="both"/>
        <w:rPr/>
      </w:pPr>
      <w:r>
        <w:rPr/>
      </w:r>
    </w:p>
    <w:p>
      <w:pPr>
        <w:pStyle w:val="TextBody"/>
        <w:bidi w:val="0"/>
        <w:spacing w:lineRule="auto" w:line="240"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application of existing and new tax laws, and the results of audits could harm our business. Furthermore, there have been and will continue to be substantial ongoing costs associated with complying with the various tax requirements and defending our positions in the numerous markets in which we conduct or will conduct business.</w:t>
      </w:r>
    </w:p>
    <w:p>
      <w:pPr>
        <w:pStyle w:val="TextBody"/>
        <w:bidi w:val="0"/>
        <w:spacing w:before="0" w:after="0"/>
        <w:ind w:left="0" w:right="0" w:firstLine="360"/>
        <w:jc w:val="both"/>
        <w:rPr/>
      </w:pPr>
      <w:r>
        <w:rPr/>
      </w:r>
    </w:p>
    <w:p>
      <w:pPr>
        <w:pStyle w:val="TextBody"/>
        <w:bidi w:val="0"/>
        <w:spacing w:lineRule="auto" w:line="240" w:before="0" w:after="0"/>
        <w:jc w:val="both"/>
        <w:rPr>
          <w:rFonts w:ascii="Times New Roman;serif" w:hAnsi="Times New Roman;serif"/>
          <w:b/>
          <w:color w:val="333333"/>
          <w:sz w:val="20"/>
          <w:u w:val="single"/>
        </w:rPr>
      </w:pPr>
      <w:r>
        <w:rPr>
          <w:rFonts w:ascii="Times New Roman;serif" w:hAnsi="Times New Roman;serif"/>
          <w:b/>
          <w:color w:val="333333"/>
          <w:sz w:val="20"/>
          <w:u w:val="single"/>
        </w:rPr>
        <w:t>Risks Related to Ownership of our Common Stock</w:t>
      </w:r>
    </w:p>
    <w:p>
      <w:pPr>
        <w:pStyle w:val="TextBody"/>
        <w:bidi w:val="0"/>
        <w:spacing w:before="0" w:after="0"/>
        <w:ind w:left="0" w:right="0" w:firstLine="360"/>
        <w:jc w:val="both"/>
        <w:rPr/>
      </w:pPr>
      <w:r>
        <w:rPr/>
      </w:r>
    </w:p>
    <w:p>
      <w:pPr>
        <w:pStyle w:val="TextBody"/>
        <w:bidi w:val="0"/>
        <w:spacing w:lineRule="auto" w:line="240" w:before="0" w:after="0"/>
        <w:ind w:left="0" w:right="0" w:firstLine="360"/>
        <w:jc w:val="both"/>
        <w:rPr>
          <w:rFonts w:ascii="Times New Roman;serif" w:hAnsi="Times New Roman;serif"/>
          <w:b/>
          <w:i/>
          <w:color w:val="000000"/>
          <w:sz w:val="20"/>
        </w:rPr>
      </w:pPr>
      <w:r>
        <w:rPr>
          <w:rFonts w:ascii="Times New Roman;serif" w:hAnsi="Times New Roman;serif"/>
          <w:b/>
          <w:i/>
          <w:color w:val="000000"/>
          <w:sz w:val="20"/>
        </w:rPr>
        <w:t>Historically, the market price for our common stock has been volatile.</w:t>
      </w:r>
    </w:p>
    <w:p>
      <w:pPr>
        <w:pStyle w:val="TextBody"/>
        <w:bidi w:val="0"/>
        <w:spacing w:before="0" w:after="0"/>
        <w:ind w:left="0" w:right="0" w:firstLine="360"/>
        <w:jc w:val="both"/>
        <w:rPr/>
      </w:pPr>
      <w:r>
        <w:rPr/>
      </w:r>
    </w:p>
    <w:p>
      <w:pPr>
        <w:pStyle w:val="TextBody"/>
        <w:bidi w:val="0"/>
        <w:spacing w:lineRule="auto" w:line="240" w:before="0" w:after="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market price of our common stock is subject to rapid and large price fluctuations attributable to various factors, many of which are beyond our control. The factors include:</w:t>
      </w:r>
    </w:p>
    <w:p>
      <w:pPr>
        <w:pStyle w:val="TextBody"/>
        <w:bidi w:val="0"/>
        <w:spacing w:before="0" w:after="0"/>
        <w:jc w:val="both"/>
        <w:rPr/>
      </w:pPr>
      <w:r>
        <w:rPr/>
      </w:r>
    </w:p>
    <w:p>
      <w:pPr>
        <w:pStyle w:val="TextBody"/>
        <w:bidi w:val="0"/>
        <w:spacing w:lineRule="auto" w:line="240" w:before="0" w:after="0"/>
        <w:ind w:left="0" w:right="0" w:hanging="360"/>
        <w:jc w:val="both"/>
        <w:rPr/>
      </w:pPr>
      <w:r>
        <w:rPr>
          <w:color w:val="000000"/>
        </w:rPr>
        <w:t>•</w:t>
      </w:r>
      <w:r>
        <w:rPr>
          <w:rFonts w:ascii="Times New Roman;serif" w:hAnsi="Times New Roman;serif"/>
          <w:b w:val="false"/>
          <w:color w:val="000000"/>
          <w:sz w:val="20"/>
          <w:shd w:fill="FFFFFF" w:val="clear"/>
        </w:rPr>
        <w:t>quarterly variations in our results of operations and liquidity, our ability to meet or exceed our forecasts and guidance or changes to or withdrawal of our previous forecasts and guidance;</w:t>
      </w:r>
    </w:p>
    <w:p>
      <w:pPr>
        <w:pStyle w:val="TextBody"/>
        <w:bidi w:val="0"/>
        <w:spacing w:lineRule="auto" w:line="240" w:before="0" w:after="0"/>
        <w:ind w:left="0" w:right="0" w:hanging="360"/>
        <w:jc w:val="both"/>
        <w:rPr/>
      </w:pPr>
      <w:r>
        <w:rPr>
          <w:color w:val="000000"/>
          <w:shd w:fill="FFFFFF" w:val="clear"/>
        </w:rPr>
        <w:t>•</w:t>
      </w:r>
      <w:r>
        <w:rPr>
          <w:rFonts w:ascii="Times New Roman;serif" w:hAnsi="Times New Roman;serif"/>
          <w:b w:val="false"/>
          <w:color w:val="000000"/>
          <w:sz w:val="20"/>
          <w:shd w:fill="FFFFFF" w:val="clear"/>
        </w:rPr>
        <w:t>our ability to</w:t>
      </w:r>
      <w:r>
        <w:rPr>
          <w:color w:val="000000"/>
        </w:rPr>
        <w:t xml:space="preserve"> </w:t>
      </w:r>
      <w:r>
        <w:rPr>
          <w:rFonts w:ascii="Times New Roman;serif" w:hAnsi="Times New Roman;serif"/>
          <w:b w:val="false"/>
          <w:color w:val="000000"/>
          <w:sz w:val="20"/>
        </w:rPr>
        <w:t xml:space="preserve">regain or sustain our historical growth rates; </w:t>
      </w:r>
    </w:p>
    <w:p>
      <w:pPr>
        <w:pStyle w:val="TextBody"/>
        <w:bidi w:val="0"/>
        <w:spacing w:lineRule="auto" w:line="240" w:before="0" w:after="0"/>
        <w:ind w:left="0" w:right="0" w:hanging="360"/>
        <w:jc w:val="both"/>
        <w:rPr/>
      </w:pPr>
      <w:r>
        <w:rPr>
          <w:color w:val="000000"/>
        </w:rPr>
        <w:t>•</w:t>
      </w:r>
      <w:r>
        <w:rPr>
          <w:rFonts w:ascii="Times New Roman;serif" w:hAnsi="Times New Roman;serif"/>
          <w:b w:val="false"/>
          <w:color w:val="000000"/>
          <w:sz w:val="20"/>
          <w:shd w:fill="FFFFFF" w:val="clear"/>
        </w:rPr>
        <w:t>changes in recommendations or valuation models for our stock by the investment community, or speculation in the press or investment community regarding estimates of our net revenues, results of operations, or other key performance indicators;</w:t>
      </w:r>
    </w:p>
    <w:p>
      <w:pPr>
        <w:pStyle w:val="TextBody"/>
        <w:bidi w:val="0"/>
        <w:spacing w:lineRule="auto" w:line="240" w:before="0" w:after="0"/>
        <w:ind w:left="0" w:right="0" w:hanging="360"/>
        <w:jc w:val="both"/>
        <w:rPr/>
      </w:pPr>
      <w:r>
        <w:rPr>
          <w:color w:val="000000"/>
          <w:shd w:fill="FFFFFF" w:val="clear"/>
        </w:rPr>
        <w:t>•</w:t>
      </w:r>
      <w:r>
        <w:rPr>
          <w:rFonts w:ascii="Times New Roman;serif" w:hAnsi="Times New Roman;serif"/>
          <w:b w:val="false"/>
          <w:color w:val="000000"/>
          <w:sz w:val="20"/>
          <w:shd w:fill="FFFFFF" w:val="clear"/>
        </w:rPr>
        <w:t>negative publicity or unfavorable consumer perceptions, whether accurate or inaccurate, concerning our products or the company;</w:t>
      </w:r>
    </w:p>
    <w:p>
      <w:pPr>
        <w:pStyle w:val="TextBody"/>
        <w:bidi w:val="0"/>
        <w:spacing w:lineRule="auto" w:line="240" w:before="0" w:after="0"/>
        <w:ind w:left="0" w:right="0" w:hanging="360"/>
        <w:jc w:val="both"/>
        <w:rPr/>
      </w:pPr>
      <w:r>
        <w:rPr>
          <w:color w:val="000000"/>
        </w:rPr>
        <w:t>•</w:t>
      </w:r>
      <w:r>
        <w:rPr>
          <w:rFonts w:ascii="Times New Roman;serif" w:hAnsi="Times New Roman;serif"/>
          <w:b w:val="false"/>
          <w:color w:val="000000"/>
          <w:sz w:val="20"/>
          <w:shd w:fill="FFFFFF" w:val="clear"/>
        </w:rPr>
        <w:t>announcements by us, our competitors, or new market entrants, including strategic actions, management changes, and material transactions, investments or acquisitions;</w:t>
      </w:r>
    </w:p>
    <w:p>
      <w:pPr>
        <w:pStyle w:val="TextBody"/>
        <w:bidi w:val="0"/>
        <w:spacing w:lineRule="auto" w:line="240" w:before="0" w:after="0"/>
        <w:ind w:left="0" w:right="0" w:hanging="360"/>
        <w:jc w:val="both"/>
        <w:rPr/>
      </w:pPr>
      <w:r>
        <w:rPr>
          <w:color w:val="000000"/>
        </w:rPr>
        <w:t>•</w:t>
      </w:r>
      <w:r>
        <w:rPr>
          <w:rFonts w:ascii="Times New Roman;serif" w:hAnsi="Times New Roman;serif"/>
          <w:b w:val="false"/>
          <w:color w:val="000000"/>
          <w:sz w:val="20"/>
          <w:shd w:fill="FFFFFF" w:val="clear"/>
        </w:rPr>
        <w:t>technical factors in the public trading markets for our stock that may produce price movements inconsistent with macroeconomic, industry, or company-specific fundamentals, including the sentiment of retail investors (as it may be expressed on financial trading and other social media sites), the amount and status of short interest in our securities, access to margin debt, trading in options and other derivatives on our common stock, fractional share trading, and other technical trading factors or strategies;</w:t>
      </w:r>
    </w:p>
    <w:p>
      <w:pPr>
        <w:pStyle w:val="TextBody"/>
        <w:bidi w:val="0"/>
        <w:spacing w:lineRule="auto" w:line="240" w:before="0" w:after="0"/>
        <w:ind w:left="0" w:right="0" w:hanging="360"/>
        <w:jc w:val="both"/>
        <w:rPr/>
      </w:pPr>
      <w:r>
        <w:rPr>
          <w:color w:val="000000"/>
          <w:shd w:fill="FFFFFF" w:val="clear"/>
        </w:rPr>
        <w:t>•</w:t>
      </w:r>
      <w:r>
        <w:rPr>
          <w:rFonts w:ascii="Times New Roman;serif" w:hAnsi="Times New Roman;serif"/>
          <w:b w:val="false"/>
          <w:color w:val="000000"/>
          <w:sz w:val="20"/>
          <w:shd w:fill="FFFFFF" w:val="clear"/>
        </w:rPr>
        <w:t>stockholder activism or securities class action litigation;</w:t>
      </w:r>
    </w:p>
    <w:p>
      <w:pPr>
        <w:pStyle w:val="TextBody"/>
        <w:bidi w:val="0"/>
        <w:spacing w:lineRule="auto" w:line="240" w:before="0" w:after="0"/>
        <w:ind w:left="0" w:right="0" w:hanging="360"/>
        <w:jc w:val="both"/>
        <w:rPr/>
      </w:pPr>
      <w:r>
        <w:rPr>
          <w:color w:val="000000"/>
          <w:shd w:fill="FFFFFF" w:val="clear"/>
        </w:rPr>
        <w:t>•</w:t>
      </w:r>
      <w:r>
        <w:rPr>
          <w:rFonts w:ascii="Times New Roman;serif" w:hAnsi="Times New Roman;serif"/>
          <w:b w:val="false"/>
          <w:color w:val="000000"/>
          <w:sz w:val="20"/>
          <w:shd w:fill="FFFFFF" w:val="clear"/>
        </w:rPr>
        <w:t>announcements regarding stock repurchases, sales or purchases of our common stock by us, our officers or directors, credit agreements, and debt issuances;</w:t>
      </w:r>
    </w:p>
    <w:p>
      <w:pPr>
        <w:pStyle w:val="TextBody"/>
        <w:bidi w:val="0"/>
        <w:spacing w:lineRule="auto" w:line="240" w:before="0" w:after="0"/>
        <w:ind w:left="0" w:right="0" w:hanging="360"/>
        <w:jc w:val="both"/>
        <w:rPr/>
      </w:pPr>
      <w:r>
        <w:rPr>
          <w:color w:val="000000"/>
        </w:rPr>
        <w:t>•</w:t>
      </w:r>
      <w:r>
        <w:rPr>
          <w:rFonts w:ascii="Times New Roman;serif" w:hAnsi="Times New Roman;serif"/>
          <w:b w:val="false"/>
          <w:color w:val="000000"/>
          <w:sz w:val="20"/>
          <w:shd w:fill="FFFFFF" w:val="clear"/>
        </w:rPr>
        <w:t xml:space="preserve">announcements of technological innovations or new, additional or revised programs, business models, products, or product offerings by us, our customers, or competitors; </w:t>
      </w:r>
    </w:p>
    <w:p>
      <w:pPr>
        <w:pStyle w:val="TextBody"/>
        <w:bidi w:val="0"/>
        <w:spacing w:lineRule="auto" w:line="240" w:before="0" w:after="0"/>
        <w:ind w:left="0" w:right="0" w:hanging="360"/>
        <w:jc w:val="both"/>
        <w:rPr/>
      </w:pPr>
      <w:r>
        <w:rPr>
          <w:color w:val="000000"/>
        </w:rPr>
        <w:t>•</w:t>
      </w:r>
      <w:r>
        <w:rPr>
          <w:rFonts w:ascii="Times New Roman;serif" w:hAnsi="Times New Roman;serif"/>
          <w:b w:val="false"/>
          <w:color w:val="000000"/>
          <w:sz w:val="20"/>
          <w:shd w:fill="FFFFFF" w:val="clear"/>
        </w:rPr>
        <w:t xml:space="preserve">key decisions in pending litigation, new litigation, settlements, judgments, or decrees; </w:t>
      </w:r>
    </w:p>
    <w:p>
      <w:pPr>
        <w:pStyle w:val="TextBody"/>
        <w:bidi w:val="0"/>
        <w:spacing w:lineRule="auto" w:line="240" w:before="0" w:after="0"/>
        <w:ind w:left="0" w:right="0" w:hanging="360"/>
        <w:jc w:val="both"/>
        <w:rPr/>
      </w:pPr>
      <w:r>
        <w:rPr>
          <w:color w:val="000000"/>
          <w:shd w:fill="FFFFFF" w:val="clear"/>
        </w:rPr>
        <w:t>•</w:t>
      </w:r>
      <w:r>
        <w:rPr>
          <w:rFonts w:ascii="Times New Roman;serif" w:hAnsi="Times New Roman;serif"/>
          <w:b w:val="false"/>
          <w:color w:val="000000"/>
          <w:sz w:val="20"/>
          <w:shd w:fill="FFFFFF" w:val="clear"/>
        </w:rPr>
        <w:t xml:space="preserve">short selling or other hedging activity in our stock; and </w:t>
      </w:r>
    </w:p>
    <w:p>
      <w:pPr>
        <w:pStyle w:val="TextBody"/>
        <w:bidi w:val="0"/>
        <w:spacing w:lineRule="auto" w:line="240" w:before="0" w:after="0"/>
        <w:ind w:left="0" w:right="0" w:hanging="360"/>
        <w:jc w:val="both"/>
        <w:rPr/>
      </w:pPr>
      <w:r>
        <w:rPr>
          <w:color w:val="000000"/>
        </w:rPr>
        <w:t>•</w:t>
      </w:r>
      <w:r>
        <w:rPr>
          <w:rFonts w:ascii="Times New Roman;serif" w:hAnsi="Times New Roman;serif"/>
          <w:b w:val="false"/>
          <w:color w:val="000000"/>
          <w:sz w:val="20"/>
          <w:shd w:fill="FFFFFF" w:val="clear"/>
        </w:rPr>
        <w:t xml:space="preserve">general economic market conditions, including elevated interest rates, new, proposed or retaliatory tariffs, </w:t>
      </w:r>
      <w:r>
        <w:rPr>
          <w:rFonts w:ascii="Times New Roman;serif" w:hAnsi="Times New Roman;serif"/>
          <w:b w:val="false"/>
          <w:color w:val="000000"/>
          <w:sz w:val="20"/>
        </w:rPr>
        <w:t xml:space="preserve">uncertainty regarding changes in trade policies, including trade wars, </w:t>
      </w:r>
      <w:r>
        <w:rPr>
          <w:rFonts w:ascii="Times New Roman;serif" w:hAnsi="Times New Roman;serif"/>
          <w:b w:val="false"/>
          <w:color w:val="000000"/>
          <w:sz w:val="20"/>
          <w:shd w:fill="FFFFFF" w:val="clear"/>
        </w:rPr>
        <w:t>inflationary pressures, recessions, consumer sentiment and demand, global geopolitical conflict, and industry factors unrelated to our actual performance.</w:t>
      </w:r>
    </w:p>
    <w:p>
      <w:pPr>
        <w:pStyle w:val="TextBody"/>
        <w:bidi w:val="0"/>
        <w:spacing w:before="0" w:after="0"/>
        <w:jc w:val="both"/>
        <w:rPr/>
      </w:pPr>
      <w:r>
        <w:rPr/>
      </w:r>
    </w:p>
    <w:p>
      <w:pPr>
        <w:pStyle w:val="TextBody"/>
        <w:bidi w:val="0"/>
        <w:spacing w:lineRule="auto" w:line="240"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the stock market in general, and the market for technology and medical device companies, in particular, often experience extreme price and volume fluctuations unrelated or disproportionate to corporate operating performance. Volatility in our stock price has increased, and may continue to increase, our susceptibility to securities class action litigation, which could result in substantial costs and divert management’s attention and resources, which may adversely affect our business.</w:t>
      </w:r>
    </w:p>
    <w:p>
      <w:pPr>
        <w:pStyle w:val="TextBody"/>
        <w:bidi w:val="0"/>
        <w:spacing w:before="0" w:after="0"/>
        <w:ind w:left="0" w:right="0" w:firstLine="360"/>
        <w:jc w:val="both"/>
        <w:rPr/>
      </w:pPr>
      <w:r>
        <w:rPr/>
      </w:r>
    </w:p>
    <w:p>
      <w:pPr>
        <w:pStyle w:val="TextBody"/>
        <w:bidi w:val="0"/>
        <w:spacing w:lineRule="auto" w:line="240" w:before="0" w:after="0"/>
        <w:ind w:left="0" w:right="0" w:firstLine="360"/>
        <w:jc w:val="both"/>
        <w:rPr>
          <w:rFonts w:ascii="Times New Roman;serif" w:hAnsi="Times New Roman;serif"/>
          <w:b/>
          <w:i/>
          <w:color w:val="000000"/>
          <w:sz w:val="20"/>
        </w:rPr>
      </w:pPr>
      <w:r>
        <w:rPr>
          <w:rFonts w:ascii="Times New Roman;serif" w:hAnsi="Times New Roman;serif"/>
          <w:b/>
          <w:i/>
          <w:color w:val="000000"/>
          <w:sz w:val="20"/>
        </w:rPr>
        <w:t>We may not continue repurchasing our common stock and any repurchases may not achieve our desired objectives.</w:t>
      </w:r>
    </w:p>
    <w:p>
      <w:pPr>
        <w:pStyle w:val="TextBody"/>
        <w:bidi w:val="0"/>
        <w:spacing w:before="0" w:after="0"/>
        <w:ind w:left="0" w:right="0" w:firstLine="360"/>
        <w:jc w:val="both"/>
        <w:rPr/>
      </w:pPr>
      <w:r>
        <w:rPr/>
      </w:r>
    </w:p>
    <w:p>
      <w:pPr>
        <w:pStyle w:val="TextBody"/>
        <w:bidi w:val="0"/>
        <w:spacing w:lineRule="auto" w:line="240"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Future stock repurchase programs are contingent on a variety of factors, including our financial condition, market conditions, results of operations, business requirements, and our continuing determination that stock repurchases are in the best interests of our stockholders and in compliance with all applicable laws and agreements. There is no assurance we will continue repurchasing our common stock in the future at historical levels or at all, or that our stock repurchase programs will beneficially impact our stock price. Additionally, the Inflation Reduction Act imposes a 1% excise tax on our stock repurchases, net of certain stock issuances, which increases our tax liabilities and the cost to repurchase stock and may impact if and how much stock we choose to repurchase in the future.</w:t>
      </w:r>
    </w:p>
    <w:p>
      <w:pPr>
        <w:pStyle w:val="TextBody"/>
        <w:bidi w:val="0"/>
        <w:spacing w:before="0" w:after="0"/>
        <w:ind w:left="0" w:right="0" w:firstLine="360"/>
        <w:jc w:val="both"/>
        <w:rPr/>
      </w:pPr>
      <w:r>
        <w:rPr/>
      </w:r>
    </w:p>
    <w:p>
      <w:pPr>
        <w:pStyle w:val="TextBody"/>
        <w:bidi w:val="0"/>
        <w:spacing w:lineRule="auto" w:line="240" w:before="0" w:after="0"/>
        <w:ind w:left="0" w:right="0" w:firstLine="360"/>
        <w:jc w:val="both"/>
        <w:rPr>
          <w:rFonts w:ascii="Times New Roman;serif" w:hAnsi="Times New Roman;serif"/>
          <w:b/>
          <w:i/>
          <w:color w:val="000000"/>
          <w:sz w:val="20"/>
        </w:rPr>
      </w:pPr>
      <w:r>
        <w:rPr>
          <w:rFonts w:ascii="Times New Roman;serif" w:hAnsi="Times New Roman;serif"/>
          <w:b/>
          <w:i/>
          <w:color w:val="000000"/>
          <w:sz w:val="20"/>
        </w:rPr>
        <w:t>Future sales of significant amounts of our common stock may depress our stock price.</w:t>
      </w:r>
    </w:p>
    <w:p>
      <w:pPr>
        <w:pStyle w:val="TextBody"/>
        <w:bidi w:val="0"/>
        <w:spacing w:before="0" w:after="0"/>
        <w:ind w:left="0" w:right="0" w:firstLine="360"/>
        <w:jc w:val="both"/>
        <w:rPr/>
      </w:pPr>
      <w:r>
        <w:rPr/>
      </w:r>
    </w:p>
    <w:p>
      <w:pPr>
        <w:pStyle w:val="TextBody"/>
        <w:bidi w:val="0"/>
        <w:spacing w:lineRule="auto" w:line="240"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significant percentage of our outstanding common stock is currently owned by a small number of stockholders. These stockholders have sold in the past, and may sell in the future, large amounts of our stock over relatively short periods of time. Sales of substantial amounts of our stock by existing stockholders may adversely affect the market price of our stock by creating the perception of difficulties or problems with our business, which may depress our stock price.</w:t>
      </w:r>
    </w:p>
    <w:p>
      <w:pPr>
        <w:pStyle w:val="TextBody"/>
        <w:bidi w:val="0"/>
        <w:spacing w:before="0" w:after="0"/>
        <w:ind w:left="0" w:right="0" w:firstLine="360"/>
        <w:jc w:val="both"/>
        <w:rPr/>
      </w:pPr>
      <w:r>
        <w:rPr/>
      </w:r>
    </w:p>
    <w:p>
      <w:pPr>
        <w:pStyle w:val="TextBody"/>
        <w:bidi w:val="0"/>
        <w:spacing w:lineRule="auto" w:line="240" w:before="0" w:after="0"/>
        <w:ind w:left="0" w:right="0" w:firstLine="360"/>
        <w:jc w:val="both"/>
        <w:rPr>
          <w:rFonts w:ascii="Times New Roman;serif" w:hAnsi="Times New Roman;serif"/>
          <w:b/>
          <w:i/>
          <w:color w:val="000000"/>
          <w:sz w:val="20"/>
        </w:rPr>
      </w:pPr>
      <w:r>
        <w:rPr>
          <w:rFonts w:ascii="Times New Roman;serif" w:hAnsi="Times New Roman;serif"/>
          <w:b/>
          <w:i/>
          <w:color w:val="000000"/>
          <w:sz w:val="20"/>
        </w:rPr>
        <w:t>Our business could be negatively impacted as a result of shareholder activism.</w:t>
      </w:r>
    </w:p>
    <w:p>
      <w:pPr>
        <w:pStyle w:val="TextBody"/>
        <w:bidi w:val="0"/>
        <w:spacing w:before="0" w:after="0"/>
        <w:jc w:val="left"/>
        <w:rPr/>
      </w:pPr>
      <w:r>
        <w:rPr/>
      </w:r>
    </w:p>
    <w:p>
      <w:pPr>
        <w:pStyle w:val="TextBody"/>
        <w:bidi w:val="0"/>
        <w:spacing w:lineRule="auto" w:line="240"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Publicly traded companies are increasingly subject to campaigns by activist shareholders advocating corporate actions such as operational, governance or management changes, or sales of assets or entire segments. We are currently subject to shareholder activism and may continue to be in the future. The corporate actions by shareholder activists may not align with our current business strategies and the best interests of all of our stakeholders. The actions of activist shareholders may cause fluctuations in our stock price based on temporary or speculative market perceptions or other factors that do not necessarily reflect the underlying fundamentals or prospects of our business. In addition, responding to the actions of activist shareholders can be costly and time-consuming, disrupting our business and diverting the attention of our board of directors and management from pursuing our business strategies.</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51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51 </w:t>
                      </w:r>
                    </w:p>
                  </w:txbxContent>
                </v:textbox>
                <w10:wrap type="none"/>
              </v:rect>
            </w:pict>
          </mc:Fallback>
        </mc:AlternateContent>
      </w:r>
    </w:p>
    <w:p>
      <w:pPr>
        <w:pStyle w:val="TextBody"/>
        <w:bidi w:val="0"/>
        <w:spacing w:lineRule="auto" w:line="288" w:before="0" w:after="0"/>
        <w:jc w:val="left"/>
        <w:rPr/>
      </w:pPr>
      <w:hyperlink w:anchor="i7a02b169d6be4765847899a2d1aa61f4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Item 2.        Unregistered Sales of Equity Securities and Use of Proceeds.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i/>
          <w:color w:val="000000"/>
          <w:sz w:val="20"/>
        </w:rPr>
      </w:pPr>
      <w:r>
        <w:rPr>
          <w:rFonts w:ascii="Times New Roman;serif" w:hAnsi="Times New Roman;serif"/>
          <w:b/>
          <w:i/>
          <w:color w:val="000000"/>
          <w:sz w:val="20"/>
        </w:rPr>
        <w:t>Unregistered Sales of Equity Securities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i/>
          <w:color w:val="000000"/>
          <w:sz w:val="20"/>
        </w:rPr>
      </w:pPr>
      <w:r>
        <w:rPr>
          <w:rFonts w:ascii="Times New Roman;serif" w:hAnsi="Times New Roman;serif"/>
          <w:b/>
          <w:i/>
          <w:color w:val="000000"/>
          <w:sz w:val="20"/>
        </w:rPr>
        <w:t>Purchases of Equity Securities by the Issuer and Affiliated Purchasers</w:t>
      </w:r>
    </w:p>
    <w:p>
      <w:pPr>
        <w:pStyle w:val="TextBody"/>
        <w:bidi w:val="0"/>
        <w:spacing w:before="0" w:after="0"/>
        <w:ind w:left="0" w:right="0" w:firstLine="36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stock repurchase activity for the three months ended March 31, 2026.</w:t>
      </w:r>
    </w:p>
    <w:tbl>
      <w:tblPr>
        <w:tblW w:w="10205" w:type="dxa"/>
        <w:jc w:val="left"/>
        <w:tblInd w:w="0" w:type="dxa"/>
        <w:tblLayout w:type="fixed"/>
        <w:tblCellMar>
          <w:top w:w="28" w:type="dxa"/>
          <w:left w:w="28" w:type="dxa"/>
          <w:bottom w:w="28" w:type="dxa"/>
          <w:right w:w="28" w:type="dxa"/>
        </w:tblCellMar>
      </w:tblPr>
      <w:tblGrid>
        <w:gridCol w:w="545"/>
        <w:gridCol w:w="427"/>
        <w:gridCol w:w="434"/>
        <w:gridCol w:w="109"/>
        <w:gridCol w:w="109"/>
        <w:gridCol w:w="109"/>
        <w:gridCol w:w="607"/>
        <w:gridCol w:w="401"/>
        <w:gridCol w:w="403"/>
        <w:gridCol w:w="109"/>
        <w:gridCol w:w="109"/>
        <w:gridCol w:w="109"/>
        <w:gridCol w:w="259"/>
        <w:gridCol w:w="887"/>
        <w:gridCol w:w="134"/>
        <w:gridCol w:w="109"/>
        <w:gridCol w:w="109"/>
        <w:gridCol w:w="109"/>
        <w:gridCol w:w="830"/>
        <w:gridCol w:w="657"/>
        <w:gridCol w:w="659"/>
        <w:gridCol w:w="109"/>
        <w:gridCol w:w="109"/>
        <w:gridCol w:w="109"/>
        <w:gridCol w:w="360"/>
        <w:gridCol w:w="2025"/>
        <w:gridCol w:w="269"/>
      </w:tblGrid>
      <w:tr>
        <w:trPr/>
        <w:tc>
          <w:tcPr>
            <w:tcW w:w="545"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2025"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r>
      <w:tr>
        <w:trPr/>
        <w:tc>
          <w:tcPr>
            <w:tcW w:w="14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Total Number of Shares Purchased as Part of Publicly Announced Plans 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Approximate Dollar Value of Shares that May Yet Be Purchased Under the Plans or Programs</w:t>
            </w:r>
            <w:r>
              <w:rPr>
                <w:rFonts w:ascii="Times New Roman;serif" w:hAnsi="Times New Roman;serif"/>
                <w:b/>
                <w:color w:val="000000"/>
                <w:sz w:val="10"/>
              </w:rPr>
              <w:t>(1)</w:t>
            </w:r>
          </w:p>
        </w:tc>
      </w:tr>
      <w:tr>
        <w:trPr/>
        <w:tc>
          <w:tcPr>
            <w:tcW w:w="14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January 1, 2026 through January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186,481 </w:t>
            </w:r>
          </w:p>
        </w:tc>
        <w:tc>
          <w:tcPr>
            <w:tcW w:w="4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167.28 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186,481 </w:t>
            </w:r>
          </w:p>
        </w:tc>
        <w:tc>
          <w:tcPr>
            <w:tcW w:w="6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800,000,000 </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1, 2026 through February 28,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800,000,000 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1, 2026 through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800,000,000 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186,481 </w:t>
            </w:r>
          </w:p>
        </w:tc>
        <w:tc>
          <w:tcPr>
            <w:tcW w:w="4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186,481 </w:t>
            </w:r>
          </w:p>
        </w:tc>
        <w:tc>
          <w:tcPr>
            <w:tcW w:w="6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50"/>
        <w:jc w:val="both"/>
        <w:rPr/>
      </w:pPr>
      <w:r>
        <w:rPr/>
      </w:r>
    </w:p>
    <w:p>
      <w:pPr>
        <w:pStyle w:val="TextBody"/>
        <w:bidi w:val="0"/>
        <w:spacing w:lineRule="auto" w:line="288" w:before="0" w:after="0"/>
        <w:ind w:left="0" w:right="0" w:hanging="90"/>
        <w:jc w:val="both"/>
        <w:rPr/>
      </w:pPr>
      <w:r>
        <w:rPr>
          <w:rFonts w:ascii="Times New Roman;serif" w:hAnsi="Times New Roman;serif"/>
          <w:b w:val="false"/>
          <w:color w:val="000000"/>
          <w:sz w:val="12"/>
        </w:rPr>
        <w:t xml:space="preserve">1 </w:t>
      </w:r>
      <w:r>
        <w:rPr>
          <w:rFonts w:ascii="Times New Roman;serif" w:hAnsi="Times New Roman;serif"/>
          <w:b w:val="false"/>
          <w:i/>
          <w:color w:val="000000"/>
          <w:sz w:val="18"/>
        </w:rPr>
        <w:t xml:space="preserve">April 2025 Repurchase Program. </w:t>
      </w:r>
      <w:r>
        <w:rPr>
          <w:rFonts w:ascii="Times New Roman;serif" w:hAnsi="Times New Roman;serif"/>
          <w:b w:val="false"/>
          <w:color w:val="000000"/>
          <w:sz w:val="18"/>
        </w:rPr>
        <w:t>In April 2025, we announced that our Board of Directors had authorized a plan to repurchase up to $1,000,000,000 of our common stock (“April 2025 Repurchase Program”). The April 2025 Repurchase Program is expected to be completed over a period of up to three years. See Note 9</w:t>
      </w:r>
      <w:r>
        <w:rPr>
          <w:color w:val="000000"/>
        </w:rPr>
        <w:t xml:space="preserve"> “</w:t>
      </w:r>
      <w:r>
        <w:rPr>
          <w:rFonts w:ascii="Times New Roman;serif" w:hAnsi="Times New Roman;serif"/>
          <w:b w:val="false"/>
          <w:i/>
          <w:color w:val="000000"/>
          <w:sz w:val="18"/>
        </w:rPr>
        <w:t>Common Stock Repurchase Programs” of the Notes to Condensed Consolidated Financial Statements</w:t>
      </w:r>
      <w:r>
        <w:rPr>
          <w:color w:val="000000"/>
        </w:rPr>
        <w:t xml:space="preserve"> </w:t>
      </w:r>
      <w:r>
        <w:rPr>
          <w:rFonts w:ascii="Times New Roman;serif" w:hAnsi="Times New Roman;serif"/>
          <w:b w:val="false"/>
          <w:color w:val="000000"/>
          <w:sz w:val="18"/>
        </w:rPr>
        <w:t>for details on the April 2025 Repurchase Program.</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Item 3.        Defaults Upon Senior Securities.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Item 4.        Mine Safety Disclosures.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Item 5.        Other Information.</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During the fiscal quarter ended March 31, 2026, no director or officer (as defined in Rule 16a-1(f) of the Exchange Act) adopted or terminated a “Rule 10b5-1 trading arrangement” or a “non-Rule 10b5-1 trading arrangement” (each as defined in Item 408 of Regulation S-K).</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ind w:left="0" w:right="0" w:firstLine="450"/>
        <w:jc w:val="both"/>
        <w:rPr/>
      </w:pPr>
      <w:r>
        <w:rPr/>
      </w:r>
    </w:p>
    <w:p>
      <w:pPr>
        <w:pStyle w:val="TextBody"/>
        <w:bidi w:val="0"/>
        <w:spacing w:before="0" w:after="0"/>
        <w:jc w:val="both"/>
        <w:rPr/>
      </w:pPr>
      <w:r>
        <w:rPr/>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52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52 </w:t>
                      </w:r>
                    </w:p>
                  </w:txbxContent>
                </v:textbox>
                <w10:wrap type="none"/>
              </v:rect>
            </w:pict>
          </mc:Fallback>
        </mc:AlternateContent>
      </w:r>
    </w:p>
    <w:p>
      <w:pPr>
        <w:pStyle w:val="TextBody"/>
        <w:bidi w:val="0"/>
        <w:spacing w:lineRule="auto" w:line="288" w:before="0" w:after="0"/>
        <w:jc w:val="left"/>
        <w:rPr/>
      </w:pPr>
      <w:hyperlink w:anchor="i7a02b169d6be4765847899a2d1aa61f4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before="0" w:after="0"/>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before="0" w:after="0"/>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 Exhibits:</w:t>
      </w:r>
    </w:p>
    <w:tbl>
      <w:tblPr>
        <w:tblW w:w="10205" w:type="dxa"/>
        <w:jc w:val="left"/>
        <w:tblInd w:w="0" w:type="dxa"/>
        <w:tblLayout w:type="fixed"/>
        <w:tblCellMar>
          <w:top w:w="28" w:type="dxa"/>
          <w:left w:w="28" w:type="dxa"/>
          <w:bottom w:w="28" w:type="dxa"/>
          <w:right w:w="28" w:type="dxa"/>
        </w:tblCellMar>
      </w:tblPr>
      <w:tblGrid>
        <w:gridCol w:w="269"/>
        <w:gridCol w:w="237"/>
        <w:gridCol w:w="238"/>
        <w:gridCol w:w="109"/>
        <w:gridCol w:w="109"/>
        <w:gridCol w:w="109"/>
        <w:gridCol w:w="1810"/>
        <w:gridCol w:w="1685"/>
        <w:gridCol w:w="1701"/>
        <w:gridCol w:w="109"/>
        <w:gridCol w:w="109"/>
        <w:gridCol w:w="109"/>
        <w:gridCol w:w="175"/>
        <w:gridCol w:w="175"/>
        <w:gridCol w:w="176"/>
        <w:gridCol w:w="109"/>
        <w:gridCol w:w="109"/>
        <w:gridCol w:w="109"/>
        <w:gridCol w:w="208"/>
        <w:gridCol w:w="208"/>
        <w:gridCol w:w="213"/>
        <w:gridCol w:w="109"/>
        <w:gridCol w:w="109"/>
        <w:gridCol w:w="109"/>
        <w:gridCol w:w="230"/>
        <w:gridCol w:w="230"/>
        <w:gridCol w:w="231"/>
        <w:gridCol w:w="109"/>
        <w:gridCol w:w="109"/>
        <w:gridCol w:w="109"/>
        <w:gridCol w:w="228"/>
        <w:gridCol w:w="228"/>
        <w:gridCol w:w="328"/>
      </w:tblGrid>
      <w:tr>
        <w:trPr/>
        <w:tc>
          <w:tcPr>
            <w:tcW w:w="26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0" w:type="dxa"/>
            <w:tcBorders/>
            <w:vAlign w:val="center"/>
          </w:tcPr>
          <w:p>
            <w:pPr>
              <w:pStyle w:val="TableContents"/>
              <w:bidi w:val="0"/>
              <w:spacing w:before="0" w:after="283"/>
              <w:jc w:val="left"/>
              <w:rPr>
                <w:sz w:val="4"/>
                <w:szCs w:val="4"/>
              </w:rPr>
            </w:pPr>
            <w:r>
              <w:rPr>
                <w:sz w:val="4"/>
                <w:szCs w:val="4"/>
              </w:rPr>
            </w:r>
          </w:p>
        </w:tc>
        <w:tc>
          <w:tcPr>
            <w:tcW w:w="1685" w:type="dxa"/>
            <w:tcBorders/>
            <w:vAlign w:val="center"/>
          </w:tcPr>
          <w:p>
            <w:pPr>
              <w:pStyle w:val="TableContents"/>
              <w:bidi w:val="0"/>
              <w:spacing w:before="0" w:after="283"/>
              <w:jc w:val="left"/>
              <w:rPr>
                <w:sz w:val="4"/>
                <w:szCs w:val="4"/>
              </w:rPr>
            </w:pPr>
            <w:r>
              <w:rPr>
                <w:sz w:val="4"/>
                <w:szCs w:val="4"/>
              </w:rPr>
            </w:r>
          </w:p>
        </w:tc>
        <w:tc>
          <w:tcPr>
            <w:tcW w:w="17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r>
      <w:tr>
        <w:trPr/>
        <w:tc>
          <w:tcPr>
            <w:tcW w:w="7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Exhibit</w:t>
            </w:r>
          </w:p>
          <w:p>
            <w:pPr>
              <w:pStyle w:val="TableContents"/>
              <w:bidi w:val="0"/>
              <w:spacing w:lineRule="auto" w:line="240" w:before="0" w:after="0"/>
              <w:jc w:val="left"/>
              <w:rPr>
                <w:rFonts w:ascii="Times New Roman;serif" w:hAnsi="Times New Roman;serif"/>
                <w:b/>
                <w:color w:val="000000"/>
                <w:sz w:val="16"/>
                <w:u w:val="single"/>
              </w:rPr>
            </w:pPr>
            <w:r>
              <w:rPr>
                <w:rFonts w:ascii="Times New Roman;serif" w:hAnsi="Times New Roman;serif"/>
                <w:b/>
                <w:color w:val="000000"/>
                <w:sz w:val="16"/>
                <w:u w:val="single"/>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Filing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u w:val="single"/>
              </w:rPr>
            </w:pPr>
            <w:r>
              <w:rPr>
                <w:rFonts w:ascii="Times New Roman;serif" w:hAnsi="Times New Roman;serif"/>
                <w:b/>
                <w:color w:val="000000"/>
                <w:sz w:val="16"/>
                <w:u w:val="single"/>
              </w:rPr>
              <w:t>Exhibit</w:t>
            </w:r>
          </w:p>
          <w:p>
            <w:pPr>
              <w:pStyle w:val="TableContents"/>
              <w:bidi w:val="0"/>
              <w:spacing w:lineRule="auto" w:line="240" w:before="0" w:after="0"/>
              <w:jc w:val="center"/>
              <w:rPr>
                <w:rFonts w:ascii="Times New Roman;serif" w:hAnsi="Times New Roman;serif"/>
                <w:b/>
                <w:color w:val="000000"/>
                <w:sz w:val="16"/>
                <w:u w:val="single"/>
              </w:rPr>
            </w:pPr>
            <w:r>
              <w:rPr>
                <w:rFonts w:ascii="Times New Roman;serif" w:hAnsi="Times New Roman;serif"/>
                <w:b/>
                <w:color w:val="000000"/>
                <w:sz w:val="16"/>
                <w:u w:val="single"/>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Filed </w:t>
              <w:br/>
              <w:t>herewith</w:t>
            </w:r>
          </w:p>
        </w:tc>
      </w:tr>
      <w:tr>
        <w:trPr/>
        <w:tc>
          <w:tcPr>
            <w:tcW w:w="7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FF"/>
                  <w:sz w:val="20"/>
                  <w:u w:val="single"/>
                </w:rPr>
                <w:t>3.1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20"/>
                  <w:u w:val="single"/>
                </w:rPr>
                <w:t>Amended and Restated Certificate of Incorporation of Align Technology, Inc.</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8/06/2025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CCEEFF" w:val="clear"/>
            <w:tcMar>
              <w:top w:w="0" w:type="dxa"/>
              <w:left w:w="0" w:type="dxa"/>
              <w:bottom w:w="0" w:type="dxa"/>
              <w:right w:w="0" w:type="dxa"/>
            </w:tcMar>
            <w:vAlign w:val="center"/>
          </w:tcPr>
          <w:p>
            <w:pPr>
              <w:pStyle w:val="TableContents"/>
              <w:bidi w:val="0"/>
              <w:spacing w:before="0" w:after="0"/>
              <w:jc w:val="center"/>
              <w:rPr/>
            </w:pPr>
            <w:r>
              <w:rPr/>
            </w:r>
          </w:p>
        </w:tc>
      </w:tr>
      <w:tr>
        <w:trPr/>
        <w:tc>
          <w:tcPr>
            <w:tcW w:w="7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FF"/>
                  <w:sz w:val="20"/>
                  <w:u w:val="single"/>
                </w:rPr>
                <w:t>3.2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erif" w:hAnsi="Times New Roman;serif"/>
                  <w:b w:val="false"/>
                  <w:color w:val="0000FF"/>
                  <w:sz w:val="20"/>
                  <w:u w:val="single"/>
                </w:rPr>
                <w:t>Amended and Restated Bylaws of Align Technology, Inc.</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2/26/2026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hibit101-thirdamendmentt.htm">
              <w:r>
                <w:rPr>
                  <w:rStyle w:val="InternetLink"/>
                  <w:rFonts w:ascii="Times New Roman;serif" w:hAnsi="Times New Roman;serif"/>
                  <w:b w:val="false"/>
                  <w:color w:val="0000FF"/>
                  <w:sz w:val="20"/>
                  <w:u w:val="single"/>
                </w:rPr>
                <w:t>10.1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hibit101-thirdamendmentt.htm">
              <w:r>
                <w:rPr>
                  <w:rStyle w:val="InternetLink"/>
                  <w:rFonts w:ascii="Times New Roman;serif" w:hAnsi="Times New Roman;serif"/>
                  <w:b w:val="false"/>
                  <w:color w:val="000080"/>
                  <w:sz w:val="20"/>
                  <w:u w:val="single"/>
                </w:rPr>
                <w:t>Thir</w:t>
              </w:r>
            </w:hyperlink>
            <w:hyperlink w:anchor="exhibit101-thirdamendmentt.htm">
              <w:r>
                <w:rPr>
                  <w:rStyle w:val="InternetLink"/>
                  <w:rFonts w:ascii="Times New Roman;serif" w:hAnsi="Times New Roman;serif"/>
                  <w:b w:val="false"/>
                  <w:color w:val="000080"/>
                  <w:sz w:val="20"/>
                  <w:u w:val="single"/>
                </w:rPr>
                <w:t>d</w:t>
              </w:r>
            </w:hyperlink>
            <w:hyperlink w:anchor="exhibit101-thirdamendmentt.htm">
              <w:r>
                <w:rPr>
                  <w:rStyle w:val="InternetLink"/>
                  <w:rFonts w:ascii="Times New Roman;serif" w:hAnsi="Times New Roman;serif"/>
                  <w:b w:val="false"/>
                  <w:color w:val="000080"/>
                  <w:sz w:val="20"/>
                  <w:u w:val="single"/>
                </w:rPr>
                <w:t xml:space="preserve"> Amendment, dated </w:t>
              </w:r>
            </w:hyperlink>
            <w:hyperlink w:anchor="exhibit101-thirdamendmentt.htm">
              <w:r>
                <w:rPr>
                  <w:rStyle w:val="InternetLink"/>
                  <w:rFonts w:ascii="Times New Roman;serif" w:hAnsi="Times New Roman;serif"/>
                  <w:b w:val="false"/>
                  <w:color w:val="000080"/>
                  <w:sz w:val="20"/>
                  <w:u w:val="single"/>
                </w:rPr>
                <w:t>March 31, 2026</w:t>
              </w:r>
            </w:hyperlink>
            <w:hyperlink w:anchor="exhibit101-thirdamendmentt.htm">
              <w:r>
                <w:rPr>
                  <w:rStyle w:val="InternetLink"/>
                  <w:rFonts w:ascii="Times New Roman;serif" w:hAnsi="Times New Roman;serif"/>
                  <w:b w:val="false"/>
                  <w:color w:val="000080"/>
                  <w:sz w:val="20"/>
                  <w:u w:val="single"/>
                </w:rPr>
                <w:t>, to Credit Agreement by and among Align Technology, Inc. and the lenders party thereto from time to time and Citibank, N.A., as administrative agent, dated July 21, 2020</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algn-20260331xex311.htm">
              <w:r>
                <w:rPr>
                  <w:rStyle w:val="InternetLink"/>
                  <w:rFonts w:ascii="Times New Roman;serif" w:hAnsi="Times New Roman;serif"/>
                  <w:b w:val="false"/>
                  <w:color w:val="0000FF"/>
                  <w:sz w:val="20"/>
                  <w:u w:val="single"/>
                </w:rPr>
                <w:t>31.1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algn-20260331xex311.htm">
              <w:r>
                <w:rPr>
                  <w:rStyle w:val="InternetLink"/>
                  <w:rFonts w:ascii="Times New Roman;serif" w:hAnsi="Times New Roman;serif"/>
                  <w:b w:val="false"/>
                  <w:color w:val="0000FF"/>
                  <w:sz w:val="20"/>
                  <w:u w:val="single"/>
                </w:rPr>
                <w:t>Certification of Chief Executive Officer pursuant to 18 U.S.C. Section 1350, as adopted pursuant to Section 302 of the Sarbanes-Oxley Act of 2002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algn-20260331xex312.htm">
              <w:r>
                <w:rPr>
                  <w:rStyle w:val="InternetLink"/>
                  <w:rFonts w:ascii="Times New Roman;serif" w:hAnsi="Times New Roman;serif"/>
                  <w:b w:val="false"/>
                  <w:color w:val="0000FF"/>
                  <w:sz w:val="20"/>
                  <w:u w:val="single"/>
                </w:rPr>
                <w:t>31.2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algn-20260331xex312.htm">
              <w:r>
                <w:rPr>
                  <w:rStyle w:val="InternetLink"/>
                  <w:rFonts w:ascii="Times New Roman;serif" w:hAnsi="Times New Roman;serif"/>
                  <w:b w:val="false"/>
                  <w:color w:val="0000FF"/>
                  <w:sz w:val="20"/>
                  <w:u w:val="single"/>
                </w:rPr>
                <w:t>Certification of Chief Financial Officer pursuant to 18 U.S.C. Section 1350, as adopted pursuant to Section 302 of the Sarbanes-Oxley Act of 2002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44"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w:anchor="algn-20260331xex321.htm">
              <w:r>
                <w:rPr>
                  <w:rStyle w:val="InternetLink"/>
                  <w:rFonts w:ascii="Times New Roman;serif" w:hAnsi="Times New Roman;serif"/>
                  <w:b w:val="false"/>
                  <w:color w:val="000080"/>
                  <w:sz w:val="20"/>
                  <w:u w:val="single"/>
                </w:rPr>
                <w:t>32.1</w:t>
              </w:r>
            </w:hyperlink>
            <w:hyperlink w:anchor="algn-20260331xex321.htm">
              <w:r>
                <w:rPr>
                  <w:rStyle w:val="InternetLink"/>
                  <w:rFonts w:ascii="Times New Roman;serif" w:hAnsi="Times New Roman;serif"/>
                  <w:b w:val="false"/>
                  <w:color w:val="000080"/>
                  <w:sz w:val="20"/>
                  <w:u w:val="single"/>
                </w:rPr>
                <w:t>†</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algn-20260331xex321.htm">
              <w:r>
                <w:rPr>
                  <w:rStyle w:val="InternetLink"/>
                  <w:rFonts w:ascii="Times New Roman;serif" w:hAnsi="Times New Roman;serif"/>
                  <w:b w:val="false"/>
                  <w:color w:val="0000FF"/>
                  <w:sz w:val="20"/>
                  <w:u w:val="single"/>
                </w:rPr>
                <w:t>Certifications pursuant to 18 U.S.C. Section 1350, as adopted pursuant to Section 906 of the Sarbanes-Oxley Act of 2002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 (the instance document does not appear in the Interactive Data File because its XBRL tags are embedded within the Inline XBRL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bl>
    <w:p>
      <w:pPr>
        <w:pStyle w:val="TextBody"/>
        <w:bidi w:val="0"/>
        <w:spacing w:before="0" w:after="0"/>
        <w:ind w:left="0" w:right="0" w:firstLine="495"/>
        <w:jc w:val="left"/>
        <w:rPr/>
      </w:pPr>
      <w:r>
        <w:rPr/>
      </w:r>
    </w:p>
    <w:p>
      <w:pPr>
        <w:pStyle w:val="TextBody"/>
        <w:bidi w:val="0"/>
        <w:spacing w:lineRule="auto" w:line="268" w:before="0" w:after="0"/>
        <w:jc w:val="both"/>
        <w:rPr>
          <w:color w:val="000000"/>
        </w:rPr>
      </w:pPr>
      <w:r>
        <w:rPr>
          <w:color w:val="000000"/>
        </w:rPr>
        <w:t>†     </w:t>
      </w:r>
      <w:r>
        <w:rPr>
          <w:rFonts w:ascii="Times New Roman;serif" w:hAnsi="Times New Roman;serif"/>
          <w:b w:val="false"/>
          <w:color w:val="000000"/>
          <w:sz w:val="18"/>
        </w:rPr>
        <w:t>Furnished herewith.</w:t>
      </w:r>
    </w:p>
    <w:p>
      <w:pPr>
        <w:pStyle w:val="TextBody"/>
        <w:bidi w:val="0"/>
        <w:spacing w:before="0" w:after="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53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53 </w:t>
                      </w:r>
                    </w:p>
                  </w:txbxContent>
                </v:textbox>
                <w10:wrap type="none"/>
              </v:rect>
            </w:pict>
          </mc:Fallback>
        </mc:AlternateContent>
      </w:r>
    </w:p>
    <w:p>
      <w:pPr>
        <w:pStyle w:val="TextBody"/>
        <w:bidi w:val="0"/>
        <w:spacing w:lineRule="auto" w:line="288" w:before="0" w:after="0"/>
        <w:jc w:val="left"/>
        <w:rPr/>
      </w:pPr>
      <w:hyperlink w:anchor="i7a02b169d6be4765847899a2d1aa61f4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SIGNATURES</w:t>
      </w:r>
    </w:p>
    <w:p>
      <w:pPr>
        <w:pStyle w:val="TextBody"/>
        <w:bidi w:val="0"/>
        <w:spacing w:before="0" w:after="0"/>
        <w:jc w:val="center"/>
        <w:rPr/>
      </w:pPr>
      <w:r>
        <w:rPr/>
      </w:r>
    </w:p>
    <w:p>
      <w:pPr>
        <w:pStyle w:val="TextBody"/>
        <w:bidi w:val="0"/>
        <w:spacing w:lineRule="auto" w:line="28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387"/>
        <w:gridCol w:w="342"/>
        <w:gridCol w:w="344"/>
        <w:gridCol w:w="131"/>
        <w:gridCol w:w="131"/>
        <w:gridCol w:w="133"/>
        <w:gridCol w:w="2554"/>
        <w:gridCol w:w="2554"/>
        <w:gridCol w:w="3629"/>
      </w:tblGrid>
      <w:tr>
        <w:trPr/>
        <w:tc>
          <w:tcPr>
            <w:tcW w:w="387"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54" w:type="dxa"/>
            <w:tcBorders/>
            <w:vAlign w:val="center"/>
          </w:tcPr>
          <w:p>
            <w:pPr>
              <w:pStyle w:val="TableContents"/>
              <w:bidi w:val="0"/>
              <w:spacing w:before="0" w:after="283"/>
              <w:jc w:val="left"/>
              <w:rPr>
                <w:sz w:val="4"/>
                <w:szCs w:val="4"/>
              </w:rPr>
            </w:pPr>
            <w:r>
              <w:rPr>
                <w:sz w:val="4"/>
                <w:szCs w:val="4"/>
              </w:rPr>
            </w:r>
          </w:p>
        </w:tc>
        <w:tc>
          <w:tcPr>
            <w:tcW w:w="2554" w:type="dxa"/>
            <w:tcBorders/>
            <w:vAlign w:val="center"/>
          </w:tcPr>
          <w:p>
            <w:pPr>
              <w:pStyle w:val="TableContents"/>
              <w:bidi w:val="0"/>
              <w:spacing w:before="0" w:after="283"/>
              <w:jc w:val="left"/>
              <w:rPr>
                <w:sz w:val="4"/>
                <w:szCs w:val="4"/>
              </w:rPr>
            </w:pPr>
            <w:r>
              <w:rPr>
                <w:sz w:val="4"/>
                <w:szCs w:val="4"/>
              </w:rPr>
            </w:r>
          </w:p>
        </w:tc>
        <w:tc>
          <w:tcPr>
            <w:tcW w:w="3629" w:type="dxa"/>
            <w:tcBorders/>
            <w:vAlign w:val="center"/>
          </w:tcPr>
          <w:p>
            <w:pPr>
              <w:pStyle w:val="TableContents"/>
              <w:bidi w:val="0"/>
              <w:spacing w:before="0" w:after="283"/>
              <w:jc w:val="left"/>
              <w:rPr>
                <w:sz w:val="4"/>
                <w:szCs w:val="4"/>
              </w:rPr>
            </w:pPr>
            <w:r>
              <w:rPr>
                <w:sz w:val="4"/>
                <w:szCs w:val="4"/>
              </w:rPr>
            </w:r>
          </w:p>
        </w:tc>
      </w:tr>
      <w:tr>
        <w:trPr/>
        <w:tc>
          <w:tcPr>
            <w:tcW w:w="10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ALIGN TECHNOLOGY, INC.</w:t>
            </w:r>
          </w:p>
        </w:tc>
      </w:tr>
      <w:tr>
        <w:trPr/>
        <w:tc>
          <w:tcPr>
            <w:tcW w:w="10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6, 2026</w:t>
            </w:r>
          </w:p>
        </w:tc>
        <w:tc>
          <w:tcPr>
            <w:tcW w:w="3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873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 JOSEPH M. HOGAN</w:t>
            </w:r>
          </w:p>
        </w:tc>
      </w:tr>
      <w:tr>
        <w:trPr/>
        <w:tc>
          <w:tcPr>
            <w:tcW w:w="10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Joseph M. Hogan</w:t>
              <w:br/>
              <w:t xml:space="preserve">President and Chief Executive Officer </w:t>
              <w:br/>
              <w:t>(Principal Executive Officer)</w:t>
            </w:r>
          </w:p>
        </w:tc>
      </w:tr>
      <w:tr>
        <w:trPr/>
        <w:tc>
          <w:tcPr>
            <w:tcW w:w="10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6, 2026</w:t>
            </w:r>
          </w:p>
        </w:tc>
        <w:tc>
          <w:tcPr>
            <w:tcW w:w="3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873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 JOHN F. MORICI</w:t>
            </w:r>
          </w:p>
        </w:tc>
      </w:tr>
      <w:tr>
        <w:trPr/>
        <w:tc>
          <w:tcPr>
            <w:tcW w:w="10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John F. Morici</w:t>
              <w:br/>
              <w:t>Chief Financial Officer and Executive Vice President, Global Finance (Principal Financial Officer and Principal Accounting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10.1</w:t>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54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54 </w:t>
                      </w:r>
                    </w:p>
                  </w:txbxContent>
                </v:textbox>
                <w10:wrap type="none"/>
              </v:rect>
            </w:pict>
          </mc:Fallback>
        </mc:AlternateContent>
      </w:r>
    </w:p>
    <w:p>
      <w:pPr>
        <w:pStyle w:val="TextBody"/>
        <w:bidi w:val="0"/>
        <w:spacing w:lineRule="auto" w:line="288" w:before="1" w:after="283"/>
        <w:jc w:val="center"/>
        <w:rPr>
          <w:rFonts w:ascii="Times New Roman;serif" w:hAnsi="Times New Roman;serif"/>
          <w:b/>
          <w:color w:val="000000"/>
          <w:sz w:val="24"/>
        </w:rPr>
      </w:pPr>
      <w:r>
        <w:rPr>
          <w:rFonts w:ascii="Times New Roman;serif" w:hAnsi="Times New Roman;serif"/>
          <w:b/>
          <w:color w:val="000000"/>
          <w:sz w:val="24"/>
        </w:rPr>
        <w:t>THIRD AMENDMENT TO CREDIT AGREEMENT</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THIRD AMENDMENT TO CREDIT AGREEMENT, dated as of March 31, 2026 (this “</w:t>
      </w:r>
      <w:r>
        <w:rPr>
          <w:rFonts w:ascii="Times New Roman;serif" w:hAnsi="Times New Roman;serif"/>
          <w:b w:val="false"/>
          <w:color w:val="000000"/>
          <w:sz w:val="24"/>
          <w:u w:val="single"/>
        </w:rPr>
        <w:t>Third Amendment</w:t>
      </w:r>
      <w:r>
        <w:rPr>
          <w:color w:val="000000"/>
        </w:rPr>
        <w:t>”</w:t>
      </w:r>
      <w:r>
        <w:rPr>
          <w:rFonts w:ascii="Times New Roman;serif" w:hAnsi="Times New Roman;serif"/>
          <w:b w:val="false"/>
          <w:color w:val="000000"/>
          <w:sz w:val="24"/>
        </w:rPr>
        <w:t>), by and among ALIGN TECHNOLOGY, INC., a Delaware corporation (the “</w:t>
      </w:r>
      <w:r>
        <w:rPr>
          <w:rFonts w:ascii="Times New Roman;serif" w:hAnsi="Times New Roman;serif"/>
          <w:b w:val="false"/>
          <w:color w:val="000000"/>
          <w:sz w:val="24"/>
          <w:u w:val="single"/>
        </w:rPr>
        <w:t>Borrower</w:t>
      </w:r>
      <w:r>
        <w:rPr>
          <w:color w:val="000000"/>
        </w:rPr>
        <w:t>”</w:t>
      </w:r>
      <w:r>
        <w:rPr>
          <w:rFonts w:ascii="Times New Roman;serif" w:hAnsi="Times New Roman;serif"/>
          <w:b w:val="false"/>
          <w:color w:val="000000"/>
          <w:sz w:val="24"/>
        </w:rPr>
        <w:t>), the Lenders (as defined below) party hereto and Citibank, N.A., as administrative agent for the Lenders (in such capacity, the “</w:t>
      </w:r>
      <w:r>
        <w:rPr>
          <w:rFonts w:ascii="Times New Roman;serif" w:hAnsi="Times New Roman;serif"/>
          <w:b w:val="false"/>
          <w:color w:val="000000"/>
          <w:sz w:val="24"/>
          <w:u w:val="single"/>
        </w:rPr>
        <w:t>Administrative Agent</w:t>
      </w:r>
      <w:r>
        <w:rPr>
          <w:color w:val="000000"/>
        </w:rPr>
        <w:t>”</w:t>
      </w:r>
      <w:r>
        <w:rPr>
          <w:rFonts w:ascii="Times New Roman;serif" w:hAnsi="Times New Roman;serif"/>
          <w:b w:val="false"/>
          <w:color w:val="000000"/>
          <w:sz w:val="24"/>
        </w:rPr>
        <w:t>).</w:t>
      </w:r>
    </w:p>
    <w:p>
      <w:pPr>
        <w:pStyle w:val="TextBody"/>
        <w:bidi w:val="0"/>
        <w:spacing w:lineRule="auto" w:line="288" w:before="240" w:after="283"/>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W I T N E S S E T H:</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WHEREAS, the Borrower, each Loan Party from time to time party thereto, the lenders from time to time party thereto (the “</w:t>
      </w:r>
      <w:r>
        <w:rPr>
          <w:rFonts w:ascii="Times New Roman;serif" w:hAnsi="Times New Roman;serif"/>
          <w:b w:val="false"/>
          <w:color w:val="000000"/>
          <w:sz w:val="24"/>
          <w:u w:val="single"/>
        </w:rPr>
        <w:t>Lenders</w:t>
      </w:r>
      <w:r>
        <w:rPr>
          <w:color w:val="000000"/>
        </w:rPr>
        <w:t>”</w:t>
      </w:r>
      <w:r>
        <w:rPr>
          <w:rFonts w:ascii="Times New Roman;serif" w:hAnsi="Times New Roman;serif"/>
          <w:b w:val="false"/>
          <w:color w:val="000000"/>
          <w:sz w:val="24"/>
        </w:rPr>
        <w:t>) and the Administrative Agent have entered into that certain Credit Agreement, dated as of July 21, 2020 (as amended by that certain First Amendment to Credit Agreement, dated as of April 21, 2022, and by that certain Second Amendment to Credit Agreement, dated as of December 23, 2022, and as further amended, restated, amended and restated, supplemented and/or otherwise modified from time to time and in effect immediately prior to the Third Amendment Effective Date (as defined below), the “</w:t>
      </w:r>
      <w:r>
        <w:rPr>
          <w:rFonts w:ascii="Times New Roman;serif" w:hAnsi="Times New Roman;serif"/>
          <w:b w:val="false"/>
          <w:color w:val="000000"/>
          <w:sz w:val="24"/>
          <w:u w:val="single"/>
        </w:rPr>
        <w:t>Existing Credit Agreement</w:t>
      </w:r>
      <w:r>
        <w:rPr>
          <w:color w:val="000000"/>
        </w:rPr>
        <w:t>”</w:t>
      </w:r>
      <w:r>
        <w:rPr>
          <w:rFonts w:ascii="Times New Roman;serif" w:hAnsi="Times New Roman;serif"/>
          <w:b w:val="false"/>
          <w:color w:val="000000"/>
          <w:sz w:val="24"/>
        </w:rPr>
        <w:t>; capitalized terms used in this Third Amendment and not otherwise defined in this Third Amendment have the same meanings assigned thereto in the Amended Credit Agreement (as defined below));</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WHEREAS, pursuant to Section 9.02(b) of the Existing Credit Agreement, (i) the Borrower has requested that the Existing Credit Agreement be amended as hereinafter set forth and (ii) the Lenders party hereto (who collectively constitute the Required Lenders as of the date hereof) and the Administrative Agent have agreed to so amend the Existing Credit Agreement subject to the terms and conditions herein (the Existing Credit Agreement as amended by this Third Amendment, the “</w:t>
      </w:r>
      <w:r>
        <w:rPr>
          <w:rFonts w:ascii="Times New Roman;serif" w:hAnsi="Times New Roman;serif"/>
          <w:b w:val="false"/>
          <w:color w:val="000000"/>
          <w:sz w:val="24"/>
          <w:u w:val="single"/>
        </w:rPr>
        <w:t>Amended</w:t>
      </w:r>
      <w:r>
        <w:rPr>
          <w:color w:val="000000"/>
        </w:rPr>
        <w:t xml:space="preserve"> </w:t>
      </w:r>
      <w:r>
        <w:rPr>
          <w:rFonts w:ascii="Times New Roman;serif" w:hAnsi="Times New Roman;serif"/>
          <w:b w:val="false"/>
          <w:color w:val="000000"/>
          <w:sz w:val="24"/>
          <w:u w:val="single"/>
        </w:rPr>
        <w:t>Credit Agreement</w:t>
      </w:r>
      <w:r>
        <w:rPr>
          <w:color w:val="000000"/>
        </w:rPr>
        <w:t>”</w:t>
      </w:r>
      <w:r>
        <w:rPr>
          <w:rFonts w:ascii="Times New Roman;serif" w:hAnsi="Times New Roman;serif"/>
          <w:b w:val="false"/>
          <w:color w:val="000000"/>
          <w:sz w:val="24"/>
        </w:rPr>
        <w:t>); and</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NOW, THEREFORE, in consideration of the foregoing and for other good and valuable consideration, the receipt and sufficiency of all of which is hereby acknowledged, the parties hereto hereby agree as follows:</w:t>
      </w:r>
    </w:p>
    <w:p>
      <w:pPr>
        <w:pStyle w:val="TextBody"/>
        <w:bidi w:val="0"/>
        <w:spacing w:lineRule="auto" w:line="288" w:before="239" w:after="283"/>
        <w:ind w:left="0" w:right="0" w:firstLine="1440"/>
        <w:jc w:val="both"/>
        <w:rPr/>
      </w:pPr>
      <w:r>
        <w:rPr>
          <w:rFonts w:ascii="Times New Roman;serif" w:hAnsi="Times New Roman;serif"/>
          <w:b w:val="false"/>
          <w:color w:val="000000"/>
          <w:sz w:val="24"/>
        </w:rPr>
        <w:t xml:space="preserve">SECTION 1. </w:t>
      </w:r>
      <w:r>
        <w:rPr>
          <w:rFonts w:ascii="Times New Roman;serif" w:hAnsi="Times New Roman;serif"/>
          <w:b w:val="false"/>
          <w:color w:val="000000"/>
          <w:sz w:val="24"/>
          <w:u w:val="single"/>
        </w:rPr>
        <w:t>Amendments to Existing Credit Agreement</w:t>
      </w:r>
      <w:r>
        <w:rPr>
          <w:rFonts w:ascii="Times New Roman;serif" w:hAnsi="Times New Roman;serif"/>
          <w:b w:val="false"/>
          <w:color w:val="000000"/>
          <w:sz w:val="24"/>
        </w:rPr>
        <w:t xml:space="preserve">. Effective as of, and subject to the occurrence of, the Third Amendment Effective Date (as defined below), Section 6.04(t) of the Existing Credit Agreement is hereby amended by deleting the stricken text (indicated textually in the same manner as the following: </w:t>
      </w:r>
      <w:r>
        <w:rPr>
          <w:rFonts w:ascii="Times New Roman;serif" w:hAnsi="Times New Roman;serif"/>
          <w:b w:val="false"/>
          <w:strike/>
          <w:color w:val="FF0000"/>
          <w:sz w:val="24"/>
        </w:rPr>
        <w:t>stricken text</w:t>
      </w:r>
      <w:r>
        <w:rPr>
          <w:rFonts w:ascii="Times New Roman;serif" w:hAnsi="Times New Roman;serif"/>
          <w:b w:val="false"/>
          <w:color w:val="000000"/>
          <w:sz w:val="24"/>
        </w:rPr>
        <w:t xml:space="preserve">) inserting the double-underlined text (indicated textually in the same manner as the following: </w:t>
      </w:r>
      <w:r>
        <w:rPr>
          <w:rFonts w:ascii="Times New Roman;serif" w:hAnsi="Times New Roman;serif"/>
          <w:b w:val="false"/>
          <w:color w:val="0000FF"/>
          <w:sz w:val="24"/>
          <w:u w:val="single"/>
        </w:rPr>
        <w:t>double-underlined text</w:t>
      </w:r>
      <w:r>
        <w:rPr>
          <w:rFonts w:ascii="Times New Roman;serif" w:hAnsi="Times New Roman;serif"/>
          <w:b w:val="false"/>
          <w:color w:val="000000"/>
          <w:sz w:val="24"/>
        </w:rPr>
        <w:t>) as follows:</w:t>
      </w:r>
    </w:p>
    <w:p>
      <w:pPr>
        <w:pStyle w:val="TextBody"/>
        <w:bidi w:val="0"/>
        <w:spacing w:lineRule="auto" w:line="288" w:before="240" w:after="283"/>
        <w:ind w:left="0" w:right="0" w:firstLine="1440"/>
        <w:jc w:val="both"/>
        <w:rPr/>
      </w:pPr>
      <w:r>
        <w:rPr>
          <w:color w:val="000000"/>
        </w:rPr>
        <w:t>“</w:t>
      </w:r>
      <w:r>
        <w:rPr>
          <w:rFonts w:ascii="Times New Roman;serif" w:hAnsi="Times New Roman;serif"/>
          <w:b w:val="false"/>
          <w:color w:val="000000"/>
          <w:sz w:val="24"/>
        </w:rPr>
        <w:t xml:space="preserve">(t) Investments not otherwise permitted pursuant to this Section 6.04 not exceeding </w:t>
      </w:r>
      <w:r>
        <w:rPr>
          <w:rFonts w:ascii="Times New Roman;serif" w:hAnsi="Times New Roman;serif"/>
          <w:b w:val="false"/>
          <w:strike/>
          <w:color w:val="FF0000"/>
          <w:sz w:val="24"/>
        </w:rPr>
        <w:t>$175.0</w:t>
      </w:r>
      <w:r>
        <w:rPr>
          <w:rFonts w:ascii="Times New Roman;serif" w:hAnsi="Times New Roman;serif"/>
          <w:b w:val="false"/>
          <w:color w:val="0000FF"/>
          <w:sz w:val="24"/>
          <w:u w:val="single"/>
        </w:rPr>
        <w:t>$750.0</w:t>
      </w:r>
      <w:r>
        <w:rPr>
          <w:color w:val="0000FF"/>
        </w:rPr>
        <w:t xml:space="preserve"> </w:t>
      </w:r>
      <w:r>
        <w:rPr>
          <w:rFonts w:ascii="Times New Roman;serif" w:hAnsi="Times New Roman;serif"/>
          <w:b w:val="false"/>
          <w:color w:val="000000"/>
          <w:sz w:val="24"/>
        </w:rPr>
        <w:t xml:space="preserve">million in the aggregate in any fiscal year of the Borrower and in an aggregate amount not to exceed </w:t>
      </w:r>
      <w:r>
        <w:rPr>
          <w:rFonts w:ascii="Times New Roman;serif" w:hAnsi="Times New Roman;serif"/>
          <w:b w:val="false"/>
          <w:strike/>
          <w:color w:val="FF0000"/>
          <w:sz w:val="24"/>
        </w:rPr>
        <w:t>$350.0</w:t>
      </w:r>
      <w:r>
        <w:rPr>
          <w:rFonts w:ascii="Times New Roman;serif" w:hAnsi="Times New Roman;serif"/>
          <w:b w:val="false"/>
          <w:color w:val="0000FF"/>
          <w:sz w:val="24"/>
          <w:u w:val="single"/>
        </w:rPr>
        <w:t>$1,500.0</w:t>
      </w:r>
      <w:r>
        <w:rPr>
          <w:color w:val="0000FF"/>
        </w:rPr>
        <w:t xml:space="preserve"> </w:t>
      </w:r>
      <w:r>
        <w:rPr>
          <w:rFonts w:ascii="Times New Roman;serif" w:hAnsi="Times New Roman;serif"/>
          <w:b w:val="false"/>
          <w:color w:val="000000"/>
          <w:sz w:val="24"/>
        </w:rPr>
        <w:t xml:space="preserve">million at any time outstanding;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immediately before and immediately after giving pro forma effect to any such Investments (and any Indebtedness incurred in connection therewith), no Default or Event of Default shall have occurred and be continuing.”</w:t>
      </w: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5"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ind w:left="0" w:right="0" w:firstLine="1440"/>
        <w:jc w:val="both"/>
        <w:rPr/>
      </w:pPr>
      <w:r>
        <w:rPr>
          <w:rFonts w:ascii="Times New Roman;serif" w:hAnsi="Times New Roman;serif"/>
          <w:b w:val="false"/>
          <w:color w:val="000000"/>
          <w:sz w:val="24"/>
        </w:rPr>
        <w:t xml:space="preserve">SECTION 2. </w:t>
      </w:r>
      <w:r>
        <w:rPr>
          <w:rFonts w:ascii="Times New Roman;serif" w:hAnsi="Times New Roman;serif"/>
          <w:b w:val="false"/>
          <w:color w:val="000000"/>
          <w:sz w:val="24"/>
          <w:u w:val="single"/>
        </w:rPr>
        <w:t>Representations and Warranties</w:t>
      </w:r>
      <w:r>
        <w:rPr>
          <w:rFonts w:ascii="Times New Roman;serif" w:hAnsi="Times New Roman;serif"/>
          <w:b w:val="false"/>
          <w:color w:val="000000"/>
          <w:sz w:val="24"/>
        </w:rPr>
        <w:t>. The Borrower hereby represents and warrants on the Third Amendment Effective Date that:</w:t>
      </w:r>
    </w:p>
    <w:p>
      <w:pPr>
        <w:pStyle w:val="TextBody"/>
        <w:bidi w:val="0"/>
        <w:spacing w:lineRule="auto" w:line="288" w:before="241" w:after="283"/>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The execution, delivery and performance by the Borrower of the Third Amendment is within the Borrower’s corporate power and has been duly authorized by all necessary corporate and, if required, stockholder action on the part of the Borrower.</w:t>
      </w:r>
    </w:p>
    <w:p>
      <w:pPr>
        <w:pStyle w:val="TextBody"/>
        <w:bidi w:val="0"/>
        <w:spacing w:lineRule="auto" w:line="288" w:before="80" w:after="283"/>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The Third Amendment has been duly executed and delivered by the Borrower and constitutes a legal, valid and binding obligation of the Borrower, enforceable against the Borrower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pStyle w:val="TextBody"/>
        <w:bidi w:val="0"/>
        <w:spacing w:lineRule="auto" w:line="288" w:before="239" w:after="283"/>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 xml:space="preserve">The execution, delivery and performance by the Borrower of the Third Amendment (i) does not, on the part of the Borrower or any of its Subsidiaries, require any consent or approval of, registration or filing with, or any other action by, any Governmental Authority, except such as have been obtained or made and are in full force and effect, (ii) will not violate any Requirement of Law applicable to the Borrower or any of its Subsidiaries any order of any Governmental Authority applicable to the Borrower or any of its Subsidiaries, (iii) will not violate or result in a default under, or give rise to a right to require any payment to be made by the Borrower or any of its Subsidiaries under, (A) any indenture or loan agreement, in each case, evidencing Indebtedness in excess of $100 million, (B) any Swap Agreement with a Swap Termination Value in excess of $100 million or (C) any other material agreement, in each case which is binding upon the Borrower or any of its Subsidiaries or its assets, and (iv) will not result in the creation or imposition of any Lien on any asset of the Borrower or any of its Subsidiaries, in each case of </w:t>
      </w:r>
      <w:r>
        <w:rPr>
          <w:rFonts w:ascii="Times New Roman;serif" w:hAnsi="Times New Roman;serif"/>
          <w:b w:val="false"/>
          <w:color w:val="000000"/>
          <w:sz w:val="24"/>
          <w:u w:val="single"/>
        </w:rPr>
        <w:t>clauses (i)</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(ii)</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(iii)(C)</w:t>
      </w:r>
      <w:r>
        <w:rPr>
          <w:rFonts w:ascii="Times New Roman;serif" w:hAnsi="Times New Roman;serif"/>
          <w:b w:val="false"/>
          <w:color w:val="000000"/>
          <w:sz w:val="24"/>
        </w:rPr>
        <w:t>, except as would not reasonably be expected to result in a Material Adverse Effect.</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At the time of and immediately after the Third Amendment Effective Date, no Default or Event of Default has occurred and is continuing.</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rPr>
        <w:t>Immediately after giving effect to this Third Amendment the representations and warranties of the Borrower set forth in the Amended Credit Agreement and in each other Loan Document are true and correct in all material respects with the same effect as though made on and as of such date, except that (i) to the extent that such representations and warranties specifically refer to an earlier date, such representations and warranties are true and correct in all material respects as of such earlier date and (ii) any representation and warranty that is qualified as to “materiality” or “Material Adverse Effect” is true and correct in all respects.</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 xml:space="preserve">SECTION 3. </w:t>
      </w:r>
      <w:r>
        <w:rPr>
          <w:rFonts w:ascii="Times New Roman;serif" w:hAnsi="Times New Roman;serif"/>
          <w:b w:val="false"/>
          <w:color w:val="000000"/>
          <w:sz w:val="24"/>
          <w:u w:val="single"/>
        </w:rPr>
        <w:t>Conditions of Effectiveness of the Third Amendment</w:t>
      </w:r>
      <w:r>
        <w:rPr>
          <w:rFonts w:ascii="Times New Roman;serif" w:hAnsi="Times New Roman;serif"/>
          <w:b w:val="false"/>
          <w:color w:val="000000"/>
          <w:sz w:val="24"/>
        </w:rPr>
        <w:t>. This Third Amendment shall become effective as of the date on which the following conditions shall have been satisfied (or waived by the Lenders party hereto and the Administrative Agent) (the “</w:t>
      </w:r>
      <w:r>
        <w:rPr>
          <w:rFonts w:ascii="Times New Roman;serif" w:hAnsi="Times New Roman;serif"/>
          <w:b w:val="false"/>
          <w:color w:val="000000"/>
          <w:sz w:val="24"/>
          <w:u w:val="single"/>
        </w:rPr>
        <w:t>Third Amendment</w:t>
      </w:r>
      <w:r>
        <w:rPr>
          <w:color w:val="000000"/>
        </w:rPr>
        <w:t xml:space="preserve"> </w:t>
      </w:r>
      <w:r>
        <w:rPr>
          <w:rFonts w:ascii="Times New Roman;serif" w:hAnsi="Times New Roman;serif"/>
          <w:b w:val="false"/>
          <w:color w:val="000000"/>
          <w:sz w:val="24"/>
          <w:u w:val="single"/>
        </w:rPr>
        <w:t>Effective Date</w:t>
      </w:r>
      <w:r>
        <w:rPr>
          <w:color w:val="000000"/>
        </w:rPr>
        <w:t>”</w:t>
      </w:r>
      <w:r>
        <w:rPr>
          <w:rFonts w:ascii="Times New Roman;serif" w:hAnsi="Times New Roman;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367665"/>
                <wp:effectExtent l="0" t="0" r="0" b="0"/>
                <wp:wrapNone/>
                <wp:docPr id="56" name="Frame56"/>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the Administrative Agent (or its legal counsel) shall have received counterparts to this Third Amendment, duly executed by (i) the Borrower and (ii) the Lenders constituting the Required Lenders;</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at the time of and immediately after the Third Amendment Effective Date, no Default or Event of Default shall have occurred or be continuing;</w:t>
      </w:r>
    </w:p>
    <w:p>
      <w:pPr>
        <w:pStyle w:val="TextBody"/>
        <w:bidi w:val="0"/>
        <w:spacing w:lineRule="auto" w:line="288" w:before="241" w:after="283"/>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immediately after giving effect to this Third Amendment, the representations and warranties of the Borrower set forth in this Third Amendment, the Amended Credit Agreement and in each other Loan Document shall be true and correct in all material respects on and as of the Third Amendment Effective Date with the same effect as though made on and as of such date except that (i) to the extent that such representations and warranties specifically refer to an earlier date, such representations and warranties shall be true and correct in all material respects as of such earlier date and (ii) any representation and warranty that is qualified as to “materiality” or “Material Adverse Effect” shall be true and correct in all respects; and</w:t>
      </w:r>
    </w:p>
    <w:p>
      <w:pPr>
        <w:pStyle w:val="TextBody"/>
        <w:bidi w:val="0"/>
        <w:spacing w:lineRule="auto" w:line="288" w:before="80" w:after="283"/>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 xml:space="preserve">the Borrower shall pay or cause to be paid, without duplication, (i) the reasonable and documented fees and expenses of Weil, Gotshal &amp; Manges LLP, as counsel to the Administrative Agent and the Lenders, to the extent invoiced prior to the Third Amendment Effective Date and (ii) reasonable out-of-pocket expenses required to be paid by </w:t>
      </w:r>
      <w:r>
        <w:rPr>
          <w:rFonts w:ascii="Times New Roman;serif" w:hAnsi="Times New Roman;serif"/>
          <w:b w:val="false"/>
          <w:color w:val="000000"/>
          <w:sz w:val="24"/>
          <w:u w:val="single"/>
        </w:rPr>
        <w:t>Section 6</w:t>
      </w:r>
      <w:r>
        <w:rPr>
          <w:color w:val="000000"/>
        </w:rPr>
        <w:t xml:space="preserve"> </w:t>
      </w:r>
      <w:r>
        <w:rPr>
          <w:rFonts w:ascii="Times New Roman;serif" w:hAnsi="Times New Roman;serif"/>
          <w:b w:val="false"/>
          <w:color w:val="000000"/>
          <w:sz w:val="24"/>
        </w:rPr>
        <w:t>below to the extent invoiced prior to the Third Amendment Effective Date.</w:t>
      </w:r>
    </w:p>
    <w:p>
      <w:pPr>
        <w:pStyle w:val="TextBody"/>
        <w:bidi w:val="0"/>
        <w:spacing w:lineRule="auto" w:line="288" w:before="239" w:after="283"/>
        <w:ind w:left="0" w:right="0" w:firstLine="1440"/>
        <w:jc w:val="both"/>
        <w:rPr/>
      </w:pPr>
      <w:r>
        <w:rPr>
          <w:rFonts w:ascii="Times New Roman;serif" w:hAnsi="Times New Roman;serif"/>
          <w:b w:val="false"/>
          <w:color w:val="000000"/>
          <w:sz w:val="24"/>
        </w:rPr>
        <w:t xml:space="preserve">SECTION 4. </w:t>
      </w:r>
      <w:r>
        <w:rPr>
          <w:rFonts w:ascii="Times New Roman;serif" w:hAnsi="Times New Roman;serif"/>
          <w:b w:val="false"/>
          <w:color w:val="000000"/>
          <w:sz w:val="24"/>
          <w:u w:val="single"/>
        </w:rPr>
        <w:t>Reference to and Effect on the Existing Credit Agreement and the other</w:t>
      </w:r>
      <w:r>
        <w:rPr>
          <w:color w:val="000000"/>
        </w:rPr>
        <w:t xml:space="preserve"> </w:t>
      </w:r>
      <w:r>
        <w:rPr>
          <w:rFonts w:ascii="Times New Roman;serif" w:hAnsi="Times New Roman;serif"/>
          <w:b w:val="false"/>
          <w:color w:val="000000"/>
          <w:sz w:val="24"/>
          <w:u w:val="single"/>
        </w:rPr>
        <w:t>Loan Documents</w:t>
      </w:r>
      <w:r>
        <w:rPr>
          <w:rFonts w:ascii="Times New Roman;serif" w:hAnsi="Times New Roman;serif"/>
          <w:b w:val="false"/>
          <w:color w:val="000000"/>
          <w:sz w:val="24"/>
        </w:rPr>
        <w:t>.</w:t>
      </w:r>
    </w:p>
    <w:p>
      <w:pPr>
        <w:pStyle w:val="TextBody"/>
        <w:bidi w:val="0"/>
        <w:spacing w:lineRule="auto" w:line="288" w:before="241" w:after="283"/>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On and after the Third Amendment Effective Date, each reference in the Amended Credit Agreement to “this Agreement,” “hereunder,” “hereof” or words of like import referring to the Amended Credit Agreement shall mean and be a reference to the Existing Credit Agreement, as amended by this Third Amendment.</w:t>
      </w:r>
    </w:p>
    <w:p>
      <w:pPr>
        <w:pStyle w:val="TextBody"/>
        <w:bidi w:val="0"/>
        <w:spacing w:lineRule="auto" w:line="288" w:before="239" w:after="283"/>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The Existing Credit Agreement and each of the other Loan Documents, as specifically amended by this Third Amendment, are and shall continue to be in full force and effect and are hereby in all respects ratified and confirmed.</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The execution, delivery and effectiveness of this Third Amendment shall not, except as expressly provided herein, operate as a waiver of any right, power or remedy of any Lender or the Administrative Agent under any of the Loan Documents, nor constitute a waiver of any provision of any of the Loan Documents. On and after the Third Amendment Effective Date, this Third Amendment shall for all purposes constitute a Loan Document.</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This Third Amendment shall not extinguish the Loans or any other Obligations outstanding under the Existing Credit Agreement. Nothing contained herein shall be construed as a substitution or novation of the Loans or any other Obligations outstanding under the Existing Credit Agreement, which shall remain outstanding after the Third Amendment Effective Date as modified hereby.</w:t>
      </w: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367665"/>
                <wp:effectExtent l="0" t="0" r="0" b="0"/>
                <wp:wrapNone/>
                <wp:docPr id="57" name="Frame57"/>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rPr>
        <w:t>The Borrower expressly acknowledges and agrees that (i) there has not been, and this Third Amendment does not constitute or establish, a novation with respect to the Existing Credit Agreement or any other Loan Document, or a mutual departure from the strict terms, provisions, and conditions thereof and (ii) nothing in this Third Amendment shall affect or limit the Administrative Agent’s or Lenders’ right to demand payment of liabilities owing from Borrower to Administrative Agent or the Lenders under, or to demand strict performance of the terms, provisions and conditions of, the Amended Credit Agreement and the other Loan Documents, to exercise any and all rights, powers, and remedies under the Amended Credit Agreement or the other Loan Documents or at law or in equity, or to do any and all of the foregoing, immediately at any time after the occurrence and continuance of an Event of Default under the Amended Credit Agreement or the other Loan Documents.</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(f)</w:t>
      </w:r>
      <w:r>
        <w:rPr>
          <w:rFonts w:ascii="Times New Roman;serif" w:hAnsi="Times New Roman;serif"/>
          <w:b w:val="false"/>
          <w:color w:val="000000"/>
          <w:sz w:val="24"/>
        </w:rPr>
        <w:t>This Third Amendment is a Loan Document executed pursuant to the Existing Credit Agreement and shall be construed, administered and applied in accordance with the terms and provisions thereof.</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 xml:space="preserve">SECTION 5. </w:t>
      </w:r>
      <w:r>
        <w:rPr>
          <w:rFonts w:ascii="Times New Roman;serif" w:hAnsi="Times New Roman;serif"/>
          <w:b w:val="false"/>
          <w:color w:val="000000"/>
          <w:sz w:val="24"/>
          <w:u w:val="single"/>
        </w:rPr>
        <w:t>Reaffirmation</w:t>
      </w:r>
      <w:r>
        <w:rPr>
          <w:rFonts w:ascii="Times New Roman;serif" w:hAnsi="Times New Roman;serif"/>
          <w:b w:val="false"/>
          <w:color w:val="000000"/>
          <w:sz w:val="24"/>
        </w:rPr>
        <w:t>. The Borrower hereby reaffirms its obligations under the Existing Credit Agreement and each other Loan Document, in each case as amended by this Third Amendment.</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 xml:space="preserve">SECTION 6. </w:t>
      </w:r>
      <w:r>
        <w:rPr>
          <w:rFonts w:ascii="Times New Roman;serif" w:hAnsi="Times New Roman;serif"/>
          <w:b w:val="false"/>
          <w:color w:val="000000"/>
          <w:sz w:val="24"/>
          <w:u w:val="single"/>
        </w:rPr>
        <w:t>Costs and Expenses</w:t>
      </w:r>
      <w:r>
        <w:rPr>
          <w:rFonts w:ascii="Times New Roman;serif" w:hAnsi="Times New Roman;serif"/>
          <w:b w:val="false"/>
          <w:color w:val="000000"/>
          <w:sz w:val="24"/>
        </w:rPr>
        <w:t>. The Borrower hereby agrees to pay or reimburse the Administrative Agent for its reasonable and documented out-of-pocket costs and expenses incurred in connection with this Third Amendment in accordance with, and to the extent required by, the terms and conditions of Section 9.03 of the Amended Credit Agreement.</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 xml:space="preserve">SECTION 7. </w:t>
      </w:r>
      <w:r>
        <w:rPr>
          <w:rFonts w:ascii="Times New Roman;serif" w:hAnsi="Times New Roman;serif"/>
          <w:b w:val="false"/>
          <w:color w:val="000000"/>
          <w:sz w:val="24"/>
          <w:u w:val="single"/>
        </w:rPr>
        <w:t>Execution in Counterparts</w:t>
      </w:r>
      <w:r>
        <w:rPr>
          <w:rFonts w:ascii="Times New Roman;serif" w:hAnsi="Times New Roman;serif"/>
          <w:b w:val="false"/>
          <w:color w:val="000000"/>
          <w:sz w:val="24"/>
        </w:rPr>
        <w:t>. This Third Amendment may be executed in counterparts (and by different parties hereto on different counterparts), each of which shall constitute an original, but all of which when taken together shall constitute a single contract. Delivery of an executed counterpart of a signature page of this Third Amendment by telecopy, emailed .pdf or any other electronic means that reproduces an image of the actual executed signature page shall be effective as delivery of a manually executed counterpart of this Third Amendment. The words “execution,” “signed,” “signature,” “delivery,” and words of like import in or relating to any document to be signed in connection with this Third Amendment and the transactions contemplated hereby or thereby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pStyle w:val="TextBody"/>
        <w:bidi w:val="0"/>
        <w:spacing w:lineRule="auto" w:line="288" w:before="239" w:after="283"/>
        <w:ind w:left="0" w:right="0" w:firstLine="1440"/>
        <w:jc w:val="left"/>
        <w:rPr/>
      </w:pPr>
      <w:r>
        <w:rPr>
          <w:rFonts w:ascii="Times New Roman;serif" w:hAnsi="Times New Roman;serif"/>
          <w:b w:val="false"/>
          <w:color w:val="000000"/>
          <w:sz w:val="24"/>
        </w:rPr>
        <w:t xml:space="preserve">SECTION 8. </w:t>
      </w:r>
      <w:r>
        <w:rPr>
          <w:rFonts w:ascii="Times New Roman;serif" w:hAnsi="Times New Roman;serif"/>
          <w:b w:val="false"/>
          <w:color w:val="000000"/>
          <w:sz w:val="24"/>
          <w:u w:val="single"/>
        </w:rPr>
        <w:t>Governing Law</w:t>
      </w:r>
      <w:r>
        <w:rPr>
          <w:rFonts w:ascii="Times New Roman;serif" w:hAnsi="Times New Roman;serif"/>
          <w:b w:val="false"/>
          <w:color w:val="000000"/>
          <w:sz w:val="24"/>
        </w:rPr>
        <w:t>.</w:t>
      </w:r>
    </w:p>
    <w:p>
      <w:pPr>
        <w:pStyle w:val="TextBody"/>
        <w:bidi w:val="0"/>
        <w:spacing w:lineRule="auto" w:line="288" w:before="240" w:after="283"/>
        <w:ind w:left="0" w:right="0" w:firstLine="1440"/>
        <w:jc w:val="left"/>
        <w:rPr/>
      </w:pPr>
      <w:r>
        <w:rPr>
          <w:rFonts w:ascii="Times New Roman;serif" w:hAnsi="Times New Roman;serif"/>
          <w:b w:val="false"/>
          <w:color w:val="000000"/>
          <w:sz w:val="24"/>
        </w:rPr>
        <w:t>(a)</w:t>
      </w:r>
      <w:r>
        <w:rPr>
          <w:rFonts w:ascii="Times New Roman;serif" w:hAnsi="Times New Roman;serif"/>
          <w:b w:val="false"/>
          <w:color w:val="000000"/>
          <w:sz w:val="24"/>
        </w:rPr>
        <w:t>This Third Amendment shall be governed by and construed in accordance with the laws of the State of New York</w:t>
      </w: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367665"/>
                <wp:effectExtent l="0" t="0" r="0" b="0"/>
                <wp:wrapNone/>
                <wp:docPr id="58" name="Frame58"/>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1" w:after="283"/>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The Borrower hereby irrevocably and unconditionally submits, for itself and its property, to the exclusive jurisdiction of any U.S. Federal or New York State court sitting in New York, New York in any action or proceeding arising out of or relating to this Third Amendment or the transactions contemplated hereby, or for recognition or enforcement of any judgment, and each of the parties hereto hereby irrevocably and unconditionally agrees that all claims in respect of any such action or proceeding may be heard and determined in such New York State or, to the extent permitted by law, in such Federal court. Each of the parties hereto agrees that a final judgment in any such action or proceeding shall be conclusive and may be enforced in other jurisdictions by suit on the judgment or in any other manner provided by law. Nothing in this Third Amendment shall affect any right that the Administrative Agent or any Lender may otherwise have to bring any action or proceeding relating to this Third Amendment or the transactions contemplated hereby against the Borrower or its properties in the courts of any jurisdiction.</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 xml:space="preserve">The Borrower hereby irrevocably and unconditionally waives, to the fullest extent it may legally and effectively do so, any objection which it may now or hereafter have to the laying of venue of any suit, action or proceeding arising out of or relating to this Third Amendment and the transactions contemplated hereby in any court referred to in </w:t>
      </w:r>
      <w:r>
        <w:rPr>
          <w:rFonts w:ascii="Times New Roman;serif" w:hAnsi="Times New Roman;serif"/>
          <w:b w:val="false"/>
          <w:color w:val="000000"/>
          <w:sz w:val="24"/>
          <w:u w:val="single"/>
        </w:rPr>
        <w:t>clause (b)</w:t>
      </w:r>
      <w:r>
        <w:rPr>
          <w:color w:val="000000"/>
        </w:rPr>
        <w:t xml:space="preserve"> </w:t>
      </w:r>
      <w:r>
        <w:rPr>
          <w:rFonts w:ascii="Times New Roman;serif" w:hAnsi="Times New Roman;serif"/>
          <w:b w:val="false"/>
          <w:color w:val="000000"/>
          <w:sz w:val="24"/>
        </w:rPr>
        <w:t xml:space="preserve">of this </w:t>
      </w:r>
      <w:r>
        <w:rPr>
          <w:rFonts w:ascii="Times New Roman;serif" w:hAnsi="Times New Roman;serif"/>
          <w:b w:val="false"/>
          <w:color w:val="000000"/>
          <w:sz w:val="24"/>
          <w:u w:val="single"/>
        </w:rPr>
        <w:t>Section 8</w:t>
      </w:r>
      <w:r>
        <w:rPr>
          <w:rFonts w:ascii="Times New Roman;serif" w:hAnsi="Times New Roman;serif"/>
          <w:b w:val="false"/>
          <w:color w:val="000000"/>
          <w:sz w:val="24"/>
        </w:rPr>
        <w:t>. Each of the parties hereto hereby irrevocably waives, to the fullest extent permitted by law, the defense of an inconvenient forum to the maintenance of such action or proceeding in any such court.</w:t>
      </w:r>
    </w:p>
    <w:p>
      <w:pPr>
        <w:pStyle w:val="TextBody"/>
        <w:bidi w:val="0"/>
        <w:spacing w:lineRule="auto" w:line="288" w:before="240" w:after="283"/>
        <w:ind w:left="0" w:right="0" w:firstLine="1439"/>
        <w:jc w:val="both"/>
        <w:rPr/>
      </w:pPr>
      <w:r>
        <w:rPr>
          <w:rFonts w:ascii="Times New Roman;serif" w:hAnsi="Times New Roman;serif"/>
          <w:b w:val="false"/>
          <w:color w:val="000000"/>
          <w:sz w:val="24"/>
        </w:rPr>
        <w:t xml:space="preserve">SECTION 9. </w:t>
      </w:r>
      <w:r>
        <w:rPr>
          <w:rFonts w:ascii="Times New Roman;serif" w:hAnsi="Times New Roman;serif"/>
          <w:b w:val="false"/>
          <w:color w:val="000000"/>
          <w:sz w:val="24"/>
          <w:u w:val="single"/>
        </w:rPr>
        <w:t>Waiver of Jury Trial</w:t>
      </w:r>
      <w:r>
        <w:rPr>
          <w:rFonts w:ascii="Times New Roman;serif" w:hAnsi="Times New Roman;serif"/>
          <w:b w:val="false"/>
          <w:color w:val="000000"/>
          <w:sz w:val="24"/>
        </w:rPr>
        <w:t xml:space="preserve">. EACH PARTY HERETO HEREBY WAIVES, TO THE FULLEST EXTENT PERMITTED BY APPLICABLE LAW, ANY RIGHT IT MAY HAVE TO A TRIAL BY JURY IN ANY LEGAL PROCEEDING DIRECTLY OR INDIRECTLY ARISING OUT OF OR RELATING TO THIS THIRD AMENDMENT OR THE TRANSACTIONS CONTEMPLATED HEREBY (WHETHER BASED ON CONTRACT, TORT OR ANY OTHER THEORY). EACH PARTY HERETO (A) CERTIFIES THAT NO REPRESENTATIVE, OTHER AGENT (INCLUDING ANY ATTORNEY) OF ANY OTHER PARTY HAS REPRESENTED, EXPRESSLY OR OTHERWISE, THAT SUCH OTHER PARTY WOULD NOT, IN THE EVENT OF LITIGATION, SEEK TO ENFORCE THE FOREGOING WAIVER AND (B) ACKNOWLEDGES THAT IT AND THE OTHER PARTIES HERETO HAVE BEEN INDUCED TO ENTER INTO THIS THIRD AMENDMENT BY, AMONG OTHER THINGS, THE MUTUAL WAIVERS AND CERTIFICATIONS IN THIS </w:t>
      </w:r>
      <w:r>
        <w:rPr>
          <w:rFonts w:ascii="Times New Roman;serif" w:hAnsi="Times New Roman;serif"/>
          <w:b w:val="false"/>
          <w:color w:val="000000"/>
          <w:sz w:val="24"/>
          <w:u w:val="single"/>
        </w:rPr>
        <w:t>SECTION 9</w:t>
      </w:r>
      <w:r>
        <w:rPr>
          <w:rFonts w:ascii="Times New Roman;serif" w:hAnsi="Times New Roman;serif"/>
          <w:b w:val="false"/>
          <w:color w:val="000000"/>
          <w:sz w:val="24"/>
        </w:rPr>
        <w:t>.</w:t>
      </w:r>
    </w:p>
    <w:p>
      <w:pPr>
        <w:pStyle w:val="TextBody"/>
        <w:bidi w:val="0"/>
        <w:spacing w:before="80" w:after="283"/>
        <w:ind w:left="0" w:right="0" w:firstLine="1440"/>
        <w:jc w:val="left"/>
        <w:rPr/>
      </w:pPr>
      <w:r>
        <w:rPr/>
      </w:r>
    </w:p>
    <w:p>
      <w:pPr>
        <w:pStyle w:val="TextBody"/>
        <w:bidi w:val="0"/>
        <w:spacing w:lineRule="auto" w:line="288" w:before="80" w:after="283"/>
        <w:ind w:left="0" w:right="0" w:firstLine="1440"/>
        <w:jc w:val="both"/>
        <w:rPr/>
      </w:pPr>
      <w:r>
        <w:rPr>
          <w:rFonts w:ascii="Times New Roman;serif" w:hAnsi="Times New Roman;serif"/>
          <w:b w:val="false"/>
          <w:color w:val="000000"/>
          <w:sz w:val="24"/>
        </w:rPr>
        <w:t xml:space="preserve">SECTION 10. </w:t>
      </w:r>
      <w:r>
        <w:rPr>
          <w:rFonts w:ascii="Times New Roman;serif" w:hAnsi="Times New Roman;serif"/>
          <w:b w:val="false"/>
          <w:color w:val="000000"/>
          <w:sz w:val="24"/>
          <w:u w:val="single"/>
        </w:rPr>
        <w:t>Headings</w:t>
      </w:r>
      <w:r>
        <w:rPr>
          <w:rFonts w:ascii="Times New Roman;serif" w:hAnsi="Times New Roman;serif"/>
          <w:b w:val="false"/>
          <w:color w:val="000000"/>
          <w:sz w:val="24"/>
        </w:rPr>
        <w:t>. Section headings herein are included for convenience of reference only and shall not affect the interpretation of this Third Amendment.</w:t>
      </w:r>
    </w:p>
    <w:p>
      <w:pPr>
        <w:pStyle w:val="TextBody"/>
        <w:bidi w:val="0"/>
        <w:spacing w:lineRule="auto" w:line="288" w:before="239" w:after="283"/>
        <w:ind w:left="0" w:right="0" w:firstLine="1440"/>
        <w:jc w:val="both"/>
        <w:rPr/>
      </w:pPr>
      <w:r>
        <w:rPr>
          <w:rFonts w:ascii="Times New Roman;serif" w:hAnsi="Times New Roman;serif"/>
          <w:b w:val="false"/>
          <w:color w:val="000000"/>
          <w:sz w:val="24"/>
        </w:rPr>
        <w:t xml:space="preserve">SECTION 11. </w:t>
      </w:r>
      <w:r>
        <w:rPr>
          <w:rFonts w:ascii="Times New Roman;serif" w:hAnsi="Times New Roman;serif"/>
          <w:b w:val="false"/>
          <w:color w:val="000000"/>
          <w:sz w:val="24"/>
          <w:u w:val="single"/>
        </w:rPr>
        <w:t>Lender Direction</w:t>
      </w:r>
      <w:r>
        <w:rPr>
          <w:rFonts w:ascii="Times New Roman;serif" w:hAnsi="Times New Roman;serif"/>
          <w:b w:val="false"/>
          <w:color w:val="000000"/>
          <w:sz w:val="24"/>
        </w:rPr>
        <w:t>. The Lenders party hereto, who constitute the Required Lenders, hereby direct the Administrative Agent to execute and deliver this Third Amendment.</w:t>
      </w:r>
    </w:p>
    <w:p>
      <w:pPr>
        <w:pStyle w:val="TextBody"/>
        <w:bidi w:val="0"/>
        <w:spacing w:lineRule="auto" w:line="288" w:before="240" w:after="283"/>
        <w:jc w:val="center"/>
        <w:rPr/>
      </w:pPr>
      <w:r>
        <w:rPr>
          <w:rFonts w:ascii="Times New Roman;serif" w:hAnsi="Times New Roman;serif"/>
          <w:b w:val="false"/>
          <w:color w:val="000000"/>
          <w:sz w:val="24"/>
        </w:rPr>
        <w:t>[</w:t>
      </w:r>
      <w:r>
        <w:rPr>
          <w:rFonts w:ascii="Times New Roman;serif" w:hAnsi="Times New Roman;serif"/>
          <w:b w:val="false"/>
          <w:i/>
          <w:color w:val="000000"/>
          <w:sz w:val="24"/>
        </w:rPr>
        <w:t>Signature Pages Follow</w:t>
      </w:r>
      <w:r>
        <w:rPr>
          <w:rFonts w:ascii="Times New Roman;serif" w:hAnsi="Times New Roman;serif"/>
          <w:b w:val="false"/>
          <w:color w:val="00000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367665"/>
                <wp:effectExtent l="0" t="0" r="0" b="0"/>
                <wp:wrapNone/>
                <wp:docPr id="59" name="Frame59"/>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78" w:after="283"/>
        <w:ind w:left="0" w:right="0" w:firstLine="1453"/>
        <w:jc w:val="both"/>
        <w:rPr>
          <w:rFonts w:ascii="Times New Roman;serif" w:hAnsi="Times New Roman;serif"/>
          <w:b w:val="false"/>
          <w:color w:val="000000"/>
          <w:sz w:val="24"/>
        </w:rPr>
      </w:pPr>
      <w:r>
        <w:rPr>
          <w:rFonts w:ascii="Times New Roman;serif" w:hAnsi="Times New Roman;serif"/>
          <w:b w:val="false"/>
          <w:color w:val="000000"/>
          <w:sz w:val="24"/>
        </w:rPr>
        <w:t>IN WITNESS WHEREOF, the parties hereto have caused this Third Amendment to be executed by their respective officers thereunto duly authorized, as of the date first above written.</w:t>
      </w:r>
    </w:p>
    <w:p>
      <w:pPr>
        <w:pStyle w:val="TextBody"/>
        <w:bidi w:val="0"/>
        <w:spacing w:before="0" w:after="0"/>
        <w:jc w:val="left"/>
        <w:rPr/>
      </w:pPr>
      <w:r>
        <w:rPr/>
      </w:r>
    </w:p>
    <w:p>
      <w:pPr>
        <w:pStyle w:val="TextBody"/>
        <w:bidi w:val="0"/>
        <w:spacing w:before="236" w:after="283"/>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ALIGN TECHNOLOGY, INC.,</w:t>
      </w:r>
    </w:p>
    <w:p>
      <w:pPr>
        <w:pStyle w:val="TextBody"/>
        <w:bidi w:val="0"/>
        <w:spacing w:lineRule="auto" w:line="288" w:before="0" w:after="0"/>
        <w:jc w:val="left"/>
        <w:rPr>
          <w:rFonts w:ascii="Times New Roman;serif" w:hAnsi="Times New Roman;serif"/>
          <w:b w:val="false"/>
          <w:i/>
          <w:color w:val="000000"/>
          <w:sz w:val="24"/>
        </w:rPr>
      </w:pPr>
      <w:r>
        <w:rPr>
          <w:rFonts w:ascii="Times New Roman;serif" w:hAnsi="Times New Roman;serif"/>
          <w:b w:val="false"/>
          <w:i/>
          <w:color w:val="000000"/>
          <w:sz w:val="24"/>
        </w:rPr>
        <w:t>as the borrower</w:t>
      </w:r>
    </w:p>
    <w:p>
      <w:pPr>
        <w:pStyle w:val="TextBody"/>
        <w:bidi w:val="0"/>
        <w:spacing w:before="0" w:after="0"/>
        <w:jc w:val="left"/>
        <w:rPr/>
      </w:pPr>
      <w:r>
        <w:rPr/>
      </w:r>
    </w:p>
    <w:tbl>
      <w:tblPr>
        <w:tblW w:w="7634" w:type="dxa"/>
        <w:jc w:val="left"/>
        <w:tblInd w:w="0" w:type="dxa"/>
        <w:tblLayout w:type="fixed"/>
        <w:tblCellMar>
          <w:top w:w="28" w:type="dxa"/>
          <w:left w:w="28" w:type="dxa"/>
          <w:bottom w:w="28" w:type="dxa"/>
          <w:right w:w="28" w:type="dxa"/>
        </w:tblCellMar>
      </w:tblPr>
      <w:tblGrid>
        <w:gridCol w:w="315"/>
        <w:gridCol w:w="276"/>
        <w:gridCol w:w="279"/>
        <w:gridCol w:w="1974"/>
        <w:gridCol w:w="1974"/>
        <w:gridCol w:w="2816"/>
      </w:tblGrid>
      <w:tr>
        <w:trPr/>
        <w:tc>
          <w:tcPr>
            <w:tcW w:w="31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974" w:type="dxa"/>
            <w:tcBorders/>
            <w:vAlign w:val="center"/>
          </w:tcPr>
          <w:p>
            <w:pPr>
              <w:pStyle w:val="TableContents"/>
              <w:bidi w:val="0"/>
              <w:spacing w:before="0" w:after="283"/>
              <w:jc w:val="left"/>
              <w:rPr>
                <w:sz w:val="4"/>
                <w:szCs w:val="4"/>
              </w:rPr>
            </w:pPr>
            <w:r>
              <w:rPr>
                <w:sz w:val="4"/>
                <w:szCs w:val="4"/>
              </w:rPr>
            </w:r>
          </w:p>
        </w:tc>
        <w:tc>
          <w:tcPr>
            <w:tcW w:w="1974" w:type="dxa"/>
            <w:tcBorders/>
            <w:vAlign w:val="center"/>
          </w:tcPr>
          <w:p>
            <w:pPr>
              <w:pStyle w:val="TableContents"/>
              <w:bidi w:val="0"/>
              <w:spacing w:before="0" w:after="283"/>
              <w:jc w:val="left"/>
              <w:rPr>
                <w:sz w:val="4"/>
                <w:szCs w:val="4"/>
              </w:rPr>
            </w:pPr>
            <w:r>
              <w:rPr>
                <w:sz w:val="4"/>
                <w:szCs w:val="4"/>
              </w:rPr>
            </w:r>
          </w:p>
        </w:tc>
        <w:tc>
          <w:tcPr>
            <w:tcW w:w="2816" w:type="dxa"/>
            <w:tcBorders/>
            <w:vAlign w:val="center"/>
          </w:tcPr>
          <w:p>
            <w:pPr>
              <w:pStyle w:val="TableContents"/>
              <w:bidi w:val="0"/>
              <w:spacing w:before="0" w:after="283"/>
              <w:jc w:val="left"/>
              <w:rPr>
                <w:sz w:val="4"/>
                <w:szCs w:val="4"/>
              </w:rPr>
            </w:pPr>
            <w:r>
              <w:rPr>
                <w:sz w:val="4"/>
                <w:szCs w:val="4"/>
              </w:rPr>
            </w:r>
          </w:p>
        </w:tc>
      </w:tr>
      <w:tr>
        <w:trPr/>
        <w:tc>
          <w:tcPr>
            <w:tcW w:w="870" w:type="dxa"/>
            <w:gridSpan w:val="3"/>
            <w:tcBorders/>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6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John Morici</w:t>
            </w:r>
          </w:p>
        </w:tc>
      </w:tr>
      <w:tr>
        <w:trPr/>
        <w:tc>
          <w:tcPr>
            <w:tcW w:w="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  </w:t>
            </w:r>
          </w:p>
        </w:tc>
        <w:tc>
          <w:tcPr>
            <w:tcW w:w="676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John Morici</w:t>
            </w:r>
          </w:p>
        </w:tc>
      </w:tr>
      <w:tr>
        <w:trPr/>
        <w:tc>
          <w:tcPr>
            <w:tcW w:w="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  </w:t>
            </w:r>
          </w:p>
        </w:tc>
        <w:tc>
          <w:tcPr>
            <w:tcW w:w="6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Chief Financial Officer and Executive Vice President, Global Finance</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764540"/>
                <wp:effectExtent l="0" t="0" r="0" b="0"/>
                <wp:wrapNone/>
                <wp:docPr id="60" name="Frame60"/>
                <a:graphic xmlns:a="http://schemas.openxmlformats.org/drawingml/2006/main">
                  <a:graphicData uri="http://schemas.microsoft.com/office/word/2010/wordprocessingShape">
                    <wps:wsp>
                      <wps:cNvSpPr txBox="1"/>
                      <wps:spPr>
                        <a:xfrm>
                          <a:off x="0" y="0"/>
                          <a:ext cx="6480175" cy="764540"/>
                        </a:xfrm>
                        <a:prstGeom prst="rect"/>
                        <a:solidFill>
                          <a:srgbClr val="FFFFFF"/>
                        </a:solidFill>
                      </wps:spPr>
                      <wps:txbx>
                        <w:txbxContent>
                          <w:tbl>
                            <w:tblPr>
                              <w:tblW w:w="6180" w:type="dxa"/>
                              <w:jc w:val="left"/>
                              <w:tblInd w:w="0" w:type="dxa"/>
                              <w:tblLayout w:type="fixed"/>
                              <w:tblCellMar>
                                <w:top w:w="28" w:type="dxa"/>
                                <w:left w:w="28" w:type="dxa"/>
                                <w:bottom w:w="28" w:type="dxa"/>
                                <w:right w:w="28" w:type="dxa"/>
                              </w:tblCellMar>
                            </w:tblPr>
                            <w:tblGrid>
                              <w:gridCol w:w="1976"/>
                              <w:gridCol w:w="1740"/>
                              <w:gridCol w:w="2464"/>
                            </w:tblGrid>
                            <w:tr>
                              <w:trPr/>
                              <w:tc>
                                <w:tcPr>
                                  <w:tcW w:w="1976" w:type="dxa"/>
                                  <w:tcBorders/>
                                  <w:vAlign w:val="center"/>
                                </w:tcPr>
                                <w:p>
                                  <w:pPr>
                                    <w:pStyle w:val="TableContents"/>
                                    <w:bidi w:val="0"/>
                                    <w:spacing w:before="0" w:after="283"/>
                                    <w:jc w:val="left"/>
                                    <w:rPr>
                                      <w:sz w:val="4"/>
                                      <w:szCs w:val="4"/>
                                    </w:rPr>
                                  </w:pPr>
                                  <w:r>
                                    <w:rPr>
                                      <w:sz w:val="4"/>
                                      <w:szCs w:val="4"/>
                                    </w:rPr>
                                  </w:r>
                                  <w:r>
                                    <w:br w:type="page"/>
                                  </w:r>
                                </w:p>
                              </w:tc>
                              <w:tc>
                                <w:tcPr>
                                  <w:tcW w:w="1740" w:type="dxa"/>
                                  <w:tcBorders/>
                                  <w:vAlign w:val="center"/>
                                </w:tcPr>
                                <w:p>
                                  <w:pPr>
                                    <w:pStyle w:val="TableContents"/>
                                    <w:bidi w:val="0"/>
                                    <w:spacing w:before="0" w:after="283"/>
                                    <w:jc w:val="left"/>
                                    <w:rPr>
                                      <w:sz w:val="4"/>
                                      <w:szCs w:val="4"/>
                                    </w:rPr>
                                  </w:pPr>
                                  <w:r>
                                    <w:rPr>
                                      <w:sz w:val="4"/>
                                      <w:szCs w:val="4"/>
                                    </w:rPr>
                                  </w:r>
                                </w:p>
                              </w:tc>
                              <w:tc>
                                <w:tcPr>
                                  <w:tcW w:w="2464" w:type="dxa"/>
                                  <w:tcBorders/>
                                  <w:vAlign w:val="center"/>
                                </w:tcPr>
                                <w:p>
                                  <w:pPr>
                                    <w:pStyle w:val="TableContents"/>
                                    <w:bidi w:val="0"/>
                                    <w:spacing w:before="0" w:after="283"/>
                                    <w:jc w:val="left"/>
                                    <w:rPr>
                                      <w:sz w:val="4"/>
                                      <w:szCs w:val="4"/>
                                    </w:rPr>
                                  </w:pPr>
                                  <w:r>
                                    <w:rPr>
                                      <w:sz w:val="4"/>
                                      <w:szCs w:val="4"/>
                                    </w:rPr>
                                  </w:r>
                                </w:p>
                              </w:tc>
                            </w:tr>
                            <w:tr>
                              <w:trPr/>
                              <w:tc>
                                <w:tcPr>
                                  <w:tcW w:w="6180" w:type="dxa"/>
                                  <w:gridSpan w:val="3"/>
                                  <w:tcBorders/>
                                  <w:tcMar>
                                    <w:top w:w="0" w:type="dxa"/>
                                    <w:left w:w="0" w:type="dxa"/>
                                    <w:bottom w:w="0" w:type="dxa"/>
                                    <w:right w:w="0" w:type="dxa"/>
                                  </w:tcMar>
                                  <w:vAlign w:val="center"/>
                                </w:tcPr>
                                <w:p>
                                  <w:pPr>
                                    <w:pStyle w:val="TableContents"/>
                                    <w:bidi w:val="0"/>
                                    <w:spacing w:lineRule="auto" w:line="288" w:before="12" w:after="283"/>
                                    <w:jc w:val="left"/>
                                    <w:rPr>
                                      <w:rFonts w:ascii="Times New Roman;serif" w:hAnsi="Times New Roman;serif"/>
                                      <w:b w:val="false"/>
                                      <w:color w:val="000000"/>
                                      <w:sz w:val="18"/>
                                    </w:rPr>
                                  </w:pPr>
                                  <w:r>
                                    <w:rPr>
                                      <w:rFonts w:ascii="Times New Roman;serif" w:hAnsi="Times New Roman;serif"/>
                                      <w:b w:val="false"/>
                                      <w:color w:val="000000"/>
                                      <w:sz w:val="18"/>
                                    </w:rPr>
                                    <w:t>[Signature Page to Third Amendment to Credit Agreement (Align Technology, Inc.)]</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2pt;mso-wrap-distance-left:0pt;mso-wrap-distance-right:0pt;mso-wrap-distance-top:0pt;mso-wrap-distance-bottom:0pt;margin-top:0pt;mso-position-vertical:top;mso-position-vertical-relative:text;margin-left:0pt;mso-position-horizontal:left;mso-position-horizontal-relative:text">
                <v:textbox>
                  <w:txbxContent>
                    <w:tbl>
                      <w:tblPr>
                        <w:tblW w:w="6180" w:type="dxa"/>
                        <w:jc w:val="left"/>
                        <w:tblInd w:w="0" w:type="dxa"/>
                        <w:tblLayout w:type="fixed"/>
                        <w:tblCellMar>
                          <w:top w:w="28" w:type="dxa"/>
                          <w:left w:w="28" w:type="dxa"/>
                          <w:bottom w:w="28" w:type="dxa"/>
                          <w:right w:w="28" w:type="dxa"/>
                        </w:tblCellMar>
                      </w:tblPr>
                      <w:tblGrid>
                        <w:gridCol w:w="1976"/>
                        <w:gridCol w:w="1740"/>
                        <w:gridCol w:w="2464"/>
                      </w:tblGrid>
                      <w:tr>
                        <w:trPr/>
                        <w:tc>
                          <w:tcPr>
                            <w:tcW w:w="1976" w:type="dxa"/>
                            <w:tcBorders/>
                            <w:vAlign w:val="center"/>
                          </w:tcPr>
                          <w:p>
                            <w:pPr>
                              <w:pStyle w:val="TableContents"/>
                              <w:bidi w:val="0"/>
                              <w:spacing w:before="0" w:after="283"/>
                              <w:jc w:val="left"/>
                              <w:rPr>
                                <w:sz w:val="4"/>
                                <w:szCs w:val="4"/>
                              </w:rPr>
                            </w:pPr>
                            <w:r>
                              <w:rPr>
                                <w:sz w:val="4"/>
                                <w:szCs w:val="4"/>
                              </w:rPr>
                            </w:r>
                          </w:p>
                        </w:tc>
                        <w:tc>
                          <w:tcPr>
                            <w:tcW w:w="1740" w:type="dxa"/>
                            <w:tcBorders/>
                            <w:vAlign w:val="center"/>
                          </w:tcPr>
                          <w:p>
                            <w:pPr>
                              <w:pStyle w:val="TableContents"/>
                              <w:bidi w:val="0"/>
                              <w:spacing w:before="0" w:after="283"/>
                              <w:jc w:val="left"/>
                              <w:rPr>
                                <w:sz w:val="4"/>
                                <w:szCs w:val="4"/>
                              </w:rPr>
                            </w:pPr>
                            <w:r>
                              <w:rPr>
                                <w:sz w:val="4"/>
                                <w:szCs w:val="4"/>
                              </w:rPr>
                            </w:r>
                          </w:p>
                        </w:tc>
                        <w:tc>
                          <w:tcPr>
                            <w:tcW w:w="2464" w:type="dxa"/>
                            <w:tcBorders/>
                            <w:vAlign w:val="center"/>
                          </w:tcPr>
                          <w:p>
                            <w:pPr>
                              <w:pStyle w:val="TableContents"/>
                              <w:bidi w:val="0"/>
                              <w:spacing w:before="0" w:after="283"/>
                              <w:jc w:val="left"/>
                              <w:rPr>
                                <w:sz w:val="4"/>
                                <w:szCs w:val="4"/>
                              </w:rPr>
                            </w:pPr>
                            <w:r>
                              <w:rPr>
                                <w:sz w:val="4"/>
                                <w:szCs w:val="4"/>
                              </w:rPr>
                            </w:r>
                          </w:p>
                        </w:tc>
                      </w:tr>
                      <w:tr>
                        <w:trPr/>
                        <w:tc>
                          <w:tcPr>
                            <w:tcW w:w="6180" w:type="dxa"/>
                            <w:gridSpan w:val="3"/>
                            <w:tcBorders/>
                            <w:tcMar>
                              <w:top w:w="0" w:type="dxa"/>
                              <w:left w:w="0" w:type="dxa"/>
                              <w:bottom w:w="0" w:type="dxa"/>
                              <w:right w:w="0" w:type="dxa"/>
                            </w:tcMar>
                            <w:vAlign w:val="center"/>
                          </w:tcPr>
                          <w:p>
                            <w:pPr>
                              <w:pStyle w:val="TableContents"/>
                              <w:bidi w:val="0"/>
                              <w:spacing w:lineRule="auto" w:line="288" w:before="12" w:after="283"/>
                              <w:jc w:val="left"/>
                              <w:rPr>
                                <w:rFonts w:ascii="Times New Roman;serif" w:hAnsi="Times New Roman;serif"/>
                                <w:b w:val="false"/>
                                <w:color w:val="000000"/>
                                <w:sz w:val="18"/>
                              </w:rPr>
                            </w:pPr>
                            <w:r>
                              <w:rPr>
                                <w:rFonts w:ascii="Times New Roman;serif" w:hAnsi="Times New Roman;serif"/>
                                <w:b w:val="false"/>
                                <w:color w:val="000000"/>
                                <w:sz w:val="18"/>
                              </w:rPr>
                              <w:t>[Signature Page to Third Amendment to Credit Agreement (Align Technology, Inc.)]</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CITIBANK, N.A.,</w:t>
      </w:r>
    </w:p>
    <w:p>
      <w:pPr>
        <w:pStyle w:val="TextBody"/>
        <w:bidi w:val="0"/>
        <w:spacing w:lineRule="auto" w:line="288" w:before="0" w:after="0"/>
        <w:jc w:val="left"/>
        <w:rPr>
          <w:rFonts w:ascii="Times New Roman;serif" w:hAnsi="Times New Roman;serif"/>
          <w:b w:val="false"/>
          <w:i/>
          <w:color w:val="000000"/>
          <w:sz w:val="24"/>
        </w:rPr>
      </w:pPr>
      <w:r>
        <w:rPr>
          <w:rFonts w:ascii="Times New Roman;serif" w:hAnsi="Times New Roman;serif"/>
          <w:b w:val="false"/>
          <w:i/>
          <w:color w:val="000000"/>
          <w:sz w:val="24"/>
        </w:rPr>
        <w:t>as a Lender and as Administrative Agent</w:t>
      </w:r>
    </w:p>
    <w:p>
      <w:pPr>
        <w:pStyle w:val="TextBody"/>
        <w:bidi w:val="0"/>
        <w:spacing w:before="0" w:after="0"/>
        <w:jc w:val="left"/>
        <w:rPr/>
      </w:pPr>
      <w:r>
        <w:rPr/>
      </w:r>
    </w:p>
    <w:tbl>
      <w:tblPr>
        <w:tblW w:w="2759" w:type="dxa"/>
        <w:jc w:val="left"/>
        <w:tblInd w:w="0" w:type="dxa"/>
        <w:tblLayout w:type="fixed"/>
        <w:tblCellMar>
          <w:top w:w="28" w:type="dxa"/>
          <w:left w:w="28" w:type="dxa"/>
          <w:bottom w:w="28" w:type="dxa"/>
          <w:right w:w="28" w:type="dxa"/>
        </w:tblCellMar>
      </w:tblPr>
      <w:tblGrid>
        <w:gridCol w:w="315"/>
        <w:gridCol w:w="276"/>
        <w:gridCol w:w="279"/>
        <w:gridCol w:w="551"/>
        <w:gridCol w:w="551"/>
        <w:gridCol w:w="787"/>
      </w:tblGrid>
      <w:tr>
        <w:trPr/>
        <w:tc>
          <w:tcPr>
            <w:tcW w:w="31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r>
      <w:tr>
        <w:trPr/>
        <w:tc>
          <w:tcPr>
            <w:tcW w:w="870" w:type="dxa"/>
            <w:gridSpan w:val="3"/>
            <w:tcBorders/>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Michael Chen</w:t>
            </w:r>
          </w:p>
        </w:tc>
      </w:tr>
      <w:tr>
        <w:trPr/>
        <w:tc>
          <w:tcPr>
            <w:tcW w:w="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  </w:t>
            </w:r>
          </w:p>
        </w:tc>
        <w:tc>
          <w:tcPr>
            <w:tcW w:w="188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Michael Chen</w:t>
            </w:r>
          </w:p>
        </w:tc>
      </w:tr>
      <w:tr>
        <w:trPr/>
        <w:tc>
          <w:tcPr>
            <w:tcW w:w="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  </w:t>
            </w:r>
          </w:p>
        </w:tc>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Authorized Signer</w:t>
            </w:r>
          </w:p>
        </w:tc>
      </w:tr>
    </w:tbl>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764540"/>
                <wp:effectExtent l="0" t="0" r="0" b="0"/>
                <wp:wrapNone/>
                <wp:docPr id="61" name="Frame61"/>
                <a:graphic xmlns:a="http://schemas.openxmlformats.org/drawingml/2006/main">
                  <a:graphicData uri="http://schemas.microsoft.com/office/word/2010/wordprocessingShape">
                    <wps:wsp>
                      <wps:cNvSpPr txBox="1"/>
                      <wps:spPr>
                        <a:xfrm>
                          <a:off x="0" y="0"/>
                          <a:ext cx="6480175" cy="764540"/>
                        </a:xfrm>
                        <a:prstGeom prst="rect"/>
                        <a:solidFill>
                          <a:srgbClr val="FFFFFF"/>
                        </a:solidFill>
                      </wps:spPr>
                      <wps:txbx>
                        <w:txbxContent>
                          <w:tbl>
                            <w:tblPr>
                              <w:tblW w:w="6180" w:type="dxa"/>
                              <w:jc w:val="left"/>
                              <w:tblInd w:w="0" w:type="dxa"/>
                              <w:tblLayout w:type="fixed"/>
                              <w:tblCellMar>
                                <w:top w:w="28" w:type="dxa"/>
                                <w:left w:w="28" w:type="dxa"/>
                                <w:bottom w:w="28" w:type="dxa"/>
                                <w:right w:w="28" w:type="dxa"/>
                              </w:tblCellMar>
                            </w:tblPr>
                            <w:tblGrid>
                              <w:gridCol w:w="1976"/>
                              <w:gridCol w:w="1740"/>
                              <w:gridCol w:w="2464"/>
                            </w:tblGrid>
                            <w:tr>
                              <w:trPr/>
                              <w:tc>
                                <w:tcPr>
                                  <w:tcW w:w="1976" w:type="dxa"/>
                                  <w:tcBorders/>
                                  <w:vAlign w:val="center"/>
                                </w:tcPr>
                                <w:p>
                                  <w:pPr>
                                    <w:pStyle w:val="TableContents"/>
                                    <w:bidi w:val="0"/>
                                    <w:spacing w:before="0" w:after="283"/>
                                    <w:jc w:val="left"/>
                                    <w:rPr>
                                      <w:sz w:val="4"/>
                                      <w:szCs w:val="4"/>
                                    </w:rPr>
                                  </w:pPr>
                                  <w:r>
                                    <w:rPr>
                                      <w:sz w:val="4"/>
                                      <w:szCs w:val="4"/>
                                    </w:rPr>
                                  </w:r>
                                  <w:r>
                                    <w:br w:type="page"/>
                                  </w:r>
                                </w:p>
                              </w:tc>
                              <w:tc>
                                <w:tcPr>
                                  <w:tcW w:w="1740" w:type="dxa"/>
                                  <w:tcBorders/>
                                  <w:vAlign w:val="center"/>
                                </w:tcPr>
                                <w:p>
                                  <w:pPr>
                                    <w:pStyle w:val="TableContents"/>
                                    <w:bidi w:val="0"/>
                                    <w:spacing w:before="0" w:after="283"/>
                                    <w:jc w:val="left"/>
                                    <w:rPr>
                                      <w:sz w:val="4"/>
                                      <w:szCs w:val="4"/>
                                    </w:rPr>
                                  </w:pPr>
                                  <w:r>
                                    <w:rPr>
                                      <w:sz w:val="4"/>
                                      <w:szCs w:val="4"/>
                                    </w:rPr>
                                  </w:r>
                                </w:p>
                              </w:tc>
                              <w:tc>
                                <w:tcPr>
                                  <w:tcW w:w="2464" w:type="dxa"/>
                                  <w:tcBorders/>
                                  <w:vAlign w:val="center"/>
                                </w:tcPr>
                                <w:p>
                                  <w:pPr>
                                    <w:pStyle w:val="TableContents"/>
                                    <w:bidi w:val="0"/>
                                    <w:spacing w:before="0" w:after="283"/>
                                    <w:jc w:val="left"/>
                                    <w:rPr>
                                      <w:sz w:val="4"/>
                                      <w:szCs w:val="4"/>
                                    </w:rPr>
                                  </w:pPr>
                                  <w:r>
                                    <w:rPr>
                                      <w:sz w:val="4"/>
                                      <w:szCs w:val="4"/>
                                    </w:rPr>
                                  </w:r>
                                </w:p>
                              </w:tc>
                            </w:tr>
                            <w:tr>
                              <w:trPr/>
                              <w:tc>
                                <w:tcPr>
                                  <w:tcW w:w="6180" w:type="dxa"/>
                                  <w:gridSpan w:val="3"/>
                                  <w:tcBorders/>
                                  <w:tcMar>
                                    <w:top w:w="0" w:type="dxa"/>
                                    <w:left w:w="0" w:type="dxa"/>
                                    <w:bottom w:w="0" w:type="dxa"/>
                                    <w:right w:w="0" w:type="dxa"/>
                                  </w:tcMar>
                                  <w:vAlign w:val="center"/>
                                </w:tcPr>
                                <w:p>
                                  <w:pPr>
                                    <w:pStyle w:val="TableContents"/>
                                    <w:bidi w:val="0"/>
                                    <w:spacing w:lineRule="auto" w:line="288" w:before="12" w:after="283"/>
                                    <w:jc w:val="left"/>
                                    <w:rPr>
                                      <w:rFonts w:ascii="Times New Roman;serif" w:hAnsi="Times New Roman;serif"/>
                                      <w:b w:val="false"/>
                                      <w:color w:val="000000"/>
                                      <w:sz w:val="18"/>
                                    </w:rPr>
                                  </w:pPr>
                                  <w:r>
                                    <w:rPr>
                                      <w:rFonts w:ascii="Times New Roman;serif" w:hAnsi="Times New Roman;serif"/>
                                      <w:b w:val="false"/>
                                      <w:color w:val="000000"/>
                                      <w:sz w:val="18"/>
                                    </w:rPr>
                                    <w:t>[Signature Page to Third Amendment to Credit Agreement (Align Technology, Inc.)]</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2pt;mso-wrap-distance-left:0pt;mso-wrap-distance-right:0pt;mso-wrap-distance-top:0pt;mso-wrap-distance-bottom:0pt;margin-top:0pt;mso-position-vertical:top;mso-position-vertical-relative:text;margin-left:0pt;mso-position-horizontal:left;mso-position-horizontal-relative:text">
                <v:textbox>
                  <w:txbxContent>
                    <w:tbl>
                      <w:tblPr>
                        <w:tblW w:w="6180" w:type="dxa"/>
                        <w:jc w:val="left"/>
                        <w:tblInd w:w="0" w:type="dxa"/>
                        <w:tblLayout w:type="fixed"/>
                        <w:tblCellMar>
                          <w:top w:w="28" w:type="dxa"/>
                          <w:left w:w="28" w:type="dxa"/>
                          <w:bottom w:w="28" w:type="dxa"/>
                          <w:right w:w="28" w:type="dxa"/>
                        </w:tblCellMar>
                      </w:tblPr>
                      <w:tblGrid>
                        <w:gridCol w:w="1976"/>
                        <w:gridCol w:w="1740"/>
                        <w:gridCol w:w="2464"/>
                      </w:tblGrid>
                      <w:tr>
                        <w:trPr/>
                        <w:tc>
                          <w:tcPr>
                            <w:tcW w:w="1976" w:type="dxa"/>
                            <w:tcBorders/>
                            <w:vAlign w:val="center"/>
                          </w:tcPr>
                          <w:p>
                            <w:pPr>
                              <w:pStyle w:val="TableContents"/>
                              <w:bidi w:val="0"/>
                              <w:spacing w:before="0" w:after="283"/>
                              <w:jc w:val="left"/>
                              <w:rPr>
                                <w:sz w:val="4"/>
                                <w:szCs w:val="4"/>
                              </w:rPr>
                            </w:pPr>
                            <w:r>
                              <w:rPr>
                                <w:sz w:val="4"/>
                                <w:szCs w:val="4"/>
                              </w:rPr>
                            </w:r>
                          </w:p>
                        </w:tc>
                        <w:tc>
                          <w:tcPr>
                            <w:tcW w:w="1740" w:type="dxa"/>
                            <w:tcBorders/>
                            <w:vAlign w:val="center"/>
                          </w:tcPr>
                          <w:p>
                            <w:pPr>
                              <w:pStyle w:val="TableContents"/>
                              <w:bidi w:val="0"/>
                              <w:spacing w:before="0" w:after="283"/>
                              <w:jc w:val="left"/>
                              <w:rPr>
                                <w:sz w:val="4"/>
                                <w:szCs w:val="4"/>
                              </w:rPr>
                            </w:pPr>
                            <w:r>
                              <w:rPr>
                                <w:sz w:val="4"/>
                                <w:szCs w:val="4"/>
                              </w:rPr>
                            </w:r>
                          </w:p>
                        </w:tc>
                        <w:tc>
                          <w:tcPr>
                            <w:tcW w:w="2464" w:type="dxa"/>
                            <w:tcBorders/>
                            <w:vAlign w:val="center"/>
                          </w:tcPr>
                          <w:p>
                            <w:pPr>
                              <w:pStyle w:val="TableContents"/>
                              <w:bidi w:val="0"/>
                              <w:spacing w:before="0" w:after="283"/>
                              <w:jc w:val="left"/>
                              <w:rPr>
                                <w:sz w:val="4"/>
                                <w:szCs w:val="4"/>
                              </w:rPr>
                            </w:pPr>
                            <w:r>
                              <w:rPr>
                                <w:sz w:val="4"/>
                                <w:szCs w:val="4"/>
                              </w:rPr>
                            </w:r>
                          </w:p>
                        </w:tc>
                      </w:tr>
                      <w:tr>
                        <w:trPr/>
                        <w:tc>
                          <w:tcPr>
                            <w:tcW w:w="6180" w:type="dxa"/>
                            <w:gridSpan w:val="3"/>
                            <w:tcBorders/>
                            <w:tcMar>
                              <w:top w:w="0" w:type="dxa"/>
                              <w:left w:w="0" w:type="dxa"/>
                              <w:bottom w:w="0" w:type="dxa"/>
                              <w:right w:w="0" w:type="dxa"/>
                            </w:tcMar>
                            <w:vAlign w:val="center"/>
                          </w:tcPr>
                          <w:p>
                            <w:pPr>
                              <w:pStyle w:val="TableContents"/>
                              <w:bidi w:val="0"/>
                              <w:spacing w:lineRule="auto" w:line="288" w:before="12" w:after="283"/>
                              <w:jc w:val="left"/>
                              <w:rPr>
                                <w:rFonts w:ascii="Times New Roman;serif" w:hAnsi="Times New Roman;serif"/>
                                <w:b w:val="false"/>
                                <w:color w:val="000000"/>
                                <w:sz w:val="18"/>
                              </w:rPr>
                            </w:pPr>
                            <w:r>
                              <w:rPr>
                                <w:rFonts w:ascii="Times New Roman;serif" w:hAnsi="Times New Roman;serif"/>
                                <w:b w:val="false"/>
                                <w:color w:val="000000"/>
                                <w:sz w:val="18"/>
                              </w:rPr>
                              <w:t>[Signature Page to Third Amendment to Credit Agreement (Align Technology, Inc.)]</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BANK OF AMERICA, N.A.,</w:t>
      </w:r>
    </w:p>
    <w:p>
      <w:pPr>
        <w:pStyle w:val="TextBody"/>
        <w:bidi w:val="0"/>
        <w:spacing w:lineRule="auto" w:line="288" w:before="0" w:after="0"/>
        <w:jc w:val="left"/>
        <w:rPr>
          <w:rFonts w:ascii="Times New Roman;serif" w:hAnsi="Times New Roman;serif"/>
          <w:b w:val="false"/>
          <w:i/>
          <w:color w:val="000000"/>
          <w:sz w:val="24"/>
        </w:rPr>
      </w:pPr>
      <w:r>
        <w:rPr>
          <w:rFonts w:ascii="Times New Roman;serif" w:hAnsi="Times New Roman;serif"/>
          <w:b w:val="false"/>
          <w:i/>
          <w:color w:val="000000"/>
          <w:sz w:val="24"/>
        </w:rPr>
        <w:t>as a Lender</w:t>
      </w:r>
    </w:p>
    <w:p>
      <w:pPr>
        <w:pStyle w:val="TextBody"/>
        <w:bidi w:val="0"/>
        <w:spacing w:before="0" w:after="0"/>
        <w:jc w:val="left"/>
        <w:rPr/>
      </w:pPr>
      <w:r>
        <w:rPr/>
      </w:r>
    </w:p>
    <w:tbl>
      <w:tblPr>
        <w:tblW w:w="3075" w:type="dxa"/>
        <w:jc w:val="left"/>
        <w:tblInd w:w="0" w:type="dxa"/>
        <w:tblLayout w:type="fixed"/>
        <w:tblCellMar>
          <w:top w:w="28" w:type="dxa"/>
          <w:left w:w="28" w:type="dxa"/>
          <w:bottom w:w="28" w:type="dxa"/>
          <w:right w:w="28" w:type="dxa"/>
        </w:tblCellMar>
      </w:tblPr>
      <w:tblGrid>
        <w:gridCol w:w="315"/>
        <w:gridCol w:w="276"/>
        <w:gridCol w:w="279"/>
        <w:gridCol w:w="645"/>
        <w:gridCol w:w="645"/>
        <w:gridCol w:w="915"/>
      </w:tblGrid>
      <w:tr>
        <w:trPr/>
        <w:tc>
          <w:tcPr>
            <w:tcW w:w="31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r>
      <w:tr>
        <w:trPr/>
        <w:tc>
          <w:tcPr>
            <w:tcW w:w="870" w:type="dxa"/>
            <w:gridSpan w:val="3"/>
            <w:tcBorders/>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Jimmy Ko</w:t>
            </w:r>
          </w:p>
        </w:tc>
      </w:tr>
      <w:tr>
        <w:trPr/>
        <w:tc>
          <w:tcPr>
            <w:tcW w:w="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  </w:t>
            </w:r>
          </w:p>
        </w:tc>
        <w:tc>
          <w:tcPr>
            <w:tcW w:w="220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Jimmy Ko</w:t>
            </w:r>
          </w:p>
        </w:tc>
      </w:tr>
      <w:tr>
        <w:trPr/>
        <w:tc>
          <w:tcPr>
            <w:tcW w:w="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  </w:t>
            </w:r>
          </w:p>
        </w:tc>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Senior Vice President</w:t>
            </w:r>
          </w:p>
        </w:tc>
      </w:tr>
    </w:tbl>
    <w:p>
      <w:pPr>
        <w:pStyle w:val="TextBody"/>
        <w:bidi w:val="0"/>
        <w:spacing w:before="61" w:after="283"/>
        <w:jc w:val="left"/>
        <w:rPr/>
      </w:pPr>
      <w:r>
        <w:rPr/>
      </w:r>
    </w:p>
    <w:p>
      <w:pPr>
        <w:pStyle w:val="TextBody"/>
        <w:bidi w:val="0"/>
        <w:spacing w:before="61" w:after="283"/>
        <w:jc w:val="left"/>
        <w:rPr/>
      </w:pPr>
      <w:r>
        <w:rPr/>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764540"/>
                <wp:effectExtent l="0" t="0" r="0" b="0"/>
                <wp:wrapNone/>
                <wp:docPr id="62" name="Frame62"/>
                <a:graphic xmlns:a="http://schemas.openxmlformats.org/drawingml/2006/main">
                  <a:graphicData uri="http://schemas.microsoft.com/office/word/2010/wordprocessingShape">
                    <wps:wsp>
                      <wps:cNvSpPr txBox="1"/>
                      <wps:spPr>
                        <a:xfrm>
                          <a:off x="0" y="0"/>
                          <a:ext cx="6480175" cy="764540"/>
                        </a:xfrm>
                        <a:prstGeom prst="rect"/>
                        <a:solidFill>
                          <a:srgbClr val="FFFFFF"/>
                        </a:solidFill>
                      </wps:spPr>
                      <wps:txbx>
                        <w:txbxContent>
                          <w:tbl>
                            <w:tblPr>
                              <w:tblW w:w="6180" w:type="dxa"/>
                              <w:jc w:val="left"/>
                              <w:tblInd w:w="0" w:type="dxa"/>
                              <w:tblLayout w:type="fixed"/>
                              <w:tblCellMar>
                                <w:top w:w="28" w:type="dxa"/>
                                <w:left w:w="28" w:type="dxa"/>
                                <w:bottom w:w="28" w:type="dxa"/>
                                <w:right w:w="28" w:type="dxa"/>
                              </w:tblCellMar>
                            </w:tblPr>
                            <w:tblGrid>
                              <w:gridCol w:w="1976"/>
                              <w:gridCol w:w="1740"/>
                              <w:gridCol w:w="2464"/>
                            </w:tblGrid>
                            <w:tr>
                              <w:trPr/>
                              <w:tc>
                                <w:tcPr>
                                  <w:tcW w:w="1976" w:type="dxa"/>
                                  <w:tcBorders/>
                                  <w:vAlign w:val="center"/>
                                </w:tcPr>
                                <w:p>
                                  <w:pPr>
                                    <w:pStyle w:val="TableContents"/>
                                    <w:bidi w:val="0"/>
                                    <w:spacing w:before="0" w:after="283"/>
                                    <w:jc w:val="left"/>
                                    <w:rPr>
                                      <w:sz w:val="4"/>
                                      <w:szCs w:val="4"/>
                                    </w:rPr>
                                  </w:pPr>
                                  <w:r>
                                    <w:rPr>
                                      <w:sz w:val="4"/>
                                      <w:szCs w:val="4"/>
                                    </w:rPr>
                                  </w:r>
                                  <w:r>
                                    <w:br w:type="page"/>
                                  </w:r>
                                </w:p>
                              </w:tc>
                              <w:tc>
                                <w:tcPr>
                                  <w:tcW w:w="1740" w:type="dxa"/>
                                  <w:tcBorders/>
                                  <w:vAlign w:val="center"/>
                                </w:tcPr>
                                <w:p>
                                  <w:pPr>
                                    <w:pStyle w:val="TableContents"/>
                                    <w:bidi w:val="0"/>
                                    <w:spacing w:before="0" w:after="283"/>
                                    <w:jc w:val="left"/>
                                    <w:rPr>
                                      <w:sz w:val="4"/>
                                      <w:szCs w:val="4"/>
                                    </w:rPr>
                                  </w:pPr>
                                  <w:r>
                                    <w:rPr>
                                      <w:sz w:val="4"/>
                                      <w:szCs w:val="4"/>
                                    </w:rPr>
                                  </w:r>
                                </w:p>
                              </w:tc>
                              <w:tc>
                                <w:tcPr>
                                  <w:tcW w:w="2464" w:type="dxa"/>
                                  <w:tcBorders/>
                                  <w:vAlign w:val="center"/>
                                </w:tcPr>
                                <w:p>
                                  <w:pPr>
                                    <w:pStyle w:val="TableContents"/>
                                    <w:bidi w:val="0"/>
                                    <w:spacing w:before="0" w:after="283"/>
                                    <w:jc w:val="left"/>
                                    <w:rPr>
                                      <w:sz w:val="4"/>
                                      <w:szCs w:val="4"/>
                                    </w:rPr>
                                  </w:pPr>
                                  <w:r>
                                    <w:rPr>
                                      <w:sz w:val="4"/>
                                      <w:szCs w:val="4"/>
                                    </w:rPr>
                                  </w:r>
                                </w:p>
                              </w:tc>
                            </w:tr>
                            <w:tr>
                              <w:trPr/>
                              <w:tc>
                                <w:tcPr>
                                  <w:tcW w:w="6180" w:type="dxa"/>
                                  <w:gridSpan w:val="3"/>
                                  <w:tcBorders/>
                                  <w:tcMar>
                                    <w:top w:w="0" w:type="dxa"/>
                                    <w:left w:w="0" w:type="dxa"/>
                                    <w:bottom w:w="0" w:type="dxa"/>
                                    <w:right w:w="0" w:type="dxa"/>
                                  </w:tcMar>
                                  <w:vAlign w:val="center"/>
                                </w:tcPr>
                                <w:p>
                                  <w:pPr>
                                    <w:pStyle w:val="TableContents"/>
                                    <w:bidi w:val="0"/>
                                    <w:spacing w:lineRule="auto" w:line="288" w:before="12" w:after="283"/>
                                    <w:jc w:val="left"/>
                                    <w:rPr>
                                      <w:rFonts w:ascii="Times New Roman;serif" w:hAnsi="Times New Roman;serif"/>
                                      <w:b w:val="false"/>
                                      <w:color w:val="000000"/>
                                      <w:sz w:val="18"/>
                                    </w:rPr>
                                  </w:pPr>
                                  <w:r>
                                    <w:rPr>
                                      <w:rFonts w:ascii="Times New Roman;serif" w:hAnsi="Times New Roman;serif"/>
                                      <w:b w:val="false"/>
                                      <w:color w:val="000000"/>
                                      <w:sz w:val="18"/>
                                    </w:rPr>
                                    <w:t>[Signature Page to Third Amendment to Credit Agreement (Align Technology, Inc.)]</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2pt;mso-wrap-distance-left:0pt;mso-wrap-distance-right:0pt;mso-wrap-distance-top:0pt;mso-wrap-distance-bottom:0pt;margin-top:0pt;mso-position-vertical:top;mso-position-vertical-relative:text;margin-left:0pt;mso-position-horizontal:left;mso-position-horizontal-relative:text">
                <v:textbox>
                  <w:txbxContent>
                    <w:tbl>
                      <w:tblPr>
                        <w:tblW w:w="6180" w:type="dxa"/>
                        <w:jc w:val="left"/>
                        <w:tblInd w:w="0" w:type="dxa"/>
                        <w:tblLayout w:type="fixed"/>
                        <w:tblCellMar>
                          <w:top w:w="28" w:type="dxa"/>
                          <w:left w:w="28" w:type="dxa"/>
                          <w:bottom w:w="28" w:type="dxa"/>
                          <w:right w:w="28" w:type="dxa"/>
                        </w:tblCellMar>
                      </w:tblPr>
                      <w:tblGrid>
                        <w:gridCol w:w="1976"/>
                        <w:gridCol w:w="1740"/>
                        <w:gridCol w:w="2464"/>
                      </w:tblGrid>
                      <w:tr>
                        <w:trPr/>
                        <w:tc>
                          <w:tcPr>
                            <w:tcW w:w="1976" w:type="dxa"/>
                            <w:tcBorders/>
                            <w:vAlign w:val="center"/>
                          </w:tcPr>
                          <w:p>
                            <w:pPr>
                              <w:pStyle w:val="TableContents"/>
                              <w:bidi w:val="0"/>
                              <w:spacing w:before="0" w:after="283"/>
                              <w:jc w:val="left"/>
                              <w:rPr>
                                <w:sz w:val="4"/>
                                <w:szCs w:val="4"/>
                              </w:rPr>
                            </w:pPr>
                            <w:r>
                              <w:rPr>
                                <w:sz w:val="4"/>
                                <w:szCs w:val="4"/>
                              </w:rPr>
                            </w:r>
                          </w:p>
                        </w:tc>
                        <w:tc>
                          <w:tcPr>
                            <w:tcW w:w="1740" w:type="dxa"/>
                            <w:tcBorders/>
                            <w:vAlign w:val="center"/>
                          </w:tcPr>
                          <w:p>
                            <w:pPr>
                              <w:pStyle w:val="TableContents"/>
                              <w:bidi w:val="0"/>
                              <w:spacing w:before="0" w:after="283"/>
                              <w:jc w:val="left"/>
                              <w:rPr>
                                <w:sz w:val="4"/>
                                <w:szCs w:val="4"/>
                              </w:rPr>
                            </w:pPr>
                            <w:r>
                              <w:rPr>
                                <w:sz w:val="4"/>
                                <w:szCs w:val="4"/>
                              </w:rPr>
                            </w:r>
                          </w:p>
                        </w:tc>
                        <w:tc>
                          <w:tcPr>
                            <w:tcW w:w="2464" w:type="dxa"/>
                            <w:tcBorders/>
                            <w:vAlign w:val="center"/>
                          </w:tcPr>
                          <w:p>
                            <w:pPr>
                              <w:pStyle w:val="TableContents"/>
                              <w:bidi w:val="0"/>
                              <w:spacing w:before="0" w:after="283"/>
                              <w:jc w:val="left"/>
                              <w:rPr>
                                <w:sz w:val="4"/>
                                <w:szCs w:val="4"/>
                              </w:rPr>
                            </w:pPr>
                            <w:r>
                              <w:rPr>
                                <w:sz w:val="4"/>
                                <w:szCs w:val="4"/>
                              </w:rPr>
                            </w:r>
                          </w:p>
                        </w:tc>
                      </w:tr>
                      <w:tr>
                        <w:trPr/>
                        <w:tc>
                          <w:tcPr>
                            <w:tcW w:w="6180" w:type="dxa"/>
                            <w:gridSpan w:val="3"/>
                            <w:tcBorders/>
                            <w:tcMar>
                              <w:top w:w="0" w:type="dxa"/>
                              <w:left w:w="0" w:type="dxa"/>
                              <w:bottom w:w="0" w:type="dxa"/>
                              <w:right w:w="0" w:type="dxa"/>
                            </w:tcMar>
                            <w:vAlign w:val="center"/>
                          </w:tcPr>
                          <w:p>
                            <w:pPr>
                              <w:pStyle w:val="TableContents"/>
                              <w:bidi w:val="0"/>
                              <w:spacing w:lineRule="auto" w:line="288" w:before="12" w:after="283"/>
                              <w:jc w:val="left"/>
                              <w:rPr>
                                <w:rFonts w:ascii="Times New Roman;serif" w:hAnsi="Times New Roman;serif"/>
                                <w:b w:val="false"/>
                                <w:color w:val="000000"/>
                                <w:sz w:val="18"/>
                              </w:rPr>
                            </w:pPr>
                            <w:r>
                              <w:rPr>
                                <w:rFonts w:ascii="Times New Roman;serif" w:hAnsi="Times New Roman;serif"/>
                                <w:b w:val="false"/>
                                <w:color w:val="000000"/>
                                <w:sz w:val="18"/>
                              </w:rPr>
                              <w:t>[Signature Page to Third Amendment to Credit Agreement (Align Technology, Inc.)]</w:t>
                            </w:r>
                          </w:p>
                        </w:tc>
                      </w:tr>
                    </w:tbl>
                    <w:p>
                      <w:pPr>
                        <w:pStyle w:val="TextBody"/>
                        <w:bidi w:val="0"/>
                        <w:spacing w:before="0" w:after="283"/>
                        <w:jc w:val="left"/>
                        <w:rPr/>
                      </w:pPr>
                      <w:r>
                        <w:rPr/>
                      </w:r>
                    </w:p>
                  </w:txbxContent>
                </v:textbox>
                <w10:wrap type="none"/>
              </v:rect>
            </w:pict>
          </mc:Fallback>
        </mc:AlternateContent>
      </w:r>
    </w:p>
    <w:p>
      <w:pPr>
        <w:pStyle w:val="TextBody"/>
        <w:bidi w:val="0"/>
        <w:spacing w:before="79" w:after="283"/>
        <w:jc w:val="left"/>
        <w:rPr/>
      </w:pPr>
      <w:r>
        <w:rPr/>
      </w:r>
    </w:p>
    <w:p>
      <w:pPr>
        <w:pStyle w:val="TextBody"/>
        <w:bidi w:val="0"/>
        <w:spacing w:lineRule="auto" w:line="288" w:before="79" w:after="283"/>
        <w:jc w:val="left"/>
        <w:rPr>
          <w:rFonts w:ascii="Times New Roman;serif" w:hAnsi="Times New Roman;serif"/>
          <w:b w:val="false"/>
          <w:color w:val="000000"/>
          <w:sz w:val="24"/>
        </w:rPr>
      </w:pPr>
      <w:r>
        <w:rPr>
          <w:rFonts w:ascii="Times New Roman;serif" w:hAnsi="Times New Roman;serif"/>
          <w:b w:val="false"/>
          <w:color w:val="000000"/>
          <w:sz w:val="24"/>
        </w:rPr>
        <w:t>HSBC BANK USA, NATIONAL ASSOCIATION,</w:t>
      </w:r>
    </w:p>
    <w:p>
      <w:pPr>
        <w:pStyle w:val="TextBody"/>
        <w:bidi w:val="0"/>
        <w:spacing w:lineRule="auto" w:line="288" w:before="0" w:after="0"/>
        <w:jc w:val="left"/>
        <w:rPr>
          <w:rFonts w:ascii="Times New Roman;serif" w:hAnsi="Times New Roman;serif"/>
          <w:b w:val="false"/>
          <w:i/>
          <w:color w:val="000000"/>
          <w:sz w:val="24"/>
        </w:rPr>
      </w:pPr>
      <w:r>
        <w:rPr>
          <w:rFonts w:ascii="Times New Roman;serif" w:hAnsi="Times New Roman;serif"/>
          <w:b w:val="false"/>
          <w:i/>
          <w:color w:val="000000"/>
          <w:sz w:val="24"/>
        </w:rPr>
        <w:t>as a Lender</w:t>
      </w:r>
    </w:p>
    <w:p>
      <w:pPr>
        <w:pStyle w:val="TextBody"/>
        <w:bidi w:val="0"/>
        <w:spacing w:before="0" w:after="0"/>
        <w:jc w:val="left"/>
        <w:rPr/>
      </w:pPr>
      <w:r>
        <w:rPr/>
      </w:r>
    </w:p>
    <w:tbl>
      <w:tblPr>
        <w:tblW w:w="3075" w:type="dxa"/>
        <w:jc w:val="left"/>
        <w:tblInd w:w="0" w:type="dxa"/>
        <w:tblLayout w:type="fixed"/>
        <w:tblCellMar>
          <w:top w:w="28" w:type="dxa"/>
          <w:left w:w="28" w:type="dxa"/>
          <w:bottom w:w="28" w:type="dxa"/>
          <w:right w:w="28" w:type="dxa"/>
        </w:tblCellMar>
      </w:tblPr>
      <w:tblGrid>
        <w:gridCol w:w="315"/>
        <w:gridCol w:w="276"/>
        <w:gridCol w:w="279"/>
        <w:gridCol w:w="644"/>
        <w:gridCol w:w="644"/>
        <w:gridCol w:w="917"/>
      </w:tblGrid>
      <w:tr>
        <w:trPr/>
        <w:tc>
          <w:tcPr>
            <w:tcW w:w="31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r>
      <w:tr>
        <w:trPr/>
        <w:tc>
          <w:tcPr>
            <w:tcW w:w="870" w:type="dxa"/>
            <w:gridSpan w:val="3"/>
            <w:tcBorders/>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Dennis Tybor</w:t>
            </w:r>
          </w:p>
        </w:tc>
      </w:tr>
      <w:tr>
        <w:trPr/>
        <w:tc>
          <w:tcPr>
            <w:tcW w:w="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  </w:t>
            </w:r>
          </w:p>
        </w:tc>
        <w:tc>
          <w:tcPr>
            <w:tcW w:w="220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Dennis Tybor</w:t>
            </w:r>
          </w:p>
        </w:tc>
      </w:tr>
      <w:tr>
        <w:trPr/>
        <w:tc>
          <w:tcPr>
            <w:tcW w:w="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  </w:t>
            </w:r>
          </w:p>
        </w:tc>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Senior Vice President</w:t>
            </w:r>
          </w:p>
        </w:tc>
      </w:tr>
    </w:tbl>
    <w:p>
      <w:pPr>
        <w:pStyle w:val="TextBody"/>
        <w:bidi w:val="0"/>
        <w:spacing w:before="79"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764540"/>
                <wp:effectExtent l="0" t="0" r="0" b="0"/>
                <wp:wrapNone/>
                <wp:docPr id="63" name="Frame63"/>
                <a:graphic xmlns:a="http://schemas.openxmlformats.org/drawingml/2006/main">
                  <a:graphicData uri="http://schemas.microsoft.com/office/word/2010/wordprocessingShape">
                    <wps:wsp>
                      <wps:cNvSpPr txBox="1"/>
                      <wps:spPr>
                        <a:xfrm>
                          <a:off x="0" y="0"/>
                          <a:ext cx="6480175" cy="764540"/>
                        </a:xfrm>
                        <a:prstGeom prst="rect"/>
                        <a:solidFill>
                          <a:srgbClr val="FFFFFF"/>
                        </a:solidFill>
                      </wps:spPr>
                      <wps:txbx>
                        <w:txbxContent>
                          <w:tbl>
                            <w:tblPr>
                              <w:tblW w:w="6180" w:type="dxa"/>
                              <w:jc w:val="left"/>
                              <w:tblInd w:w="0" w:type="dxa"/>
                              <w:tblLayout w:type="fixed"/>
                              <w:tblCellMar>
                                <w:top w:w="28" w:type="dxa"/>
                                <w:left w:w="28" w:type="dxa"/>
                                <w:bottom w:w="28" w:type="dxa"/>
                                <w:right w:w="28" w:type="dxa"/>
                              </w:tblCellMar>
                            </w:tblPr>
                            <w:tblGrid>
                              <w:gridCol w:w="1976"/>
                              <w:gridCol w:w="1740"/>
                              <w:gridCol w:w="2464"/>
                            </w:tblGrid>
                            <w:tr>
                              <w:trPr/>
                              <w:tc>
                                <w:tcPr>
                                  <w:tcW w:w="1976" w:type="dxa"/>
                                  <w:tcBorders/>
                                  <w:vAlign w:val="center"/>
                                </w:tcPr>
                                <w:p>
                                  <w:pPr>
                                    <w:pStyle w:val="TableContents"/>
                                    <w:bidi w:val="0"/>
                                    <w:spacing w:before="0" w:after="283"/>
                                    <w:jc w:val="left"/>
                                    <w:rPr>
                                      <w:sz w:val="4"/>
                                      <w:szCs w:val="4"/>
                                    </w:rPr>
                                  </w:pPr>
                                  <w:r>
                                    <w:rPr>
                                      <w:sz w:val="4"/>
                                      <w:szCs w:val="4"/>
                                    </w:rPr>
                                  </w:r>
                                </w:p>
                              </w:tc>
                              <w:tc>
                                <w:tcPr>
                                  <w:tcW w:w="1740" w:type="dxa"/>
                                  <w:tcBorders/>
                                  <w:vAlign w:val="center"/>
                                </w:tcPr>
                                <w:p>
                                  <w:pPr>
                                    <w:pStyle w:val="TableContents"/>
                                    <w:bidi w:val="0"/>
                                    <w:spacing w:before="0" w:after="283"/>
                                    <w:jc w:val="left"/>
                                    <w:rPr>
                                      <w:sz w:val="4"/>
                                      <w:szCs w:val="4"/>
                                    </w:rPr>
                                  </w:pPr>
                                  <w:r>
                                    <w:rPr>
                                      <w:sz w:val="4"/>
                                      <w:szCs w:val="4"/>
                                    </w:rPr>
                                  </w:r>
                                </w:p>
                              </w:tc>
                              <w:tc>
                                <w:tcPr>
                                  <w:tcW w:w="2464" w:type="dxa"/>
                                  <w:tcBorders/>
                                  <w:vAlign w:val="center"/>
                                </w:tcPr>
                                <w:p>
                                  <w:pPr>
                                    <w:pStyle w:val="TableContents"/>
                                    <w:bidi w:val="0"/>
                                    <w:spacing w:before="0" w:after="283"/>
                                    <w:jc w:val="left"/>
                                    <w:rPr>
                                      <w:sz w:val="4"/>
                                      <w:szCs w:val="4"/>
                                    </w:rPr>
                                  </w:pPr>
                                  <w:r>
                                    <w:rPr>
                                      <w:sz w:val="4"/>
                                      <w:szCs w:val="4"/>
                                    </w:rPr>
                                  </w:r>
                                </w:p>
                              </w:tc>
                            </w:tr>
                            <w:tr>
                              <w:trPr/>
                              <w:tc>
                                <w:tcPr>
                                  <w:tcW w:w="6180" w:type="dxa"/>
                                  <w:gridSpan w:val="3"/>
                                  <w:tcBorders/>
                                  <w:tcMar>
                                    <w:top w:w="0" w:type="dxa"/>
                                    <w:left w:w="0" w:type="dxa"/>
                                    <w:bottom w:w="0" w:type="dxa"/>
                                    <w:right w:w="0" w:type="dxa"/>
                                  </w:tcMar>
                                  <w:vAlign w:val="center"/>
                                </w:tcPr>
                                <w:p>
                                  <w:pPr>
                                    <w:pStyle w:val="TableContents"/>
                                    <w:bidi w:val="0"/>
                                    <w:spacing w:lineRule="auto" w:line="288" w:before="12" w:after="283"/>
                                    <w:jc w:val="left"/>
                                    <w:rPr>
                                      <w:rFonts w:ascii="Times New Roman;serif" w:hAnsi="Times New Roman;serif"/>
                                      <w:b w:val="false"/>
                                      <w:color w:val="000000"/>
                                      <w:sz w:val="18"/>
                                    </w:rPr>
                                  </w:pPr>
                                  <w:r>
                                    <w:rPr>
                                      <w:rFonts w:ascii="Times New Roman;serif" w:hAnsi="Times New Roman;serif"/>
                                      <w:b w:val="false"/>
                                      <w:color w:val="000000"/>
                                      <w:sz w:val="18"/>
                                    </w:rPr>
                                    <w:t>[Signature Page to Third Amendment to Credit Agreement (Align Technology, Inc.)]</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2pt;mso-wrap-distance-left:0pt;mso-wrap-distance-right:0pt;mso-wrap-distance-top:0pt;mso-wrap-distance-bottom:0pt;margin-top:0pt;mso-position-vertical:top;mso-position-vertical-relative:text;margin-left:0pt;mso-position-horizontal:left;mso-position-horizontal-relative:text">
                <v:textbox>
                  <w:txbxContent>
                    <w:tbl>
                      <w:tblPr>
                        <w:tblW w:w="6180" w:type="dxa"/>
                        <w:jc w:val="left"/>
                        <w:tblInd w:w="0" w:type="dxa"/>
                        <w:tblLayout w:type="fixed"/>
                        <w:tblCellMar>
                          <w:top w:w="28" w:type="dxa"/>
                          <w:left w:w="28" w:type="dxa"/>
                          <w:bottom w:w="28" w:type="dxa"/>
                          <w:right w:w="28" w:type="dxa"/>
                        </w:tblCellMar>
                      </w:tblPr>
                      <w:tblGrid>
                        <w:gridCol w:w="1976"/>
                        <w:gridCol w:w="1740"/>
                        <w:gridCol w:w="2464"/>
                      </w:tblGrid>
                      <w:tr>
                        <w:trPr/>
                        <w:tc>
                          <w:tcPr>
                            <w:tcW w:w="1976" w:type="dxa"/>
                            <w:tcBorders/>
                            <w:vAlign w:val="center"/>
                          </w:tcPr>
                          <w:p>
                            <w:pPr>
                              <w:pStyle w:val="TableContents"/>
                              <w:bidi w:val="0"/>
                              <w:spacing w:before="0" w:after="283"/>
                              <w:jc w:val="left"/>
                              <w:rPr>
                                <w:sz w:val="4"/>
                                <w:szCs w:val="4"/>
                              </w:rPr>
                            </w:pPr>
                            <w:r>
                              <w:rPr>
                                <w:sz w:val="4"/>
                                <w:szCs w:val="4"/>
                              </w:rPr>
                            </w:r>
                          </w:p>
                        </w:tc>
                        <w:tc>
                          <w:tcPr>
                            <w:tcW w:w="1740" w:type="dxa"/>
                            <w:tcBorders/>
                            <w:vAlign w:val="center"/>
                          </w:tcPr>
                          <w:p>
                            <w:pPr>
                              <w:pStyle w:val="TableContents"/>
                              <w:bidi w:val="0"/>
                              <w:spacing w:before="0" w:after="283"/>
                              <w:jc w:val="left"/>
                              <w:rPr>
                                <w:sz w:val="4"/>
                                <w:szCs w:val="4"/>
                              </w:rPr>
                            </w:pPr>
                            <w:r>
                              <w:rPr>
                                <w:sz w:val="4"/>
                                <w:szCs w:val="4"/>
                              </w:rPr>
                            </w:r>
                          </w:p>
                        </w:tc>
                        <w:tc>
                          <w:tcPr>
                            <w:tcW w:w="2464" w:type="dxa"/>
                            <w:tcBorders/>
                            <w:vAlign w:val="center"/>
                          </w:tcPr>
                          <w:p>
                            <w:pPr>
                              <w:pStyle w:val="TableContents"/>
                              <w:bidi w:val="0"/>
                              <w:spacing w:before="0" w:after="283"/>
                              <w:jc w:val="left"/>
                              <w:rPr>
                                <w:sz w:val="4"/>
                                <w:szCs w:val="4"/>
                              </w:rPr>
                            </w:pPr>
                            <w:r>
                              <w:rPr>
                                <w:sz w:val="4"/>
                                <w:szCs w:val="4"/>
                              </w:rPr>
                            </w:r>
                          </w:p>
                        </w:tc>
                      </w:tr>
                      <w:tr>
                        <w:trPr/>
                        <w:tc>
                          <w:tcPr>
                            <w:tcW w:w="6180" w:type="dxa"/>
                            <w:gridSpan w:val="3"/>
                            <w:tcBorders/>
                            <w:tcMar>
                              <w:top w:w="0" w:type="dxa"/>
                              <w:left w:w="0" w:type="dxa"/>
                              <w:bottom w:w="0" w:type="dxa"/>
                              <w:right w:w="0" w:type="dxa"/>
                            </w:tcMar>
                            <w:vAlign w:val="center"/>
                          </w:tcPr>
                          <w:p>
                            <w:pPr>
                              <w:pStyle w:val="TableContents"/>
                              <w:bidi w:val="0"/>
                              <w:spacing w:lineRule="auto" w:line="288" w:before="12" w:after="283"/>
                              <w:jc w:val="left"/>
                              <w:rPr>
                                <w:rFonts w:ascii="Times New Roman;serif" w:hAnsi="Times New Roman;serif"/>
                                <w:b w:val="false"/>
                                <w:color w:val="000000"/>
                                <w:sz w:val="18"/>
                              </w:rPr>
                            </w:pPr>
                            <w:r>
                              <w:rPr>
                                <w:rFonts w:ascii="Times New Roman;serif" w:hAnsi="Times New Roman;serif"/>
                                <w:b w:val="false"/>
                                <w:color w:val="000000"/>
                                <w:sz w:val="18"/>
                              </w:rPr>
                              <w:t>[Signature Page to Third Amendment to Credit Agreement (Align Technology, Inc.)]</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45"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345" w:before="180" w:after="283"/>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 Joseph M. Hogan, certify that:</w:t>
      </w:r>
    </w:p>
    <w:p>
      <w:pPr>
        <w:pStyle w:val="TextBody"/>
        <w:bidi w:val="0"/>
        <w:spacing w:before="180" w:after="283"/>
        <w:jc w:val="left"/>
        <w:rPr/>
      </w:pPr>
      <w:r>
        <w:rPr/>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Align Technology, Inc.;</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May 6, 2026 </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tbl>
      <w:tblPr>
        <w:tblW w:w="3224" w:type="dxa"/>
        <w:jc w:val="left"/>
        <w:tblInd w:w="0" w:type="dxa"/>
        <w:tblLayout w:type="fixed"/>
        <w:tblCellMar>
          <w:top w:w="28" w:type="dxa"/>
          <w:left w:w="28" w:type="dxa"/>
          <w:bottom w:w="28" w:type="dxa"/>
          <w:right w:w="28" w:type="dxa"/>
        </w:tblCellMar>
      </w:tblPr>
      <w:tblGrid>
        <w:gridCol w:w="1031"/>
        <w:gridCol w:w="905"/>
        <w:gridCol w:w="1288"/>
      </w:tblGrid>
      <w:tr>
        <w:trPr/>
        <w:tc>
          <w:tcPr>
            <w:tcW w:w="10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JOSEPH M. HOGAN</w:t>
            </w:r>
          </w:p>
        </w:tc>
      </w:tr>
      <w:tr>
        <w:trPr/>
        <w:tc>
          <w:tcPr>
            <w:tcW w:w="32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Joseph M. Hogan</w:t>
            </w:r>
          </w:p>
        </w:tc>
      </w:tr>
      <w:tr>
        <w:trPr/>
        <w:tc>
          <w:tcPr>
            <w:tcW w:w="3224"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64" name="Frame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345"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 John F. Morici, certify that:</w:t>
      </w:r>
    </w:p>
    <w:p>
      <w:pPr>
        <w:pStyle w:val="TextBody"/>
        <w:bidi w:val="0"/>
        <w:spacing w:before="180" w:after="283"/>
        <w:jc w:val="both"/>
        <w:rPr/>
      </w:pPr>
      <w:r>
        <w:rPr/>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Align Technology, Inc.;</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Date: May 6, 2026 </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tbl>
      <w:tblPr>
        <w:tblW w:w="5789" w:type="dxa"/>
        <w:jc w:val="left"/>
        <w:tblInd w:w="0" w:type="dxa"/>
        <w:tblLayout w:type="fixed"/>
        <w:tblCellMar>
          <w:top w:w="28" w:type="dxa"/>
          <w:left w:w="28" w:type="dxa"/>
          <w:bottom w:w="28" w:type="dxa"/>
          <w:right w:w="28" w:type="dxa"/>
        </w:tblCellMar>
      </w:tblPr>
      <w:tblGrid>
        <w:gridCol w:w="1854"/>
        <w:gridCol w:w="1629"/>
        <w:gridCol w:w="2306"/>
      </w:tblGrid>
      <w:tr>
        <w:trPr/>
        <w:tc>
          <w:tcPr>
            <w:tcW w:w="1854" w:type="dxa"/>
            <w:tcBorders/>
            <w:vAlign w:val="center"/>
          </w:tcPr>
          <w:p>
            <w:pPr>
              <w:pStyle w:val="TableContents"/>
              <w:bidi w:val="0"/>
              <w:spacing w:before="0" w:after="283"/>
              <w:jc w:val="left"/>
              <w:rPr>
                <w:sz w:val="4"/>
                <w:szCs w:val="4"/>
              </w:rPr>
            </w:pPr>
            <w:r>
              <w:rPr>
                <w:sz w:val="4"/>
                <w:szCs w:val="4"/>
              </w:rPr>
            </w:r>
          </w:p>
        </w:tc>
        <w:tc>
          <w:tcPr>
            <w:tcW w:w="1629" w:type="dxa"/>
            <w:tcBorders/>
            <w:vAlign w:val="center"/>
          </w:tcPr>
          <w:p>
            <w:pPr>
              <w:pStyle w:val="TableContents"/>
              <w:bidi w:val="0"/>
              <w:spacing w:before="0" w:after="283"/>
              <w:jc w:val="left"/>
              <w:rPr>
                <w:sz w:val="4"/>
                <w:szCs w:val="4"/>
              </w:rPr>
            </w:pPr>
            <w:r>
              <w:rPr>
                <w:sz w:val="4"/>
                <w:szCs w:val="4"/>
              </w:rPr>
            </w:r>
          </w:p>
        </w:tc>
        <w:tc>
          <w:tcPr>
            <w:tcW w:w="2306"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JOHN F. MORICI</w:t>
            </w:r>
          </w:p>
        </w:tc>
      </w:tr>
      <w:tr>
        <w:trPr/>
        <w:tc>
          <w:tcPr>
            <w:tcW w:w="57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John F. Morici</w:t>
            </w:r>
          </w:p>
        </w:tc>
      </w:tr>
      <w:tr>
        <w:trPr/>
        <w:tc>
          <w:tcPr>
            <w:tcW w:w="578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Chief Financial Officer and Executive Vice President, Global Finance</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65" name="Frame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345"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22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22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Align Technology, Inc. (the “Company”) on Form 10-Q for the period ending March 31, 2026 as filed with the Securities and Exchange Commission on the date hereof (the “Report”), I certify, pursuant to 18 U.S.C. § 1350, as adopted pursuant to § 906 of the Sarbanes-Oxley Act of 2002, that:</w:t>
      </w:r>
    </w:p>
    <w:p>
      <w:pPr>
        <w:pStyle w:val="TextBody"/>
        <w:bidi w:val="0"/>
        <w:spacing w:lineRule="auto" w:line="288" w:before="220" w:after="283"/>
        <w:jc w:val="both"/>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or 15(d) of the Securities Exchange Act of 1934; and</w:t>
      </w:r>
    </w:p>
    <w:p>
      <w:pPr>
        <w:pStyle w:val="TextBody"/>
        <w:bidi w:val="0"/>
        <w:spacing w:lineRule="auto" w:line="288" w:before="220" w:after="283"/>
        <w:jc w:val="both"/>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the Company.</w:t>
      </w:r>
    </w:p>
    <w:p>
      <w:pPr>
        <w:pStyle w:val="TextBody"/>
        <w:bidi w:val="0"/>
        <w:spacing w:lineRule="auto" w:line="345" w:before="0" w:after="0"/>
        <w:jc w:val="both"/>
        <w:rPr>
          <w:color w:val="000000"/>
        </w:rPr>
      </w:pPr>
      <w:r>
        <w:rPr>
          <w:color w:val="000000"/>
        </w:rPr>
        <w:t> </w:t>
      </w:r>
    </w:p>
    <w:tbl>
      <w:tblPr>
        <w:tblW w:w="3976" w:type="dxa"/>
        <w:jc w:val="right"/>
        <w:tblInd w:w="0" w:type="dxa"/>
        <w:tblLayout w:type="fixed"/>
        <w:tblCellMar>
          <w:top w:w="28" w:type="dxa"/>
          <w:left w:w="28" w:type="dxa"/>
          <w:bottom w:w="28" w:type="dxa"/>
          <w:right w:w="28" w:type="dxa"/>
        </w:tblCellMar>
      </w:tblPr>
      <w:tblGrid>
        <w:gridCol w:w="232"/>
        <w:gridCol w:w="205"/>
        <w:gridCol w:w="208"/>
        <w:gridCol w:w="975"/>
        <w:gridCol w:w="975"/>
        <w:gridCol w:w="1381"/>
      </w:tblGrid>
      <w:tr>
        <w:trPr/>
        <w:tc>
          <w:tcPr>
            <w:tcW w:w="232"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33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 JOSEPH M. HOGAN</w:t>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3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Joseph M. Hogan</w:t>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331"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President and Chief Executive Officer</w:t>
            </w:r>
          </w:p>
        </w:tc>
      </w:tr>
    </w:tbl>
    <w:p>
      <w:pPr>
        <w:pStyle w:val="TextBody"/>
        <w:bidi w:val="0"/>
        <w:spacing w:lineRule="auto" w:line="264"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May 6, 2026 </w:t>
      </w:r>
    </w:p>
    <w:p>
      <w:pPr>
        <w:pStyle w:val="TextBody"/>
        <w:bidi w:val="0"/>
        <w:spacing w:before="180" w:after="283"/>
        <w:ind w:left="0" w:right="0" w:firstLine="495"/>
        <w:jc w:val="left"/>
        <w:rPr/>
      </w:pPr>
      <w:r>
        <w:rPr/>
      </w:r>
    </w:p>
    <w:p>
      <w:pPr>
        <w:pStyle w:val="TextBody"/>
        <w:bidi w:val="0"/>
        <w:spacing w:lineRule="auto" w:line="288" w:before="22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Align Technology, Inc. (the “Company”) on Form 10-Q for the period ending March 31, 2026 as filed with the Securities and Exchange Commission on the date hereof (the “Report”), I certify, pursuant to 18 U.S.C. § 1350, as adopted pursuant to § 906 of the Sarbanes-Oxley Act of 2002, that:</w:t>
      </w:r>
    </w:p>
    <w:p>
      <w:pPr>
        <w:pStyle w:val="TextBody"/>
        <w:bidi w:val="0"/>
        <w:spacing w:lineRule="auto" w:line="288" w:before="220" w:after="283"/>
        <w:jc w:val="both"/>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or 15(d) of the Securities Exchange Act of 1934; and</w:t>
      </w:r>
    </w:p>
    <w:p>
      <w:pPr>
        <w:pStyle w:val="TextBody"/>
        <w:bidi w:val="0"/>
        <w:spacing w:lineRule="auto" w:line="288" w:before="220" w:after="283"/>
        <w:jc w:val="both"/>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the Company.</w:t>
      </w:r>
    </w:p>
    <w:p>
      <w:pPr>
        <w:pStyle w:val="TextBody"/>
        <w:bidi w:val="0"/>
        <w:spacing w:lineRule="auto" w:line="345" w:before="0" w:after="0"/>
        <w:jc w:val="both"/>
        <w:rPr>
          <w:color w:val="000000"/>
        </w:rPr>
      </w:pPr>
      <w:r>
        <w:rPr>
          <w:color w:val="000000"/>
        </w:rPr>
        <w:t> </w:t>
      </w:r>
    </w:p>
    <w:tbl>
      <w:tblPr>
        <w:tblW w:w="6645" w:type="dxa"/>
        <w:jc w:val="right"/>
        <w:tblInd w:w="0" w:type="dxa"/>
        <w:tblLayout w:type="fixed"/>
        <w:tblCellMar>
          <w:top w:w="28" w:type="dxa"/>
          <w:left w:w="28" w:type="dxa"/>
          <w:bottom w:w="28" w:type="dxa"/>
          <w:right w:w="28" w:type="dxa"/>
        </w:tblCellMar>
      </w:tblPr>
      <w:tblGrid>
        <w:gridCol w:w="232"/>
        <w:gridCol w:w="205"/>
        <w:gridCol w:w="208"/>
        <w:gridCol w:w="1752"/>
        <w:gridCol w:w="1752"/>
        <w:gridCol w:w="2496"/>
      </w:tblGrid>
      <w:tr>
        <w:trPr/>
        <w:tc>
          <w:tcPr>
            <w:tcW w:w="232"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752" w:type="dxa"/>
            <w:tcBorders/>
            <w:vAlign w:val="center"/>
          </w:tcPr>
          <w:p>
            <w:pPr>
              <w:pStyle w:val="TableContents"/>
              <w:bidi w:val="0"/>
              <w:spacing w:before="0" w:after="283"/>
              <w:jc w:val="left"/>
              <w:rPr>
                <w:sz w:val="4"/>
                <w:szCs w:val="4"/>
              </w:rPr>
            </w:pPr>
            <w:r>
              <w:rPr>
                <w:sz w:val="4"/>
                <w:szCs w:val="4"/>
              </w:rPr>
            </w:r>
          </w:p>
        </w:tc>
        <w:tc>
          <w:tcPr>
            <w:tcW w:w="1752" w:type="dxa"/>
            <w:tcBorders/>
            <w:vAlign w:val="center"/>
          </w:tcPr>
          <w:p>
            <w:pPr>
              <w:pStyle w:val="TableContents"/>
              <w:bidi w:val="0"/>
              <w:spacing w:before="0" w:after="283"/>
              <w:jc w:val="left"/>
              <w:rPr>
                <w:sz w:val="4"/>
                <w:szCs w:val="4"/>
              </w:rPr>
            </w:pPr>
            <w:r>
              <w:rPr>
                <w:sz w:val="4"/>
                <w:szCs w:val="4"/>
              </w:rPr>
            </w:r>
          </w:p>
        </w:tc>
        <w:tc>
          <w:tcPr>
            <w:tcW w:w="2496" w:type="dxa"/>
            <w:tcBorders/>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600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 JOHN F. MORICI</w:t>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60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John F. Morici</w:t>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600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Chief Financial Officer and Executive Vice President, Global Finance</w:t>
            </w:r>
          </w:p>
        </w:tc>
      </w:tr>
    </w:tbl>
    <w:p>
      <w:pPr>
        <w:pStyle w:val="TextBody"/>
        <w:bidi w:val="0"/>
        <w:spacing w:lineRule="auto" w:line="264"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May 6, 2026 </w:t>
      </w:r>
    </w:p>
    <w:p>
      <w:pPr>
        <w:pStyle w:val="TextBody"/>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66" name="Frame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097149/000109714925000064/exhibit31-archarter.htm" TargetMode="External"/><Relationship Id="rId3" Type="http://schemas.openxmlformats.org/officeDocument/2006/relationships/hyperlink" Target="https://www.sec.gov/Archives/edgar/data/1097149/000109714925000064/exhibit31-archarter.htm" TargetMode="External"/><Relationship Id="rId4" Type="http://schemas.openxmlformats.org/officeDocument/2006/relationships/hyperlink" Target="https://www.sec.gov/Archives/edgar/data/1097149/000109714926000010/exhibit31-amendedandrestat.htm" TargetMode="External"/><Relationship Id="rId5" Type="http://schemas.openxmlformats.org/officeDocument/2006/relationships/hyperlink" Target="https://www.sec.gov/Archives/edgar/data/1097149/000109714926000010/exhibit31-amendedandrestat.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19</Pages>
  <Words>35525</Words>
  <Characters>202101</Characters>
  <CharactersWithSpaces>236181</CharactersWithSpaces>
  <Paragraphs>2665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