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2017</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9"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23" w:lineRule="exact"/>
        <w:rPr>
          <w:sz w:val="24"/>
          <w:szCs w:val="24"/>
          <w:color w:val="auto"/>
        </w:rPr>
      </w:pPr>
    </w:p>
    <w:p>
      <w:pPr>
        <w:ind w:left="418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6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0-32259</w:t>
      </w:r>
    </w:p>
    <w:p>
      <w:pPr>
        <w:spacing w:after="0" w:line="23" w:lineRule="exact"/>
        <w:rPr>
          <w:sz w:val="24"/>
          <w:szCs w:val="24"/>
          <w:color w:val="auto"/>
        </w:rPr>
      </w:pPr>
    </w:p>
    <w:p>
      <w:pPr>
        <w:ind w:left="4580"/>
        <w:spacing w:after="0"/>
        <w:rPr>
          <w:sz w:val="20"/>
          <w:szCs w:val="20"/>
          <w:color w:val="auto"/>
        </w:rPr>
      </w:pPr>
      <w:r>
        <w:rPr>
          <w:rFonts w:ascii="Arial" w:cs="Arial" w:eastAsia="Arial" w:hAnsi="Arial"/>
          <w:sz w:val="16"/>
          <w:szCs w:val="16"/>
          <w:color w:val="auto"/>
        </w:rPr>
        <w:t>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tbl>
      <w:tblPr>
        <w:tblLayout w:type="fixed"/>
        <w:tblInd w:w="1800" w:type="dxa"/>
        <w:tblCellMar>
          <w:top w:w="0" w:type="dxa"/>
          <w:left w:w="0" w:type="dxa"/>
          <w:bottom w:w="0" w:type="dxa"/>
          <w:right w:w="0" w:type="dxa"/>
        </w:tblCellMar>
      </w:tblPr>
      <w:tr>
        <w:trPr>
          <w:trHeight w:val="206"/>
        </w:trPr>
        <w:tc>
          <w:tcPr>
            <w:tcW w:w="5840" w:type="dxa"/>
            <w:vAlign w:val="bottom"/>
          </w:tcPr>
          <w:p>
            <w:pPr>
              <w:jc w:val="center"/>
              <w:ind w:left="1859"/>
              <w:spacing w:after="0"/>
              <w:rPr>
                <w:sz w:val="20"/>
                <w:szCs w:val="20"/>
                <w:color w:val="auto"/>
              </w:rPr>
            </w:pPr>
            <w:r>
              <w:rPr>
                <w:rFonts w:ascii="Arial" w:cs="Arial" w:eastAsia="Arial" w:hAnsi="Arial"/>
                <w:sz w:val="16"/>
                <w:szCs w:val="16"/>
                <w:color w:val="auto"/>
                <w:w w:val="90"/>
              </w:rPr>
              <w:t>____________________________</w:t>
            </w:r>
          </w:p>
        </w:tc>
        <w:tc>
          <w:tcPr>
            <w:tcW w:w="1720" w:type="dxa"/>
            <w:vAlign w:val="bottom"/>
          </w:tcPr>
          <w:p>
            <w:pPr>
              <w:spacing w:after="0"/>
              <w:rPr>
                <w:sz w:val="17"/>
                <w:szCs w:val="17"/>
                <w:color w:val="auto"/>
              </w:rPr>
            </w:pPr>
          </w:p>
        </w:tc>
      </w:tr>
      <w:tr>
        <w:trPr>
          <w:trHeight w:val="337"/>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1"/>
              </w:rPr>
              <w:t>Delaware</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94-3267295</w:t>
            </w:r>
          </w:p>
        </w:tc>
      </w:tr>
      <w:tr>
        <w:trPr>
          <w:trHeight w:val="249"/>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2"/>
              </w:rPr>
              <w:t>(State or other jurisdiction of</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2"/>
              </w:rPr>
              <w:t>incorporation or organization)</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5"/>
              </w:rPr>
              <w:t>Identification Number)</w:t>
            </w:r>
          </w:p>
        </w:tc>
      </w:tr>
      <w:tr>
        <w:trPr>
          <w:trHeight w:val="289"/>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4"/>
              </w:rPr>
              <w:t>2560 Orchard Parkway</w:t>
            </w:r>
          </w:p>
        </w:tc>
        <w:tc>
          <w:tcPr>
            <w:tcW w:w="1720" w:type="dxa"/>
            <w:vAlign w:val="bottom"/>
          </w:tcPr>
          <w:p>
            <w:pPr>
              <w:spacing w:after="0"/>
              <w:rPr>
                <w:sz w:val="24"/>
                <w:szCs w:val="24"/>
                <w:color w:val="auto"/>
              </w:rPr>
            </w:pPr>
          </w:p>
        </w:tc>
      </w:tr>
      <w:tr>
        <w:trPr>
          <w:trHeight w:val="189"/>
        </w:trPr>
        <w:tc>
          <w:tcPr>
            <w:tcW w:w="5840" w:type="dxa"/>
            <w:vAlign w:val="bottom"/>
          </w:tcPr>
          <w:p>
            <w:pPr>
              <w:jc w:val="center"/>
              <w:ind w:left="1919"/>
              <w:spacing w:after="0"/>
              <w:rPr>
                <w:sz w:val="20"/>
                <w:szCs w:val="20"/>
                <w:color w:val="auto"/>
              </w:rPr>
            </w:pPr>
            <w:r>
              <w:rPr>
                <w:rFonts w:ascii="Arial" w:cs="Arial" w:eastAsia="Arial" w:hAnsi="Arial"/>
                <w:sz w:val="16"/>
                <w:szCs w:val="16"/>
                <w:b w:val="1"/>
                <w:bCs w:val="1"/>
                <w:color w:val="auto"/>
                <w:w w:val="91"/>
              </w:rPr>
              <w:t>San Jose, California 95131</w:t>
            </w:r>
          </w:p>
        </w:tc>
        <w:tc>
          <w:tcPr>
            <w:tcW w:w="1720" w:type="dxa"/>
            <w:vAlign w:val="bottom"/>
          </w:tcPr>
          <w:p>
            <w:pPr>
              <w:spacing w:after="0"/>
              <w:rPr>
                <w:sz w:val="16"/>
                <w:szCs w:val="16"/>
                <w:color w:val="auto"/>
              </w:rPr>
            </w:pPr>
          </w:p>
        </w:tc>
      </w:tr>
      <w:tr>
        <w:trPr>
          <w:trHeight w:val="210"/>
        </w:trPr>
        <w:tc>
          <w:tcPr>
            <w:tcW w:w="5840" w:type="dxa"/>
            <w:vAlign w:val="bottom"/>
          </w:tcPr>
          <w:p>
            <w:pPr>
              <w:jc w:val="center"/>
              <w:ind w:left="19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720" w:type="dxa"/>
            <w:vAlign w:val="bottom"/>
          </w:tcPr>
          <w:p>
            <w:pPr>
              <w:spacing w:after="0"/>
              <w:rPr>
                <w:sz w:val="18"/>
                <w:szCs w:val="18"/>
                <w:color w:val="auto"/>
              </w:rPr>
            </w:pPr>
          </w:p>
        </w:tc>
      </w:tr>
      <w:tr>
        <w:trPr>
          <w:trHeight w:val="330"/>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3"/>
              </w:rPr>
              <w:t>(408) 470-1000</w:t>
            </w:r>
          </w:p>
        </w:tc>
        <w:tc>
          <w:tcPr>
            <w:tcW w:w="1720" w:type="dxa"/>
            <w:vAlign w:val="bottom"/>
          </w:tcPr>
          <w:p>
            <w:pPr>
              <w:spacing w:after="0"/>
              <w:rPr>
                <w:sz w:val="24"/>
                <w:szCs w:val="24"/>
                <w:color w:val="auto"/>
              </w:rPr>
            </w:pPr>
          </w:p>
        </w:tc>
      </w:tr>
      <w:tr>
        <w:trPr>
          <w:trHeight w:val="210"/>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720" w:type="dxa"/>
            <w:vAlign w:val="bottom"/>
          </w:tcPr>
          <w:p>
            <w:pPr>
              <w:spacing w:after="0"/>
              <w:rPr>
                <w:sz w:val="18"/>
                <w:szCs w:val="18"/>
                <w:color w:val="auto"/>
              </w:rPr>
            </w:pPr>
          </w:p>
        </w:tc>
      </w:tr>
      <w:tr>
        <w:trPr>
          <w:trHeight w:val="257"/>
        </w:trPr>
        <w:tc>
          <w:tcPr>
            <w:tcW w:w="5840" w:type="dxa"/>
            <w:vAlign w:val="bottom"/>
          </w:tcPr>
          <w:p>
            <w:pPr>
              <w:jc w:val="center"/>
              <w:ind w:left="1939"/>
              <w:spacing w:after="0"/>
              <w:rPr>
                <w:sz w:val="20"/>
                <w:szCs w:val="20"/>
                <w:color w:val="auto"/>
              </w:rPr>
            </w:pPr>
            <w:r>
              <w:rPr>
                <w:rFonts w:ascii="Arial" w:cs="Arial" w:eastAsia="Arial" w:hAnsi="Arial"/>
                <w:sz w:val="16"/>
                <w:szCs w:val="16"/>
                <w:color w:val="auto"/>
                <w:w w:val="90"/>
              </w:rPr>
              <w:t>____________________________</w:t>
            </w:r>
          </w:p>
        </w:tc>
        <w:tc>
          <w:tcPr>
            <w:tcW w:w="1720" w:type="dxa"/>
            <w:vAlign w:val="bottom"/>
          </w:tcPr>
          <w:p>
            <w:pPr>
              <w:spacing w:after="0"/>
              <w:rPr>
                <w:sz w:val="22"/>
                <w:szCs w:val="22"/>
                <w:color w:val="auto"/>
              </w:rPr>
            </w:pPr>
          </w:p>
        </w:tc>
      </w:tr>
    </w:tbl>
    <w:p>
      <w:pPr>
        <w:spacing w:after="0" w:line="64" w:lineRule="exact"/>
        <w:rPr>
          <w:sz w:val="24"/>
          <w:szCs w:val="24"/>
          <w:color w:val="auto"/>
        </w:r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432"/>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40" w:type="dxa"/>
            <w:vAlign w:val="bottom"/>
          </w:tcPr>
          <w:p>
            <w:pPr>
              <w:ind w:left="420"/>
              <w:spacing w:after="0"/>
              <w:rPr>
                <w:sz w:val="20"/>
                <w:szCs w:val="20"/>
                <w:color w:val="auto"/>
              </w:rPr>
            </w:pPr>
            <w:r>
              <w:rPr>
                <w:rFonts w:ascii="Arial" w:cs="Arial" w:eastAsia="Arial" w:hAnsi="Arial"/>
                <w:sz w:val="16"/>
                <w:szCs w:val="16"/>
                <w:color w:val="auto"/>
              </w:rPr>
              <w:t>x</w:t>
            </w:r>
          </w:p>
        </w:tc>
        <w:tc>
          <w:tcPr>
            <w:tcW w:w="3860" w:type="dxa"/>
            <w:vAlign w:val="bottom"/>
          </w:tcPr>
          <w:p>
            <w:pPr>
              <w:spacing w:after="0"/>
              <w:rPr>
                <w:sz w:val="22"/>
                <w:szCs w:val="22"/>
                <w:color w:val="auto"/>
              </w:rPr>
            </w:pPr>
          </w:p>
        </w:tc>
        <w:tc>
          <w:tcPr>
            <w:tcW w:w="3680" w:type="dxa"/>
            <w:vAlign w:val="bottom"/>
          </w:tcPr>
          <w:p>
            <w:pPr>
              <w:ind w:left="800"/>
              <w:spacing w:after="0"/>
              <w:rPr>
                <w:sz w:val="20"/>
                <w:szCs w:val="20"/>
                <w:color w:val="auto"/>
              </w:rPr>
            </w:pPr>
            <w:r>
              <w:rPr>
                <w:rFonts w:ascii="Arial" w:cs="Arial" w:eastAsia="Arial" w:hAnsi="Arial"/>
                <w:sz w:val="16"/>
                <w:szCs w:val="16"/>
                <w:color w:val="auto"/>
              </w:rPr>
              <w:t>Accelerated filer</w:t>
            </w:r>
          </w:p>
        </w:tc>
        <w:tc>
          <w:tcPr>
            <w:tcW w:w="132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r>
      <w:tr>
        <w:trPr>
          <w:trHeight w:val="257"/>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540" w:type="dxa"/>
            <w:vAlign w:val="bottom"/>
          </w:tcPr>
          <w:p>
            <w:pPr>
              <w:ind w:left="420"/>
              <w:spacing w:after="0"/>
              <w:rPr>
                <w:sz w:val="20"/>
                <w:szCs w:val="20"/>
                <w:color w:val="auto"/>
              </w:rPr>
            </w:pPr>
            <w:r>
              <w:rPr>
                <w:rFonts w:ascii="Arial" w:cs="Arial" w:eastAsia="Arial" w:hAnsi="Arial"/>
                <w:sz w:val="16"/>
                <w:szCs w:val="16"/>
                <w:color w:val="auto"/>
              </w:rPr>
              <w:t>o</w:t>
            </w:r>
          </w:p>
        </w:tc>
        <w:tc>
          <w:tcPr>
            <w:tcW w:w="386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3680" w:type="dxa"/>
            <w:vAlign w:val="bottom"/>
          </w:tcPr>
          <w:p>
            <w:pPr>
              <w:ind w:left="800"/>
              <w:spacing w:after="0"/>
              <w:rPr>
                <w:sz w:val="20"/>
                <w:szCs w:val="20"/>
                <w:color w:val="auto"/>
              </w:rPr>
            </w:pPr>
            <w:r>
              <w:rPr>
                <w:rFonts w:ascii="Arial" w:cs="Arial" w:eastAsia="Arial" w:hAnsi="Arial"/>
                <w:sz w:val="16"/>
                <w:szCs w:val="16"/>
                <w:color w:val="auto"/>
              </w:rPr>
              <w:t>Smaller reporting company</w:t>
            </w:r>
          </w:p>
        </w:tc>
        <w:tc>
          <w:tcPr>
            <w:tcW w:w="132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r>
      <w:tr>
        <w:trPr>
          <w:trHeight w:val="270"/>
        </w:trPr>
        <w:tc>
          <w:tcPr>
            <w:tcW w:w="1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680" w:type="dxa"/>
            <w:vAlign w:val="bottom"/>
          </w:tcPr>
          <w:p>
            <w:pPr>
              <w:ind w:left="800"/>
              <w:spacing w:after="0"/>
              <w:rPr>
                <w:sz w:val="20"/>
                <w:szCs w:val="20"/>
                <w:color w:val="auto"/>
              </w:rPr>
            </w:pPr>
            <w:r>
              <w:rPr>
                <w:rFonts w:ascii="Arial" w:cs="Arial" w:eastAsia="Arial" w:hAnsi="Arial"/>
                <w:sz w:val="16"/>
                <w:szCs w:val="16"/>
                <w:color w:val="auto"/>
              </w:rPr>
              <w:t>Emerging growth company</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jc w:val="both"/>
        <w:ind w:left="40" w:right="1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38" w:lineRule="exact"/>
        <w:rPr>
          <w:sz w:val="24"/>
          <w:szCs w:val="24"/>
          <w:color w:val="auto"/>
        </w:rPr>
      </w:pPr>
    </w:p>
    <w:p>
      <w:pPr>
        <w:ind w:left="440" w:right="2480"/>
        <w:spacing w:after="0" w:line="29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 The number of shares outstanding of the registrant’s Common Stock, $0.0001 par value, as of July 28, 2017 was 80,150,594.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287655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201930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80" w:type="dxa"/>
            <w:vAlign w:val="bottom"/>
            <w:tcBorders>
              <w:bottom w:val="single" w:sz="8" w:color="0000FF"/>
            </w:tcBorders>
            <w:gridSpan w:val="17"/>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CONDENSED CONSOLIDATED STATEMENTS OF COMPREHENSIVE INCOME</w:t>
              </w:r>
            </w:hyperlink>
          </w:p>
        </w:tc>
        <w:tc>
          <w:tcPr>
            <w:tcW w:w="33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4">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5">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36">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7">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53">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53">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3">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55</w:t>
              </w:r>
            </w:hyperlink>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Invisalign, Align, the Invisalign logo, ClinCheck, Invisalign Assist, Invisalign Teen, Invisalign Go, Vivera, SmartForce, SmartTrack, SmartStage, Power Ridge,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356,482</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269,362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666,823</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508,082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85,565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160,281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122,239</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270,917</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205,216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506,542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385,843</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162,964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121,467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314,112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233,677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24,384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47,188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33,696</w:t>
            </w:r>
          </w:p>
        </w:tc>
        <w:tc>
          <w:tcPr>
            <w:tcW w:w="0" w:type="dxa"/>
            <w:vAlign w:val="bottom"/>
          </w:tcPr>
          <w:p>
            <w:pPr>
              <w:spacing w:after="0"/>
              <w:rPr>
                <w:sz w:val="1"/>
                <w:szCs w:val="1"/>
                <w:color w:val="auto"/>
              </w:rPr>
            </w:pPr>
          </w:p>
        </w:tc>
      </w:tr>
      <w:tr>
        <w:trPr>
          <w:trHeight w:val="237"/>
        </w:trPr>
        <w:tc>
          <w:tcPr>
            <w:tcW w:w="492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187,348</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140,080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361,300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267,373</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83,569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145,242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118,470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4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income before provision for income taxes and equity in losses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investee</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86,781</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150,099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118,168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15,387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27,474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losses of investee, net of tax</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69,179</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50,148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138,599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90,694</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income per share:</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80,188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79,951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80,047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79,891</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81,631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81,668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81,440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70"/>
        </w:trPr>
        <w:tc>
          <w:tcPr>
            <w:tcW w:w="60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69,179</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50,148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138,599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90,694</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in 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Change in unrealized gains on investments, net of tax</w:t>
            </w:r>
          </w:p>
        </w:tc>
        <w:tc>
          <w:tcPr>
            <w:tcW w:w="3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1,475</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1,408</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70,405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50,554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139,381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92,102</w:t>
            </w: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389,275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243,786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250,981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Accounts receivable, net of allowance for doubtful accounts and returns of $5,452 and $4,310,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291,694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247,415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27,131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1,003,222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952,978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255,539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175,167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91,308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81,998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22,992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13,320</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1,551,187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1,396,151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158,838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134,332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191,407</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424,796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354,335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payable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1,294</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472,899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400,762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8 and 9)</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$0.0001 par value (200,000 shares authorized; 80,144 and 79,553 issued and outstanding,</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845,560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864,871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232,876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131,448</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1,078,288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995,389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1,551,187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1,396,151</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6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34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90,694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16,743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tax benefits from stock-based awards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Equity in losses of investee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29,580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29,787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106,847</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(78,045)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(241,364)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173,094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210,693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24,224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Loan advance to equity investee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(51,503)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forward contract related to accelerated share repurchase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389,275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167,714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and cash equivalents, end of the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358,182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167,706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or accrued liabilities related to property, plant and equipment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20,291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10,009</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state fairly our results of operations for the three and six months ended June 30, 2017 and 2016, our comprehensive income for the three and six months ended June 30, 2017 and 2016, our financial position as of June 30, 2017 and our cash flows for the six months ended June 30, 2017 and 2016. The Condensed Consolidated Balance Sheet as of December 31, 2016 was derived from the December 31, 2016 audited financial statements but does not include all disclosures required by accounting principles generally accepted in the United States of America.</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results of operations for the three and six months ended June 30, 2017 are not necessarily indicative of the results that may be expected for the year ending December 31, 2017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2016.</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Out of Period Adjustment</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second quarter of 2017, we recorded an out of period adjustment that resulted in decrease in interest and other income (expense), net of $1.9 million and increase in accrued liabilities of $1.9 million. We do not believe the decrease of $1.9 million to net income related to the out of period adjustment is material to the Consolidated Financial Statements for the three and six months ended June 30, 2017 or to prior period's Consolidated Financial Statements.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equity method investments, useful lives of intangible assets and property and equipment, revenue recognition, stock-based compensation, equity losses of investee,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 New Accounting Updates Recently Adopted</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March 2016, the Financial Accounting Standards Board ("FASB") issued Accounting Standards Update ("ASU") 2016-09, "</w:t>
      </w:r>
      <w:r>
        <w:rPr>
          <w:rFonts w:ascii="Arial" w:cs="Arial" w:eastAsia="Arial" w:hAnsi="Arial"/>
          <w:sz w:val="17"/>
          <w:szCs w:val="17"/>
          <w:i w:val="1"/>
          <w:iCs w:val="1"/>
          <w:color w:val="auto"/>
        </w:rPr>
        <w:t>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Employee Share-Based Payment Accounting</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252525"/>
        </w:rPr>
        <w:t>(Topic 718)</w:t>
      </w:r>
      <w:r>
        <w:rPr>
          <w:rFonts w:ascii="Arial" w:cs="Arial" w:eastAsia="Arial" w:hAnsi="Arial"/>
          <w:sz w:val="17"/>
          <w:szCs w:val="17"/>
          <w:i w:val="1"/>
          <w:iCs w:val="1"/>
          <w:color w:val="252525"/>
        </w:rPr>
        <w:t>.</w:t>
      </w:r>
      <w:r>
        <w:rPr>
          <w:rFonts w:ascii="Arial" w:cs="Arial" w:eastAsia="Arial" w:hAnsi="Arial"/>
          <w:sz w:val="17"/>
          <w:szCs w:val="17"/>
          <w:i w:val="1"/>
          <w:iCs w:val="1"/>
          <w:color w:val="auto"/>
        </w:rPr>
        <w:t xml:space="preserve"> </w:t>
      </w:r>
      <w:r>
        <w:rPr>
          <w:rFonts w:ascii="Arial" w:cs="Arial" w:eastAsia="Arial" w:hAnsi="Arial"/>
          <w:sz w:val="17"/>
          <w:szCs w:val="17"/>
          <w:color w:val="252525"/>
        </w:rPr>
        <w:t>We adopted the standard in the first quarter of fiscal year 2017. With this adoption, excess tax</w:t>
      </w:r>
      <w:r>
        <w:rPr>
          <w:rFonts w:ascii="Arial" w:cs="Arial" w:eastAsia="Arial" w:hAnsi="Arial"/>
          <w:sz w:val="17"/>
          <w:szCs w:val="17"/>
          <w:i w:val="1"/>
          <w:iCs w:val="1"/>
          <w:color w:val="auto"/>
        </w:rPr>
        <w:t xml:space="preserve"> </w:t>
      </w:r>
      <w:r>
        <w:rPr>
          <w:rFonts w:ascii="Arial" w:cs="Arial" w:eastAsia="Arial" w:hAnsi="Arial"/>
          <w:sz w:val="17"/>
          <w:szCs w:val="17"/>
          <w:color w:val="252525"/>
        </w:rPr>
        <w:t>benefits related to stock-based compensation expense are reflected in our condensed consolidated statement of operations as a component of the provision for income taxes instead of additional paid-in capital in our condensed consolidated balance sheet. During the six months ended June 30, 2017, we recognized excess tax benefits of $22.4 million in our provision for income taxes. Excess tax benefits from share-based payment arrangements are classified as an operating activity in our condensed consolidated statement of cash flows in the same manner as other cash flows related to income taxes. We have elected to apply the standard on a prospective basis. In addition, we elected to continue to estimate expected forfeitures rather than as they occur to determine the amount of compensation cost to be recognized in each period.</w:t>
      </w:r>
    </w:p>
    <w:p>
      <w:pPr>
        <w:spacing w:after="0" w:line="1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(Topic 740) which requires entities to recognize the income tax consequences of an intra-entity transfer of an asset other than inventory when the transfer occurs. We early adopted the standard in the first quarter of fiscal year 2017 by applying the modified retrospective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approach. </w:t>
      </w:r>
      <w:r>
        <w:rPr>
          <w:rFonts w:ascii="Arial" w:cs="Arial" w:eastAsia="Arial" w:hAnsi="Arial"/>
          <w:sz w:val="17"/>
          <w:szCs w:val="17"/>
          <w:color w:val="252525"/>
        </w:rPr>
        <w:t>During the first quarter of fiscal year 2017</w:t>
      </w:r>
      <w:r>
        <w:rPr>
          <w:rFonts w:ascii="Arial" w:cs="Arial" w:eastAsia="Arial" w:hAnsi="Arial"/>
          <w:sz w:val="17"/>
          <w:szCs w:val="17"/>
          <w:color w:val="auto"/>
        </w:rPr>
        <w:t>, we recognized a $1.3 million decrease to retained earnings as a cumulative-effect adjustment.</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(ii) Recent Accounting Updates Not Yet Effective</w:t>
      </w:r>
    </w:p>
    <w:p>
      <w:pPr>
        <w:spacing w:after="0" w:line="22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May 2014, the FASB released ASU 2014-9,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(Topic 606) to supersede nearly all existing revenue recognition guidance under GAAP. The core principle of the standard is to recognize revenues when promised goods or services are transferred to customers in an amount that reflects the consideration that is expected to be received for the goods or services. The new standard defines a five step process to achieve this core principle and, in doing so, it is possible more judgment and estimates may be required within the revenue recognition process than required under existing GAAP including identifying performance obligations in the contract, estimating the amount of variable consideration to include in the transaction price and allocating the transaction price to each separate performance obligation. In addition, the new standard requires disclosure of the nature, amount, timing, and uncertainty of revenue and cash flows arising from contracts with customers. We plan to adopt the standard in the first quarter of fiscal year 2018 by applying the full retrospective method. Our ability to adopt using the full retrospective method is dependent on the completion of our analysis of information necessary to restate prior period financial statements. We are continuing to evaluate the accounting, transition and disclosure requirements of the standard and are in process of assessing the financial statement impact of adoption.</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April 2016, the FASB released </w:t>
      </w:r>
      <w:r>
        <w:rPr>
          <w:rFonts w:ascii="Arial" w:cs="Arial" w:eastAsia="Arial" w:hAnsi="Arial"/>
          <w:sz w:val="18"/>
          <w:szCs w:val="18"/>
          <w:color w:val="252525"/>
        </w:rPr>
        <w:t>ASU 2016-10,</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to clarify the following two aspects of Topic 606: identifying performance obligations and the licensing implementation guidance, while retaining the principles for those areas of the ASU 2014-9 issued in May 2014. The effective date and the transition requirement of the amendments in this update are the same as the effective date and transition requirements of Topic 606.</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In May 2016, the FASB released </w:t>
      </w:r>
      <w:r>
        <w:rPr>
          <w:rFonts w:ascii="Arial" w:cs="Arial" w:eastAsia="Arial" w:hAnsi="Arial"/>
          <w:sz w:val="17"/>
          <w:szCs w:val="17"/>
          <w:color w:val="252525"/>
        </w:rPr>
        <w:t>ASU 2016-12,</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 address certain issues in the Topic 606 guidance on assessing the collectability, presentation of sales taxes, non-cash consideration, and completed contracts and contract modifications at transition. The ASU provides narrow-scope improvements and practical expedients to the ASU 2014-9 issued in May 2014. The effective date and the transition requirement of the amendments in this update are the same as the effective date and transition requirements of Topic 606.</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December 2016, the FASB released </w:t>
      </w:r>
      <w:r>
        <w:rPr>
          <w:rFonts w:ascii="Arial" w:cs="Arial" w:eastAsia="Arial" w:hAnsi="Arial"/>
          <w:sz w:val="18"/>
          <w:szCs w:val="18"/>
          <w:color w:val="252525"/>
        </w:rPr>
        <w:t>ASU 2016-20,</w:t>
      </w:r>
      <w:r>
        <w:rPr>
          <w:rFonts w:ascii="Arial" w:cs="Arial" w:eastAsia="Arial" w:hAnsi="Arial"/>
          <w:sz w:val="18"/>
          <w:szCs w:val="18"/>
          <w:color w:val="auto"/>
        </w:rPr>
        <w:t xml:space="preserve"> "</w:t>
      </w:r>
      <w:r>
        <w:rPr>
          <w:rFonts w:ascii="Arial" w:cs="Arial" w:eastAsia="Arial" w:hAnsi="Arial"/>
          <w:sz w:val="18"/>
          <w:szCs w:val="18"/>
          <w:i w:val="1"/>
          <w:iCs w:val="1"/>
          <w:color w:val="auto"/>
        </w:rPr>
        <w:t>Technical Corrections and Improvements to Topic 606, Revenue from Contracts with Customers,</w:t>
      </w:r>
      <w:r>
        <w:rPr>
          <w:rFonts w:ascii="Arial" w:cs="Arial" w:eastAsia="Arial" w:hAnsi="Arial"/>
          <w:sz w:val="18"/>
          <w:szCs w:val="18"/>
          <w:color w:val="auto"/>
        </w:rPr>
        <w:t>" to clarify certain aspects of guidance in the Topic 606 including its scope, disclosure requirements and contract cost accounting, while retaining the principles for those areas of the ASU 2014-9 issued in May 2014. The effective date and the transition requirement of the amendments in this update are the same as the effective date and transition requirements of Topic 606.</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(Topic 842). The FASB issued this update to increase transparency and comparability among organizations by recognizing lease assets and lease liabilities on the balance sheet and disclosing key information about leasing arrangements. The updated guidance is effective for annual periods beginning after December 15, 2018, including interim periods within those fiscal years. Early adoption of the standard is permitted. We plan to adopt the standard in the first quarter of fiscal year 2019 by electing practical expedients available in the standard. While we are currently evaluating the impact of the adoption of this guidance on our consolidated financial statements, we expect the adoption will have a material increase to the assets and liabilities of our consolidated balance sheet.</w:t>
      </w:r>
    </w:p>
    <w:p>
      <w:pPr>
        <w:spacing w:after="0" w:line="17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52525"/>
        </w:rPr>
        <w:t>In June 2016, the FASB issued ASU 2016-13, “</w:t>
      </w:r>
      <w:r>
        <w:rPr>
          <w:rFonts w:ascii="Arial" w:cs="Arial" w:eastAsia="Arial" w:hAnsi="Arial"/>
          <w:sz w:val="16"/>
          <w:szCs w:val="16"/>
          <w:i w:val="1"/>
          <w:iCs w:val="1"/>
          <w:color w:val="252525"/>
        </w:rPr>
        <w:t>Financial Instruments - Credit Losses</w:t>
      </w:r>
      <w:r>
        <w:rPr>
          <w:rFonts w:ascii="Arial" w:cs="Arial" w:eastAsia="Arial" w:hAnsi="Arial"/>
          <w:sz w:val="16"/>
          <w:szCs w:val="16"/>
          <w:color w:val="252525"/>
        </w:rPr>
        <w:t>” (Topic 326)</w:t>
      </w:r>
      <w:r>
        <w:rPr>
          <w:rFonts w:ascii="Arial" w:cs="Arial" w:eastAsia="Arial" w:hAnsi="Arial"/>
          <w:sz w:val="16"/>
          <w:szCs w:val="16"/>
          <w:i w:val="1"/>
          <w:iCs w:val="1"/>
          <w:color w:val="252525"/>
        </w:rPr>
        <w:t>.</w:t>
      </w:r>
      <w:r>
        <w:rPr>
          <w:rFonts w:ascii="Arial" w:cs="Arial" w:eastAsia="Arial" w:hAnsi="Arial"/>
          <w:sz w:val="16"/>
          <w:szCs w:val="16"/>
          <w:color w:val="252525"/>
        </w:rPr>
        <w:t xml:space="preserve"> </w:t>
      </w:r>
      <w:r>
        <w:rPr>
          <w:rFonts w:ascii="Arial" w:cs="Arial" w:eastAsia="Arial" w:hAnsi="Arial"/>
          <w:sz w:val="16"/>
          <w:szCs w:val="16"/>
          <w:color w:val="000000"/>
        </w:rPr>
        <w:t>The FASB issued this update to provide financial</w:t>
      </w:r>
      <w:r>
        <w:rPr>
          <w:rFonts w:ascii="Arial" w:cs="Arial" w:eastAsia="Arial" w:hAnsi="Arial"/>
          <w:sz w:val="16"/>
          <w:szCs w:val="16"/>
          <w:color w:val="252525"/>
        </w:rPr>
        <w:t xml:space="preserve"> </w:t>
      </w:r>
      <w:r>
        <w:rPr>
          <w:rFonts w:ascii="Arial" w:cs="Arial" w:eastAsia="Arial" w:hAnsi="Arial"/>
          <w:sz w:val="16"/>
          <w:szCs w:val="16"/>
          <w:color w:val="000000"/>
        </w:rPr>
        <w:t xml:space="preserve">statement users with more decision-useful information about the expected credit losses on financial instruments and other commitments to extend credit held by a reporting entity at each reporting date. The amendments in this update replace the existing guidance of incurred loss impairment methodology with an approach that reflects expected credit losses and requires consideration of a broader range of reasonable and supportable information to inform credit loss estimates. </w:t>
      </w:r>
      <w:r>
        <w:rPr>
          <w:rFonts w:ascii="Arial" w:cs="Arial" w:eastAsia="Arial" w:hAnsi="Arial"/>
          <w:sz w:val="16"/>
          <w:szCs w:val="16"/>
          <w:color w:val="252525"/>
        </w:rPr>
        <w:t>The updated guidance is effective for annual periods beginning after December 15, 2019, including interim periods within those fiscal years. Early</w:t>
      </w:r>
      <w:r>
        <w:rPr>
          <w:rFonts w:ascii="Arial" w:cs="Arial" w:eastAsia="Arial" w:hAnsi="Arial"/>
          <w:sz w:val="16"/>
          <w:szCs w:val="16"/>
          <w:color w:val="000000"/>
        </w:rPr>
        <w:t xml:space="preserve"> </w:t>
      </w:r>
      <w:r>
        <w:rPr>
          <w:rFonts w:ascii="Arial" w:cs="Arial" w:eastAsia="Arial" w:hAnsi="Arial"/>
          <w:sz w:val="16"/>
          <w:szCs w:val="16"/>
          <w:color w:val="252525"/>
        </w:rPr>
        <w:t xml:space="preserve">adoption of the update is permitted as of the fiscal years beginning after December 15, 2018, including interim periods within those fiscal years. </w:t>
      </w:r>
      <w:r>
        <w:rPr>
          <w:rFonts w:ascii="Arial" w:cs="Arial" w:eastAsia="Arial" w:hAnsi="Arial"/>
          <w:sz w:val="16"/>
          <w:szCs w:val="16"/>
          <w:color w:val="000000"/>
        </w:rPr>
        <w:t>We are</w:t>
      </w:r>
      <w:r>
        <w:rPr>
          <w:rFonts w:ascii="Arial" w:cs="Arial" w:eastAsia="Arial" w:hAnsi="Arial"/>
          <w:sz w:val="16"/>
          <w:szCs w:val="16"/>
          <w:color w:val="252525"/>
        </w:rPr>
        <w:t xml:space="preserve"> </w:t>
      </w:r>
      <w:r>
        <w:rPr>
          <w:rFonts w:ascii="Arial" w:cs="Arial" w:eastAsia="Arial" w:hAnsi="Arial"/>
          <w:sz w:val="16"/>
          <w:szCs w:val="16"/>
          <w:color w:val="000000"/>
        </w:rPr>
        <w:t>currently evaluating the impact of this guidance on our consolidated financial statements and related disclosures.</w:t>
      </w:r>
    </w:p>
    <w:p>
      <w:pPr>
        <w:spacing w:after="0" w:line="16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(Topic 230). This FASB clarifies the presentation and classification of certain cash receipts and cash payments in the statements of cash flows. The amendments are effective for fiscal years and interim periods within those years beginning after December 15, 2017. Early adoption is permitted. We are currently evaluating the impact of this guidance on our consolidated financial statements and related disclosures.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xml:space="preserve"> </w:t>
      </w:r>
      <w:r>
        <w:rPr>
          <w:rFonts w:ascii="Arial" w:cs="Arial" w:eastAsia="Arial" w:hAnsi="Arial"/>
          <w:sz w:val="18"/>
          <w:szCs w:val="18"/>
          <w:color w:val="252525"/>
        </w:rPr>
        <w:t>which provides guidance to address the classification</w:t>
      </w:r>
      <w:r>
        <w:rPr>
          <w:rFonts w:ascii="Arial" w:cs="Arial" w:eastAsia="Arial" w:hAnsi="Arial"/>
          <w:sz w:val="18"/>
          <w:szCs w:val="18"/>
          <w:color w:val="auto"/>
        </w:rPr>
        <w:t xml:space="preserve"> </w:t>
      </w:r>
      <w:r>
        <w:rPr>
          <w:rFonts w:ascii="Arial" w:cs="Arial" w:eastAsia="Arial" w:hAnsi="Arial"/>
          <w:sz w:val="18"/>
          <w:szCs w:val="18"/>
          <w:color w:val="252525"/>
        </w:rPr>
        <w:t>and presentation of changes in restricted cash in the statements of cash flows</w:t>
      </w:r>
      <w:r>
        <w:rPr>
          <w:rFonts w:ascii="Arial" w:cs="Arial" w:eastAsia="Arial" w:hAnsi="Arial"/>
          <w:sz w:val="18"/>
          <w:szCs w:val="18"/>
          <w:color w:val="000000"/>
        </w:rPr>
        <w:t>. The amendments are effective for fiscal years and interim periods within those</w:t>
      </w:r>
      <w:r>
        <w:rPr>
          <w:rFonts w:ascii="Arial" w:cs="Arial" w:eastAsia="Arial" w:hAnsi="Arial"/>
          <w:sz w:val="18"/>
          <w:szCs w:val="18"/>
          <w:color w:val="252525"/>
        </w:rPr>
        <w:t xml:space="preserve"> </w:t>
      </w:r>
      <w:r>
        <w:rPr>
          <w:rFonts w:ascii="Arial" w:cs="Arial" w:eastAsia="Arial" w:hAnsi="Arial"/>
          <w:sz w:val="18"/>
          <w:szCs w:val="18"/>
          <w:color w:val="000000"/>
        </w:rPr>
        <w:t>years beginning after December 15, 2017 on a retrospective basis, and early adoption is permitted. We are currently evaluating the impact of this guidance on our consolidated financial statements and related disclosures.</w:t>
      </w:r>
    </w:p>
    <w:p>
      <w:pPr>
        <w:spacing w:after="0" w:line="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to clarify the definition of a business when evaluating whether transactions should be accounted for as acquisitions of assets or businesses. The amendments are effective for fiscal years and interim periods within those years beginning after December 15, 2017 on a retrospective basis, and early adoption is permitted. We are currently evaluating the impact of this guidance on our consolidated financial statements and related disclosures.</w:t>
      </w:r>
    </w:p>
    <w:p>
      <w:pPr>
        <w:spacing w:after="0" w:line="3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to simplify the subsequent measurement of goodwill by eliminating step two from the goodwill impairment test. Under the amendments, an entity will recognize an impairment charge for the amount by which the carrying value exceeds the fair value. The amendments are effective for fiscal years and interim periods within those years beginning after December 15, 2019 on a prospective basis, and early adoption is permitted. We are currently evaluating the impact of this guidance on our consolidated financial statements and related disclosures.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52525"/>
        </w:rPr>
        <w:t>In May 2017, the FASB issued ASU 2017-09, "</w:t>
      </w:r>
      <w:r>
        <w:rPr>
          <w:rFonts w:ascii="Arial" w:cs="Arial" w:eastAsia="Arial" w:hAnsi="Arial"/>
          <w:sz w:val="18"/>
          <w:szCs w:val="18"/>
          <w:i w:val="1"/>
          <w:iCs w:val="1"/>
          <w:color w:val="252525"/>
        </w:rPr>
        <w:t>Compensation</w:t>
      </w:r>
      <w:r>
        <w:rPr>
          <w:rFonts w:ascii="Arial" w:cs="Arial" w:eastAsia="Arial" w:hAnsi="Arial"/>
          <w:sz w:val="18"/>
          <w:szCs w:val="18"/>
          <w:i w:val="1"/>
          <w:iCs w:val="1"/>
          <w:color w:val="000000"/>
        </w:rPr>
        <w:t>—</w:t>
      </w:r>
      <w:r>
        <w:rPr>
          <w:rFonts w:ascii="Arial" w:cs="Arial" w:eastAsia="Arial" w:hAnsi="Arial"/>
          <w:sz w:val="18"/>
          <w:szCs w:val="18"/>
          <w:i w:val="1"/>
          <w:iCs w:val="1"/>
          <w:color w:val="252525"/>
        </w:rPr>
        <w:t>Stock Compensation (Topic 718): Scope of Modification Accounting,"</w:t>
      </w:r>
      <w:r>
        <w:rPr>
          <w:rFonts w:ascii="Arial" w:cs="Arial" w:eastAsia="Arial" w:hAnsi="Arial"/>
          <w:sz w:val="18"/>
          <w:szCs w:val="18"/>
          <w:color w:val="252525"/>
        </w:rPr>
        <w:t xml:space="preserve"> to clarify when to account for a change to the terms or conditions of a share-based payment award as a modification. </w:t>
      </w:r>
      <w:r>
        <w:rPr>
          <w:rFonts w:ascii="Arial" w:cs="Arial" w:eastAsia="Arial" w:hAnsi="Arial"/>
          <w:sz w:val="18"/>
          <w:szCs w:val="18"/>
          <w:color w:val="000000"/>
        </w:rPr>
        <w:t>The amendments are effective for fiscal years and interim</w:t>
      </w:r>
      <w:r>
        <w:rPr>
          <w:rFonts w:ascii="Arial" w:cs="Arial" w:eastAsia="Arial" w:hAnsi="Arial"/>
          <w:sz w:val="18"/>
          <w:szCs w:val="18"/>
          <w:color w:val="252525"/>
        </w:rPr>
        <w:t xml:space="preserve"> </w:t>
      </w:r>
      <w:r>
        <w:rPr>
          <w:rFonts w:ascii="Arial" w:cs="Arial" w:eastAsia="Arial" w:hAnsi="Arial"/>
          <w:sz w:val="18"/>
          <w:szCs w:val="18"/>
          <w:color w:val="000000"/>
        </w:rPr>
        <w:t>periods within those years beginning after December 15, 2017 on a prospective basis, and early adoption is permitted. We are currently evaluating the impact of this guidance on our consolidated financial statements and related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2017 and December 31, 2016, the estimated fair value of our short-term and long-term marketable securities, classified as available for sale, are as follows (in thousands):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2017</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32,965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32,965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146,853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146,777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government agency bonds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6,763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48,211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5,791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marketable securities, short-term</w:t>
            </w:r>
          </w:p>
        </w:tc>
        <w:tc>
          <w:tcPr>
            <w:tcW w:w="20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243,919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243,786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Long-term</w:t>
            </w: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2017</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57,558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57,587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marketable securities, long-term</w:t>
            </w:r>
          </w:p>
        </w:tc>
        <w:tc>
          <w:tcPr>
            <w:tcW w:w="184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74,603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74,619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20" w:type="dxa"/>
            <w:vAlign w:val="bottom"/>
            <w:vMerge w:val="restart"/>
          </w:tcPr>
          <w:p>
            <w:pPr>
              <w:jc w:val="right"/>
              <w:ind w:right="1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42,397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42,391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122,788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122,689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28,903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28,908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45,146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45,146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marketable securities, short-term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251,086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250,981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Long-term</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40,889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40,812</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12,016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12,005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59,887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59,783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91"/>
        <w:spacing w:after="0" w:line="302" w:lineRule="auto"/>
        <w:rPr>
          <w:sz w:val="20"/>
          <w:szCs w:val="20"/>
          <w:color w:val="auto"/>
        </w:rPr>
      </w:pPr>
      <w:r>
        <w:rPr>
          <w:rFonts w:ascii="Arial" w:cs="Arial" w:eastAsia="Arial" w:hAnsi="Arial"/>
          <w:sz w:val="16"/>
          <w:szCs w:val="16"/>
          <w:color w:val="auto"/>
        </w:rPr>
        <w:t>Cash equivalents are not included in the table above as the gross unrealized gains and losses are not material. We have no short-term or long-term investments that have been in a continuous material unrealized loss position for greater than twelve months as of June 30, 2017 and December 31, 2016. Amounts reclassified to earnings from accumulated other comprehensive income (loss), net related to unrealized gains or losses were not material for the three and six months ended June 30, 2017 and 2016. For the three and six months ended June 30, 2017 and 2016, realized gains or losses were not material.</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fixed-income securities investment portfolio consists of investments that have a maximum effective maturity of 27 months.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8 months and 7 months as of June 30, 2017 and December 31, 2016, respectively.</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June 30, 2017 and December 31, 2016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2017</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243,786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250,981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Due in greater than one year</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74,619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59,783</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for sale short-term and long-term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318,405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310,764</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measure the fair value of financial assets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(unadjusted) prices in active markets for identical assets or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Level 1 assets consist of money market funds and U.S. government treasury bonds. We did not hold any Level 1 liabilities as of June 30, 2017 and December 31, 2016.</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Level 2 assets consist of commercial paper, corporate bonds, municipal securities, certificates of deposit, U.S. government agency bonds and our Israeli funds that are mainly invested in insurance policies. We obtain fair values for our Level 2 investments.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 We did not hold any Level 2 liabilities as of June 30, 2017 and December 31, 2016.</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to the valuation methodology that are supported by little or no market activity and that are significant to the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 Certain investments in private companies contain embedded derivatives, which do not require bifurcation as we elected to measure these investments at fair value. Our Level 3 assets consist of long-term notes receivable. We did not hold any Level 3 liabilities as of June 30, 2017 and December 31, 2016.</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reconciliation of assets measured and recorded at fair value on a recurring basis using significant unobservable inputs Level 3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Long-term Notes</w:t>
            </w:r>
          </w:p>
        </w:tc>
      </w:tr>
      <w:tr>
        <w:trPr>
          <w:trHeight w:val="192"/>
        </w:trPr>
        <w:tc>
          <w:tcPr>
            <w:tcW w:w="9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Receivable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Additional note receivable issued</w:t>
            </w: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2,000</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Change in fair value recognized in earnings (losses)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9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4,063</w:t>
            </w: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summarize our financial assets measured at fair value on a recurring basis as of June 30, 2017 and December 31, 2016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140" w:type="dxa"/>
            <w:vAlign w:val="bottom"/>
          </w:tcPr>
          <w:p>
            <w:pPr>
              <w:spacing w:after="0"/>
              <w:rPr>
                <w:sz w:val="14"/>
                <w:szCs w:val="14"/>
                <w:color w:val="auto"/>
              </w:rPr>
            </w:pPr>
          </w:p>
        </w:tc>
        <w:tc>
          <w:tcPr>
            <w:tcW w:w="13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Balance as of</w:t>
            </w: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140" w:type="dxa"/>
            <w:vAlign w:val="bottom"/>
          </w:tcPr>
          <w:p>
            <w:pPr>
              <w:spacing w:after="0"/>
              <w:rPr>
                <w:sz w:val="12"/>
                <w:szCs w:val="12"/>
                <w:color w:val="auto"/>
              </w:rPr>
            </w:pPr>
          </w:p>
        </w:tc>
        <w:tc>
          <w:tcPr>
            <w:tcW w:w="13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199,302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199,302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3,381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U.S. government agency bonds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4,989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32,965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32,965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Municipal securities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agency bonds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U.S. government treasury bonds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48,211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48,211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agency bonds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57,587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57,587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Israeli funds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Long-term notes receivable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4,063</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562,828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257,507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301,258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4,063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9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4"/>
                <w:szCs w:val="14"/>
                <w:color w:val="auto"/>
              </w:rPr>
            </w:pPr>
          </w:p>
        </w:tc>
        <w:tc>
          <w:tcPr>
            <w:tcW w:w="13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Balance as of</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Active Markets for</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120" w:type="dxa"/>
            <w:vAlign w:val="bottom"/>
          </w:tcPr>
          <w:p>
            <w:pPr>
              <w:spacing w:after="0"/>
              <w:rPr>
                <w:sz w:val="12"/>
                <w:szCs w:val="12"/>
                <w:color w:val="auto"/>
              </w:rPr>
            </w:pPr>
          </w:p>
        </w:tc>
        <w:tc>
          <w:tcPr>
            <w:tcW w:w="13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December 31, 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87,179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87,179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42,391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42,391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Municipal securities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5,847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5,847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agency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U.S. government treasury bonds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45,146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45,146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U.S. government agency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40,812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40,812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U.S. government treasury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Israeli funds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Long-term notes receivable</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406,195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144,330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259,818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in the past and may in the future enter into foreign currency forward contracts to minimize the short-term impact of foreign currency exchange rate fluctuations associated with certain assets and liabilities. We had no foreign exchange forward contracts outstanding as of June 30, 2017 and no net gain or loss from the settlement of foreign currency forward contracts during the three and six months ended June 30, 2017. The net gain or loss on forward contracts was not material during the three and six months ended June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Balance Sheet Components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52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9,793</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13,848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9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6,565</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49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35,133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27,131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4900" w:type="dxa"/>
            <w:vAlign w:val="bottom"/>
            <w:vMerge w:val="restart"/>
          </w:tcPr>
          <w:p>
            <w:pPr>
              <w:jc w:val="right"/>
              <w:ind w:right="2450"/>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9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4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79,214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and marketing expenses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15,402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11,970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rebate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tax and value added tax</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5,032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7,003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4,210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27,917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16,119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158,838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134,332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review the accrued balances and update these balances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Warranty accrual as of June 30, 2017 and 2016 consists of the following activity (in thousands):</w:t>
      </w:r>
    </w:p>
    <w:p>
      <w:pPr>
        <w:spacing w:after="0" w:line="16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12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3,841</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2,638</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Charged to cost of revenues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Actual warranty expenditures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(2,503)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(1,801)</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Equity Method Investments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July 25, 2016, we acquired a 17% equity interest, on a fully diluted basis, in SmileDirectClub, LLC (“SDC”) for $46.7 million. The investment is accounted for under an equity method investment and the investee, SDC, is considered a related party. The investment is reported in our Condensed Consolidated Balance Sheet under equity method investments, and we recorded our proportional share of SDC's losses within equity in losses of investee, net of tax, in our Condensed Consolidated Statement of Operations. As of June 30, 2017, the balance of our equity method investments was $41.7 million.</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24, 2017, we purchased an additional 2% equity interest in SDC for $12.8 million. As a result of this purchase, we now hold a 19% equity interest in SDC on a fully diluted basis.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Concurrently with the investment on July 25, 2016, we also entered into a supply agreement with SDC to manufacture clear aligners for SDC's doctor-led, at-home program for simple teeth straightening. The term of the supply agreement expires on December 31, 2019. We commenced supplying aligners to SDC in October 2016. The sale of aligners to SDC and the income from the supply agreement are reported in our Clear Aligner business segment after eliminating outstanding intercompany transactions (</w:t>
      </w:r>
      <w:r>
        <w:rPr>
          <w:rFonts w:ascii="Arial" w:cs="Arial" w:eastAsia="Arial" w:hAnsi="Arial"/>
          <w:sz w:val="18"/>
          <w:szCs w:val="18"/>
          <w:i w:val="1"/>
          <w:iCs w:val="1"/>
          <w:color w:val="auto"/>
        </w:rPr>
        <w:t>Refer to Note 9 "Commitments and Contingencies" of the Notes to Condensed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for information on the Loan and Security Agreement with SDC).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first quarter of 2017, we completed the acquisitions of certain of our distributors for the total estimated cash consideration of approximately $9.5 million including cash acquired. We preliminarily recorded $1.9 million of net tangible liabilities, $8.2 million of identifiable intangible assets and $3.2 million of goodwill. The preliminary fair values of net tangible liabilities and identifiable intangible assets acquired are based on preliminary valuations, and our estimates and assumptions are subject to change within the measurement period (up to one year from the acquisition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goodwill is primarily related to the benefit we expect to obtain from direct sales as we believe that the transition from our distributor arrangements to a direct sales model will increase our net revenues in the region as we will experience higher average sales prices (“ASP”) compared to our discounted ASP under the distribution agreements. The goodwill is not deductible for tax purposes.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 forma results of operations for these acquisitions have not been presented as they are not material to our results of operations, either individually or in aggregate, for the three and six months ended June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the carrying value of goodwill for the six months ended June 30, 2017, all attributable to our Clear Aligner reporting unit,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61,044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Goodwill from distributor acquisitions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3,247</w:t>
            </w:r>
          </w:p>
        </w:tc>
      </w:tr>
      <w:tr>
        <w:trPr>
          <w:trHeight w:val="27"/>
        </w:trPr>
        <w:tc>
          <w:tcPr>
            <w:tcW w:w="9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Balance as of June 30, 2017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64,525</w:t>
            </w:r>
          </w:p>
        </w:tc>
      </w:tr>
      <w:tr>
        <w:trPr>
          <w:trHeight w:val="27"/>
        </w:trPr>
        <w:tc>
          <w:tcPr>
            <w:tcW w:w="9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0" w:hanging="72"/>
        <w:spacing w:after="0"/>
        <w:tabs>
          <w:tab w:leader="none" w:pos="80"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The adjustments to goodwill during the period were related to foreign currency translation and purchase accounting adjustments within the measurement period.</w:t>
      </w:r>
    </w:p>
    <w:p>
      <w:pPr>
        <w:spacing w:after="0" w:line="19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fourth quarter of fiscal 2016, we performed the annual goodwill impairment testing and found no impairment as the fair value of our Clear Aligner reporting unit was significantly in excess of the carrying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Long-Lived Assets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long-lived assets are being amortized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2017</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Impairment Loss</w:t>
            </w:r>
          </w:p>
        </w:tc>
        <w:tc>
          <w:tcPr>
            <w:tcW w:w="180" w:type="dxa"/>
            <w:vAlign w:val="bottom"/>
          </w:tcPr>
          <w:p>
            <w:pPr>
              <w:spacing w:after="0"/>
              <w:rPr>
                <w:sz w:val="16"/>
                <w:szCs w:val="16"/>
                <w:color w:val="auto"/>
              </w:rPr>
            </w:pPr>
          </w:p>
        </w:tc>
        <w:tc>
          <w:tcPr>
            <w:tcW w:w="142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8,999</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Reacquired rights</w:t>
            </w:r>
            <w:r>
              <w:rPr>
                <w:rFonts w:ascii="Arial" w:cs="Arial" w:eastAsia="Arial" w:hAnsi="Arial"/>
                <w:sz w:val="21"/>
                <w:szCs w:val="21"/>
                <w:color w:val="auto"/>
                <w:vertAlign w:val="superscript"/>
              </w:rPr>
              <w:t>1</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67,634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26,783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0" w:type="dxa"/>
            <w:vAlign w:val="bottom"/>
          </w:tcPr>
          <w:p>
            <w:pPr>
              <w:spacing w:after="0"/>
              <w:rPr>
                <w:sz w:val="23"/>
                <w:szCs w:val="23"/>
                <w:color w:val="auto"/>
              </w:rPr>
            </w:pPr>
          </w:p>
        </w:tc>
        <w:tc>
          <w:tcPr>
            <w:tcW w:w="128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Amount as of</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Impairment Loss</w:t>
            </w:r>
          </w:p>
        </w:tc>
        <w:tc>
          <w:tcPr>
            <w:tcW w:w="180" w:type="dxa"/>
            <w:vAlign w:val="bottom"/>
          </w:tcPr>
          <w:p>
            <w:pPr>
              <w:spacing w:after="0"/>
              <w:rPr>
                <w:sz w:val="16"/>
                <w:szCs w:val="16"/>
                <w:color w:val="auto"/>
              </w:rPr>
            </w:pPr>
          </w:p>
        </w:tc>
        <w:tc>
          <w:tcPr>
            <w:tcW w:w="142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Patents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6,316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59,516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20,954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8"/>
        <w:spacing w:after="0" w:line="252" w:lineRule="auto"/>
        <w:tabs>
          <w:tab w:leader="none" w:pos="81"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The fair value of reacquired rights obtained from distributor acquisitions during the the first quarter of fiscal year 2017 is valued using the income approach. In addition, we effectively settled the pre-existing relationship with the distributors by assessing whether the distributor agreements include favorable or unfavorable terms compared to current market rates. Based on the assessment, we determined that the distributor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agreements had terms that are consistent with market rates and, therefore, no settlement gains or losses are recorded associated with the acquisitions during the first quarter of fiscal year 2017.</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June 30, 2017 is as follows (in thousands):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Remainder of 2017</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3,543</w:t>
            </w:r>
          </w:p>
        </w:tc>
      </w:tr>
      <w:tr>
        <w:trPr>
          <w:trHeight w:val="243"/>
        </w:trPr>
        <w:tc>
          <w:tcPr>
            <w:tcW w:w="9820" w:type="dxa"/>
            <w:vAlign w:val="bottom"/>
          </w:tcPr>
          <w:p>
            <w:pPr>
              <w:jc w:val="right"/>
              <w:ind w:right="9010"/>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6,002</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jc w:val="right"/>
              <w:ind w:right="9010"/>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5,887</w:t>
            </w:r>
          </w:p>
        </w:tc>
      </w:tr>
      <w:tr>
        <w:trPr>
          <w:trHeight w:val="243"/>
        </w:trPr>
        <w:tc>
          <w:tcPr>
            <w:tcW w:w="9820" w:type="dxa"/>
            <w:vAlign w:val="bottom"/>
          </w:tcPr>
          <w:p>
            <w:pPr>
              <w:jc w:val="right"/>
              <w:ind w:right="901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3,772</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jc w:val="right"/>
              <w:ind w:right="901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3,349</w:t>
            </w:r>
          </w:p>
        </w:tc>
      </w:tr>
      <w:tr>
        <w:trPr>
          <w:trHeight w:val="243"/>
        </w:trPr>
        <w:tc>
          <w:tcPr>
            <w:tcW w:w="9820" w:type="dxa"/>
            <w:vAlign w:val="bottom"/>
          </w:tcPr>
          <w:p>
            <w:pPr>
              <w:ind w:left="38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4,230</w:t>
            </w: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26,783</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for the six months ended June 30, 2017 was $3.2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Facilities</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credit facility provides for a $50.0 million revolving line of credit with a $10.0 million letter of credit sublimit. The credit facility requires us to comply with specific financial conditions and performance requirements. On February 10, 2017, we amended the credit facility and extended the maturity date to March 22, 2018. The loans bear interest, at our option, at a fluctuating rate per annum equal to the daily one-month adjusted LIBOR rate plus a spread of 1.75% or an adjusted LIBOR rate (based on one, three, six or twelve-month interest periods) plus a spread of 1.75%. As of June 30, 2017, we had no outstanding borrowings under this credit facility and were in compliance with the conditions and performance requirements. On July 24, 2017, we amended the credit facility's negative covenants to allow for 1) the Costa Rica Building Purchase; 2) the SDC Additional Equity Interest; and 3) the SDC Loan Amendment (</w:t>
      </w:r>
      <w:r>
        <w:rPr>
          <w:rFonts w:ascii="Arial" w:cs="Arial" w:eastAsia="Arial" w:hAnsi="Arial"/>
          <w:sz w:val="17"/>
          <w:szCs w:val="17"/>
          <w:i w:val="1"/>
          <w:iCs w:val="1"/>
          <w:color w:val="auto"/>
        </w:rPr>
        <w:t>Refer to Note 9 "Equity Method Investments" of the Notes to Condensed Consolidated Financial Statements</w:t>
      </w:r>
      <w:r>
        <w:rPr>
          <w:rFonts w:ascii="Arial" w:cs="Arial" w:eastAsia="Arial" w:hAnsi="Arial"/>
          <w:sz w:val="17"/>
          <w:szCs w:val="17"/>
          <w:color w:val="auto"/>
        </w:rPr>
        <w:t xml:space="preserve"> for information on the SDC Additional Equity Interest and </w:t>
      </w:r>
      <w:r>
        <w:rPr>
          <w:rFonts w:ascii="Arial" w:cs="Arial" w:eastAsia="Arial" w:hAnsi="Arial"/>
          <w:sz w:val="17"/>
          <w:szCs w:val="17"/>
          <w:i w:val="1"/>
          <w:iCs w:val="1"/>
          <w:color w:val="auto"/>
        </w:rPr>
        <w:t>Refer to Note 9 "Commitments and Contingencies" of the Notes to Condensed Consolidated Financial Statements</w:t>
      </w:r>
      <w:r>
        <w:rPr>
          <w:rFonts w:ascii="Arial" w:cs="Arial" w:eastAsia="Arial" w:hAnsi="Arial"/>
          <w:sz w:val="17"/>
          <w:szCs w:val="17"/>
          <w:color w:val="auto"/>
        </w:rPr>
        <w:t xml:space="preserve"> for information on the Costa Rica Building Purchase and SDC Loan Amendment).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Briefing for the appeal was completed in May 2015 and the Ninth Circuit held oral arguments in October 2016. On May 5, 2017, the Ninth Circuit affirmed the district court's dismissal of the complaint. Plaintiff filed a request for rehearing that was denied by the Ninth Circuit on June 14, 2017. Plaintiff has 90 days following the June 14 Order to file a petition for a writ of certiorari with the United States Supreme Court. Align intends to continue to vigorously defend itself against these allegations. Align is currently unable to predict whether the Plaintiff will file for a writ of certiorari and therefore cannot determine the likelihood of loss nor estimate a range of possible loss, if 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On June 28, 2017, the Court entered an Order dismissing this action with prejudice pursuant to a joint stipulation between the parties.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2017, minimum future lease payments for non-cancelable operating leases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Remainder of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7,638</w:t>
            </w:r>
          </w:p>
        </w:tc>
      </w:tr>
      <w:tr>
        <w:trPr>
          <w:trHeight w:val="243"/>
        </w:trPr>
        <w:tc>
          <w:tcPr>
            <w:tcW w:w="9660" w:type="dxa"/>
            <w:vAlign w:val="bottom"/>
          </w:tcPr>
          <w:p>
            <w:pPr>
              <w:ind w:left="38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12,479</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10,217</w:t>
            </w:r>
          </w:p>
        </w:tc>
      </w:tr>
      <w:tr>
        <w:trPr>
          <w:trHeight w:val="243"/>
        </w:trPr>
        <w:tc>
          <w:tcPr>
            <w:tcW w:w="9660" w:type="dxa"/>
            <w:vAlign w:val="bottom"/>
          </w:tcPr>
          <w:p>
            <w:pPr>
              <w:ind w:left="38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7,769</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6,703</w:t>
            </w:r>
          </w:p>
        </w:tc>
      </w:tr>
      <w:tr>
        <w:trPr>
          <w:trHeight w:val="243"/>
        </w:trPr>
        <w:tc>
          <w:tcPr>
            <w:tcW w:w="9780" w:type="dxa"/>
            <w:vAlign w:val="bottom"/>
            <w:gridSpan w:val="2"/>
          </w:tcPr>
          <w:p>
            <w:pPr>
              <w:ind w:left="38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9,274</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minimum future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54,080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July 25, 2016, we entered into a Loan and Security Agreement (the "Loan Agreement") with SmileDirectClub, LLC ("SDC") where we agreed to provide a loan of up to $15.0 million in one or more advances to SDC (the "Loan Facility"). On July 24, 2017, we amended the Loan Agreement with SDC to increase the line of credit up to $30.0 million. Available advances under the Loan Facility are subject to a borrowing base of 80% of SDC's eligible accounts receivable, determined in accordance with the terms of the Loan Agreement, and the satisfaction of other customary conditions. The advances bear interest, paid quarterly, at the rate of 7% per annum. Advances that are repaid or prepaid may be reborrowed. All outstanding principal and accrued and unpaid interest on the advances are due and payable on July 25, 2021. SDC's obligations in respect of the Loan Agreement are collateralized by a security interest in substantially all of SDC's assets. As of June 30, 2017, $15.0 million of advances under the Loan Facility were issued and outstanding (</w:t>
      </w:r>
      <w:r>
        <w:rPr>
          <w:rFonts w:ascii="Arial" w:cs="Arial" w:eastAsia="Arial" w:hAnsi="Arial"/>
          <w:sz w:val="16"/>
          <w:szCs w:val="16"/>
          <w:i w:val="1"/>
          <w:iCs w:val="1"/>
          <w:color w:val="auto"/>
        </w:rPr>
        <w:t>Refer to Note 4 "Equity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Method Investments" of the Notes to Condensed Consolidated Financial Statements </w:t>
      </w:r>
      <w:r>
        <w:rPr>
          <w:rFonts w:ascii="Arial" w:cs="Arial" w:eastAsia="Arial" w:hAnsi="Arial"/>
          <w:sz w:val="16"/>
          <w:szCs w:val="16"/>
          <w:color w:val="auto"/>
        </w:rPr>
        <w:t>for more information on our investments in SDC).</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entered into certain investments with a privately held company where we have committed to purchase up to $5.0 million in convertible promissory notes. The first convertible promissory note was issued on July 14, 2016 for $2.0 million and a second convertible promissory note was issued on June 5, 2017 for $2.0 million. Both notes are outstanding as of June 30, 2017. The remaining $1.0 million available is conditioned upon achievement of various business milestones. The notes all mature on December 30, 2018 and accrue interest annually at 2.5%.</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June 30, 2017, we entered into a non-cancelable Addendum to the Master Subscription Agreement with a software company to renew our software license subscription for the total price of $50.0 million over the next three years starting on January 1, 2018.</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24, 2017, we entered into a Purchase and Sale Agreement (the "Purchase Agreement") with Belen Business Center CR, S.A. ("Seller") to purchase the building located in the Republic of Costa Rica (the "Property") for a purchase price of $26.1 million. On July 28, 2017, $5.2 million was deposited into escrow. We have a right to inspect the Property until August 15, 2017 ("Due Diligence Period") and if we decide to terminate the Purchase Agreement during the Due Diligence Period, the deposit will be refunded to us in full.</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2017, we had no off-balance sheet arrangements that have, or are reasonably likely to have, a current or future material effect on our consolidated financial condition, results of operations, liquidity, capital expenditures or capital resources.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June 30, 2017,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2017, the 2005 Incentive Plan (as amended) has a total reserve of 27,783,379 shares of which 6,937,078 shares are available for issuance.</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three and six months ended June 30, 2017 and 2016 is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70"/>
        </w:trPr>
        <w:tc>
          <w:tcPr>
            <w:tcW w:w="60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1,893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11,218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20,677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2,259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3,653</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14,245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29,057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26,223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not granted options since 2011 and all outstanding options were fully vested and associated stock-based compensation expenses were recognized as of December 31, 2015. Activity for the six months ended June 30, 2017 under the stock option plans is set forth below (in thousands, except years and per share amounts):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 Average</w:t>
            </w:r>
          </w:p>
        </w:tc>
        <w:tc>
          <w:tcPr>
            <w:tcW w:w="280" w:type="dxa"/>
            <w:vAlign w:val="bottom"/>
          </w:tcPr>
          <w:p>
            <w:pPr>
              <w:spacing w:after="0"/>
              <w:rPr>
                <w:sz w:val="14"/>
                <w:szCs w:val="14"/>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Contractual Term (in</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 per Share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Years)</w:t>
            </w:r>
          </w:p>
        </w:tc>
        <w:tc>
          <w:tcPr>
            <w:tcW w:w="28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2016</w:t>
            </w:r>
          </w:p>
        </w:tc>
        <w:tc>
          <w:tcPr>
            <w:tcW w:w="17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Cancelled or expired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Outstanding as of June 30, 2017</w:t>
            </w:r>
          </w:p>
        </w:tc>
        <w:tc>
          <w:tcPr>
            <w:tcW w:w="17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16,049</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Vested and expected to vest at June 30, 2017</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16,049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June 30, 2017</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740" w:type="dxa"/>
            <w:vAlign w:val="bottom"/>
          </w:tcPr>
          <w:p>
            <w:pPr>
              <w:jc w:val="right"/>
              <w:ind w:right="36"/>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16,049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nonvested RSUs is based on our closing stock price on the date of grant. A summary for the six months ended June 30, 2017 is as follows (in thousands, except years and per share amounts):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28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72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Vesting</w:t>
            </w:r>
          </w:p>
        </w:tc>
        <w:tc>
          <w:tcPr>
            <w:tcW w:w="300" w:type="dxa"/>
            <w:vAlign w:val="bottom"/>
          </w:tcPr>
          <w:p>
            <w:pPr>
              <w:spacing w:after="0"/>
              <w:rPr>
                <w:sz w:val="12"/>
                <w:szCs w:val="12"/>
                <w:color w:val="auto"/>
              </w:rPr>
            </w:pPr>
          </w:p>
        </w:tc>
        <w:tc>
          <w:tcPr>
            <w:tcW w:w="12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Underlying RSUs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2016</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1,789</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106.12</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64.34</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June 30, 2017</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75.37</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210,814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2017, we expect to recognize $82.5 million of total unamortized compensation cost, net of estimated forfeitures, related to RSUs over a weighted average period of 2.5 years.</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an annual basis, we grant market-performance based restricted stock units (“MSUs”) to our executive officers. Each MSU represents the right to one share of Align’s common stock. The actual number of MSUs which will be eligible to vest will be based on the performance of Align’s stock price relative to the performance of the NASDAQ Composite Index over the vesting period, generally two to three years, up to 200% of the MSUs initially granted.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MSU performance for the six months ended June 30, 2017 (in thousands, except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280" w:type="dxa"/>
            <w:vAlign w:val="bottom"/>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Underlying MSUs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Vesting Period (in years)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2016</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520</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88.80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64.50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June 30, 2017</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78.53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64,266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2017, we expect to recognize $17.1 million of total unamortized compensation cost, net of estimated forfeitures, related to MSUs over a weighted average period of 1.5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2010, our shareholders approved the 2010 Employee Stock Purchase Plan ("2010 Purchase Plan") which will continue until terminated by either the Board of Directors or its administrator. The maximum number of shares available for purchase under the 2010 Purchase Plan is 2,400,000 shares. As of June 30, 2017, 821,770 shares remain available for future issuance.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option component of the 2010 Purchase Plan shares was estimated at the grant date using the Black-Scholes option pricing model with the following weighted average assumptions: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88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26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CCEEFF"/>
            </w:tcBorders>
            <w:shd w:val="clear" w:color="auto" w:fill="CCEEFF"/>
          </w:tcPr>
          <w:p>
            <w:pPr>
              <w:spacing w:after="0"/>
              <w:rPr>
                <w:sz w:val="23"/>
                <w:szCs w:val="23"/>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02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0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26.09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1"/>
                <w:szCs w:val="2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2017, there was $2.8 million of total unamortized compensation costs related to employee stock purchases which we expect to be recognized over a weighted average period of 0.7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 Repurchase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April 2014 Repurchase Program</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2014, we announced that our Board of Directors had authorized a stock repurchase program ("April 2014 Repurchase Plan") pursuant to which we may purchase up to $300.0 million of our common stock over the next three years.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2017, we repurchased on the open market approximately 0.04 million shares of our common stock at an average price of $96.37 per share, including commission for an aggregate purchase price of approximately $3.8 million. All repurchased shares were retired. As of March 31, 2017, the April 2014 Repurchase Program was completed.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April 2016 Repurchase Program</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2016, we announced that our Board of Directors had authorized an additional plan to repurchase up to $300.0 million of the Company's stock ("April 2016 Repurchase Program").</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2, 2017, we entered into an accelerated share repurchase ("ASR") to repurchase $50.0 million of our common stock ("2017 ASR"). We paid $50.0 million on May 3, 2017 and received an initial delivery of approximately 0.3 million shares based on current market price of $134.12, which were retired. The remaining $15.0 million was recorded as an equity forward contract and was included in additional paid-in capital in stockholders' equity in the Condensed Consolidated Balance Sheet as of June 30, 2017. The $15.0 million equity forward contract will be settled at the completion of the ASR in August 2017. The final number of shares to be repurchased will be based on our volume-weighted average stock price under the terms of the 2017 ASR, less an agreed upon discount.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Accounting for Income Taxes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provision for income taxes was $15.4 million and $15.1 million for the three months ended June 30, 2017 and 2016, respectively, representing effective tax rates of 17.7% and 23.2%, respectively. For the three months ended June 30, 2017, our effective tax rate differs from the statutory federal income tax rate of 35% mainly as a result of certain foreign earnings, primarily from the Netherlands and Costa Rica, being taxed at lower tax rates. For the three months ended June 30, 2016, our effective tax rate differs from the statutory federal income tax rate of 35% due to certain foreign earnings, primarily from Costa Rica, which are subject to a lower tax rate, state income tax expense, the tax impact of certain stock-based compensation charges and unrecognized tax benefits. The decrease in effective tax rate for the three months ended June 30, 2017 compared to the same period in 2016 is primarily attributable to a $2.5 million tax benefit from the favorable resolution of our unrecognized tax benefits in one of our foreign jurisdictions during the quarter ended June 30, 2017.</w:t>
      </w:r>
    </w:p>
    <w:p>
      <w:pPr>
        <w:spacing w:after="0" w:line="16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provision for income taxes was $8.2 million and $27.5 million for the six months ended June 30, 2017 and 2016, respectively, representing effective tax rates of 5.4% and 23.2%, respectively. For the six months ended June 30, 2017, our effective tax rate differs from the statutory federal income tax rate of 35% mainly as a result of certain foreign earnings, primarily from the Netherlands and Costa Rica, being taxed at lower tax rates and due to the recognition of excess tax benefits related to stock-based compensation in accordance with the adoption of ASU 2016-09. For the six months ended June 30, 2016, our effective tax rate differs from the statutory federal income tax rate of 35% due to certain foreign earnings, primarily from Costa Rica, which are subject to a lower tax rate, state income tax expense, the tax impact of certain stock-based compensation charges and unrecognized tax benefits. The decrease in effective tax rate for the six months ended June 30, 2017 compared to the same period in 2016 is primarily attributable to the adoption of ASU 2016-09 in the first quarter of fiscal year 2017, which requires excess tax benefits related to stock-based compensation to be recognized as a reduction of income tax expense.</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six months ended June 30, 2017, we recognized excess tax benefits of $1.1 million and $22.4 million, respectively, in our provision for income taxes.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total gross unrecognized tax benefits, excluding interest and penalties, was $45.6 million and $46.4 million as of June 30, 2017 and December 31, 2016, respectively, all of which would impact our effective tax rate if recognized. Our total interest and penalties accrued as of June 30, 2017 was $2.3 million. We have elected to recognize interest and penalties related to unrecognized tax benefits as a component of income taxes. We do not expect any significant changes to the amount of unrecognized tax benefit within the next twelve months.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file U.S. federal, U.S. state, and non-U.S. income tax returns. Our major tax jurisdictions include U.S. federal, the State of California and the Netherlands. For U.S. federal and state tax returns, we are no longer subject to tax examinations for years before 2000. With few exceptions, we are no longer subject to examination by foreign tax authorities for years before 2007. Our subsidiary in Israel is under audit by the local tax authorities for calendar years 2006 through 2013.</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 2016, we implemented a new international corporate structure. This changed the structure of our international procurement and sales operations, as well as realigned the ownership and use of intellectual property among our wholly-owned subsidiaries. We continue to anticipate that an increasing percentage of our consolidated pre-tax income will be derived from, and reinvested in our foreign operations. We believe that income taxed in certain foreign jurisdictions at a lower rate relative to the U.S. federal statutory rate will have a beneficial impact on our worldwide effective tax rate over time.</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June 2017, the Costa Rica Ministry of Foreign Trade, an agency of the Government of Costa Rica, granted an extension of certain income tax incentives for an additional twelve year period, which was originally granted in 2002 and was set to expire in June 2017. Under these incentives, all of the income in Costa Rica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2017 and 2016. For the three and six months ended June 30, 2017, the reduction in income taxes was minimal primarily due to the new international corporate structure implemented on July 1, 2016. For the three and six months ended June 30, 2016, income taxes were reduced by $8.6 million and $17.2 million representing a benefit to diluted net income per share of $0.11 and $0.21,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maintain sufficient cash reserves in the U.S. and do not intend to repatriate our foreign earnings which have not already been subject to U.S. income tax. As a result, income taxes have not been provided on these foreign earnings. If these earnings were distributed in the form of dividends or otherwise, or if the shares of the relevant foreign subsidiaries were sold or otherwise transferred, we would be subject to additional U.S. income taxes subject to an adjustment for foreign tax credits and foreign withholding taxes. We intend to use the undistributed earnings for local operating expansions and to meet local operating working capital needs. In addition, a significant amount of the cash earned by foreign subsidiaries is deployed to effect this international restructure.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per Share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RSU, MSU, stock options and our ESPP.</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69,179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50,148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138,599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90,694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80,188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79,951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79,891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shares, diluted</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81,631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81,281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81,668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81,440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 per share, 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per share,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six months ended June 30, 2017 and 2016, the anti-dilutive effect on net income per share from RSUs, MSUs, and ESPP was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 In the fourth quarter of 2016, management decided to change the way it internally assesses the performance of our reportable segments by including income from operations measure in the performance metrics. Income from operations for each segment includes all geographic revenues, related cost of net revenues and operating expenses directly attributable to the segment. Certain operating expenses are attributable to operating segments and each allocation is measured differently based on the specific facts and circumstances of the costs being allocated. Costs not specifically allocated to segment income from operations include various corporate expenses such as stock-based compensation and costs related to IT, facilities, human resources and accounting and finance, legal and regulatory, and other separately managed general and administrative costs outside the operating segments. We have included the new performance measure in the prior period presentation to conform to the current year's presentation.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grouped our operations into two reportable segments: Clear Aligner segment and Scanner segment.</w:t>
      </w:r>
    </w:p>
    <w:p>
      <w:pPr>
        <w:spacing w:after="0" w:line="225" w:lineRule="exact"/>
        <w:rPr>
          <w:sz w:val="20"/>
          <w:szCs w:val="20"/>
          <w:color w:val="auto"/>
        </w:rPr>
      </w:pPr>
    </w:p>
    <w:p>
      <w:pPr>
        <w:ind w:left="660" w:hanging="247"/>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Clear Aligner segment consists of Comprehensive Products, Non-Comprehensive Products and Non-Case revenues as defined below:</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hanging="239"/>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Comprehensive Products include our Invisalign Full, Teen and Assist products.</w:t>
      </w:r>
    </w:p>
    <w:p>
      <w:pPr>
        <w:spacing w:after="0" w:line="171" w:lineRule="exact"/>
        <w:rPr>
          <w:rFonts w:ascii="Arial" w:cs="Arial" w:eastAsia="Arial" w:hAnsi="Arial"/>
          <w:sz w:val="18"/>
          <w:szCs w:val="18"/>
          <w:color w:val="auto"/>
        </w:rPr>
      </w:pPr>
    </w:p>
    <w:p>
      <w:pPr>
        <w:jc w:val="both"/>
        <w:ind w:left="1300" w:hanging="239"/>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Non-Comprehensive Products include our Express/Lite products in addition to revenues from the sale of aligners to SmileDirectClub (“SDC”) under our supply agreement, which commenced in the fourth quarter of 2016. Revenue from SDC is recorded after eliminating outstanding intercompany transactions.</w:t>
      </w:r>
    </w:p>
    <w:p>
      <w:pPr>
        <w:spacing w:after="0" w:line="127" w:lineRule="exact"/>
        <w:rPr>
          <w:rFonts w:ascii="Arial" w:cs="Arial" w:eastAsia="Arial" w:hAnsi="Arial"/>
          <w:sz w:val="18"/>
          <w:szCs w:val="18"/>
          <w:color w:val="auto"/>
        </w:rPr>
      </w:pPr>
    </w:p>
    <w:p>
      <w:pPr>
        <w:ind w:left="1300" w:hanging="239"/>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Non-Case includes our Vivera retainers along with our training and ancillary products for treating malocclusion.</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6060" w:type="dxa"/>
            <w:vAlign w:val="bottom"/>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321,036</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243,436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603,435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463,134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63,388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44,948</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356,482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269,362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666,823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508,082</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2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250,814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191,326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470,761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363,393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22,450</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gross profit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270,917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205,216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506,542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385,843</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133,916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107,709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248,650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204,358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8,356</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(59,142)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(94,244)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income from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83,569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145,242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118,470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depreciation and amortization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8,876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5,093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16,743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reconciles total segment income from operations in the table above to net income before provision for income taxes and equity losses of investee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segment income from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142,711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114,523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263,449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212,714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(94,244)</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Total income from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83,569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65,136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145,242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118,470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3,212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57"/>
        </w:trPr>
        <w:tc>
          <w:tcPr>
            <w:tcW w:w="6060" w:type="dxa"/>
            <w:vAlign w:val="bottom"/>
          </w:tcPr>
          <w:p>
            <w:pPr>
              <w:ind w:left="280"/>
              <w:spacing w:after="0"/>
              <w:rPr>
                <w:sz w:val="20"/>
                <w:szCs w:val="20"/>
                <w:color w:val="auto"/>
              </w:rPr>
            </w:pPr>
            <w:r>
              <w:rPr>
                <w:rFonts w:ascii="Arial" w:cs="Arial" w:eastAsia="Arial" w:hAnsi="Arial"/>
                <w:sz w:val="18"/>
                <w:szCs w:val="18"/>
                <w:color w:val="auto"/>
                <w:w w:val="93"/>
              </w:rPr>
              <w:t>Net income before provision for income taxes and equity in losses of investee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86,781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65,261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150,099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118,168</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are presented below by geographic area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70"/>
        </w:trPr>
        <w:tc>
          <w:tcPr>
            <w:tcW w:w="60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64"/>
        </w:trPr>
        <w:tc>
          <w:tcPr>
            <w:tcW w:w="6060" w:type="dxa"/>
            <w:vAlign w:val="bottom"/>
          </w:tcPr>
          <w:p>
            <w:pPr>
              <w:ind w:left="40"/>
              <w:spacing w:after="0" w:line="264" w:lineRule="exact"/>
              <w:rPr>
                <w:sz w:val="20"/>
                <w:szCs w:val="20"/>
                <w:color w:val="auto"/>
              </w:rPr>
            </w:pPr>
            <w:r>
              <w:rPr>
                <w:rFonts w:ascii="Arial" w:cs="Arial" w:eastAsia="Arial" w:hAnsi="Arial"/>
                <w:sz w:val="18"/>
                <w:szCs w:val="18"/>
                <w:color w:val="auto"/>
              </w:rPr>
              <w:t>Net revenues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60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25"/>
                <w:szCs w:val="25"/>
                <w:color w:val="auto"/>
                <w:vertAlign w:val="superscript"/>
              </w:rPr>
              <w:t>(2)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207,021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182,322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390,294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348,423</w:t>
            </w:r>
          </w:p>
        </w:tc>
      </w:tr>
      <w:tr>
        <w:trPr>
          <w:trHeight w:val="270"/>
        </w:trPr>
        <w:tc>
          <w:tcPr>
            <w:tcW w:w="60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The Netherlands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124,321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56,598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229,971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103,998</w:t>
            </w: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25,140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46,558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55,661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356,482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269,362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666,823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508,082</w:t>
            </w: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Net revenues are attributed to countries based on location of where revenue is recognized.</w:t>
      </w:r>
    </w:p>
    <w:p>
      <w:pPr>
        <w:ind w:left="180" w:hanging="172"/>
        <w:spacing w:after="0" w:line="191"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Effective July 2016, we implemented a new international corporate structure. This changed the structure of our international procurement and sales operations.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Tangible long-lived assets are presented below by geographic area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127,980</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111,515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43,278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Mexico</w:t>
            </w: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18,073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17,918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255,539</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175,167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Long-lived assets are attributed to countries based on entity that owns the assets.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of our new products and product enhancements will have on doctor utilization and our market share, our expectations regarding product mix and product adoption, our expectations regarding the existence and impact of seasonality, our expectations regarding the financial and strategic benefits of establishing regional order acquisition and treatment planning facilities, as well as the anticipated timing of such facilities being operational, our expectations regarding the continued expansion of our international markets, the level of our operating expenses and gross margins, our expectation that the SmileDirectClub, LLC transaction will be incremental to revenue growth in 2017,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together with our condensed consolidated financial statements and related notes included elsewhere in this Quarterly Report on Form 10-Q and with our audited consolidated financial statements included in our Annual Report on form 10-K for the year ended December 31, 2016, as filed with the Securities and Exchange Commission.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successful execution of our business strategy in 2017 and beyond may be affected by a number of other factors including:</w:t>
      </w:r>
    </w:p>
    <w:p>
      <w:pPr>
        <w:spacing w:after="0" w:line="252" w:lineRule="exact"/>
        <w:rPr>
          <w:sz w:val="20"/>
          <w:szCs w:val="20"/>
          <w:color w:val="auto"/>
        </w:rPr>
      </w:pPr>
    </w:p>
    <w:p>
      <w:pPr>
        <w:ind w:left="660" w:hanging="247"/>
        <w:spacing w:after="0" w:line="268" w:lineRule="auto"/>
        <w:tabs>
          <w:tab w:leader="none" w:pos="579"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New Products, Feature Enhancements and Technology Innovation</w:t>
      </w:r>
      <w:r>
        <w:rPr>
          <w:rFonts w:ascii="Arial" w:cs="Arial" w:eastAsia="Arial" w:hAnsi="Arial"/>
          <w:sz w:val="17"/>
          <w:szCs w:val="17"/>
          <w:color w:val="auto"/>
        </w:rPr>
        <w:t>. Product innovation drives greater treatment predictability and clinical applicability</w:t>
      </w:r>
      <w:r>
        <w:rPr>
          <w:rFonts w:ascii="Arial" w:cs="Arial" w:eastAsia="Arial" w:hAnsi="Arial"/>
          <w:sz w:val="17"/>
          <w:szCs w:val="17"/>
          <w:i w:val="1"/>
          <w:iCs w:val="1"/>
          <w:color w:val="auto"/>
        </w:rPr>
        <w:t xml:space="preserve"> </w:t>
      </w:r>
      <w:r>
        <w:rPr>
          <w:rFonts w:ascii="Arial" w:cs="Arial" w:eastAsia="Arial" w:hAnsi="Arial"/>
          <w:sz w:val="17"/>
          <w:szCs w:val="17"/>
          <w:color w:val="auto"/>
        </w:rPr>
        <w:t>and ease of use for our customers which supports adoption of Invisalign treatment in their practices. Increasing applicability and treating more complex cases requires that we move away from individual features to more comprehensive solutions so that Invisalign-trained providers can more predictably treat the whole case, such as with our Invisalign "G-Series" of product innovations, including the October 2016 release of Invisalign G7. Invisalign G7 delivers better upper lateral control, improved root control and features to address prevention of posterior open bites. In March 2017, we announced Invisalign Teen with mandibular advancement, the first clear aligner solution for Class II correction in growing tween and teen patients. This new offering combines the benefits of the most advanced clear aligner system in the world with features for moving the lower jaw forward while simultaneously aligning the teeth. Invisalign Teen with mandibular advancement is now available in Canada, certain Europe, Middle East and Africa ("EMEA") countries (United Kingdom, Ireland, France, Spain, Czech Republic, Slovakia, Poland, Belgium, Luxembourg, the Netherlands), Asia Pacific ("APAC") countries (China, Japan with select availability in Hong Kong, Macao, Singapore, Taiwan, Australia, New Zealand) and Latin America ("LATAM") countries (Argentina, Brazil, Chile, Colombia, Mexico). Invisalign Teen with mandibular advancement is pending 510(k) clearance and is not yet available in the United States. 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131" w:lineRule="exact"/>
        <w:rPr>
          <w:rFonts w:ascii="Arial" w:cs="Arial" w:eastAsia="Arial" w:hAnsi="Arial"/>
          <w:sz w:val="17"/>
          <w:szCs w:val="17"/>
          <w:i w:val="1"/>
          <w:iCs w:val="1"/>
          <w:color w:val="auto"/>
        </w:rPr>
      </w:pPr>
    </w:p>
    <w:p>
      <w:pPr>
        <w:jc w:val="both"/>
        <w:ind w:left="660" w:hanging="247"/>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Invisalign Adoption. </w:t>
      </w:r>
      <w:r>
        <w:rPr>
          <w:rFonts w:ascii="Arial" w:cs="Arial" w:eastAsia="Arial" w:hAnsi="Arial"/>
          <w:sz w:val="18"/>
          <w:szCs w:val="18"/>
          <w:color w:val="auto"/>
        </w:rPr>
        <w:t>Our goal is to establish Invisalign as the treatment of choice for treating malocclusion ultimately driving increased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frequency of use by dental professionals, also known as "utilization rates." Our quarterly utilization rates for the last 9 quarters are as follows: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169545</wp:posOffset>
            </wp:positionV>
            <wp:extent cx="5196840" cy="2744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9684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0" w:hanging="133"/>
        <w:spacing w:after="0"/>
        <w:tabs>
          <w:tab w:leader="none" w:pos="1600" w:val="left"/>
        </w:tabs>
        <w:numPr>
          <w:ilvl w:val="2"/>
          <w:numId w:val="10"/>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w:t>
      </w:r>
    </w:p>
    <w:p>
      <w:pPr>
        <w:spacing w:after="0" w:line="221" w:lineRule="exact"/>
        <w:rPr>
          <w:rFonts w:ascii="Arial" w:cs="Arial" w:eastAsia="Arial" w:hAnsi="Arial"/>
          <w:sz w:val="9"/>
          <w:szCs w:val="9"/>
          <w:b w:val="1"/>
          <w:bCs w:val="1"/>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utilization in the second quarter of 2017 increased to 5.6 cases per doctor compared to 5.1 in the second quarter of 2016.</w:t>
      </w:r>
    </w:p>
    <w:p>
      <w:pPr>
        <w:spacing w:after="0" w:line="171" w:lineRule="exact"/>
        <w:rPr>
          <w:rFonts w:ascii="Arial" w:cs="Arial" w:eastAsia="Arial" w:hAnsi="Arial"/>
          <w:sz w:val="18"/>
          <w:szCs w:val="18"/>
          <w:color w:val="auto"/>
        </w:rPr>
      </w:pPr>
    </w:p>
    <w:p>
      <w:pPr>
        <w:jc w:val="both"/>
        <w:ind w:left="1620" w:hanging="396"/>
        <w:spacing w:after="0" w:line="279" w:lineRule="auto"/>
        <w:tabs>
          <w:tab w:leader="none" w:pos="1620"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North America: </w:t>
      </w:r>
      <w:r>
        <w:rPr>
          <w:rFonts w:ascii="Arial" w:cs="Arial" w:eastAsia="Arial" w:hAnsi="Arial"/>
          <w:sz w:val="17"/>
          <w:szCs w:val="17"/>
          <w:color w:val="auto"/>
        </w:rPr>
        <w:t>Utilization among our North American orthodontist customers reached an all time high of 13.6 cases per doctor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of 2017 compared to 10.7 in the second quarter of 2016. The increase in North America orthodontist utilization reflects improvements in product and technology which continues to strengthen our doctors’ clinical confidence such that they now utilize Invisalign Clear Aligners more often and on more complex cases, including their teenage patients.</w:t>
      </w:r>
    </w:p>
    <w:p>
      <w:pPr>
        <w:spacing w:after="0" w:line="117" w:lineRule="exact"/>
        <w:rPr>
          <w:rFonts w:ascii="Arial" w:cs="Arial" w:eastAsia="Arial" w:hAnsi="Arial"/>
          <w:sz w:val="17"/>
          <w:szCs w:val="17"/>
          <w:color w:val="auto"/>
        </w:rPr>
      </w:pPr>
    </w:p>
    <w:p>
      <w:pPr>
        <w:jc w:val="both"/>
        <w:ind w:left="1620" w:hanging="396"/>
        <w:spacing w:after="0" w:line="264"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International doctor utilization is 5.2 cases per doctor in the second quarter of 2017 compared to 5.0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2016. The International utilization reflects growth in both the EMEA and APAC regions due to increasing adoption of the product due in part to its ability to treat more complex cases.</w:t>
      </w:r>
    </w:p>
    <w:p>
      <w:pPr>
        <w:spacing w:after="0" w:line="12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We expect that over the long-term, our utilization rates will gradually improve as a result of advancements in product and technology, which continue to strengthen our doctors’ clinical confidence in the use of Invisalign; however, we expect that our utilization rates may fluctuate from period to period due to a variety of factors, including seasonal trends in our business along with adoption rates of new products and features.</w:t>
      </w:r>
    </w:p>
    <w:p>
      <w:pPr>
        <w:spacing w:after="0" w:line="111" w:lineRule="exact"/>
        <w:rPr>
          <w:sz w:val="20"/>
          <w:szCs w:val="20"/>
          <w:color w:val="auto"/>
        </w:rPr>
      </w:pPr>
    </w:p>
    <w:p>
      <w:pPr>
        <w:jc w:val="both"/>
        <w:ind w:left="660" w:hanging="247"/>
        <w:spacing w:after="0" w:line="279" w:lineRule="auto"/>
        <w:tabs>
          <w:tab w:leader="none" w:pos="6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Number of New Invisalign Doctors Trained. </w:t>
      </w:r>
      <w:r>
        <w:rPr>
          <w:rFonts w:ascii="Arial" w:cs="Arial" w:eastAsia="Arial" w:hAnsi="Arial"/>
          <w:sz w:val="17"/>
          <w:szCs w:val="17"/>
          <w:color w:val="auto"/>
        </w:rPr>
        <w:t>We continue to expand our Invisalign customer base through the training of new doctors.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Invisalign Clear Aligner growth was driven primarily by increased utilization across all regions as well as by the continued expansion of our customer base as we trained a total of 11,680 new Invisalign doctors, of which 60% were trained internationally. During the second quarter of 2017, we trained 4,875 new Invisalign doctors of which 1,620 were trained in North America and 3,255 in our International regions.</w:t>
      </w:r>
    </w:p>
    <w:p>
      <w:pPr>
        <w:spacing w:after="0" w:line="171" w:lineRule="exact"/>
        <w:rPr>
          <w:rFonts w:ascii="Arial" w:cs="Arial" w:eastAsia="Arial" w:hAnsi="Arial"/>
          <w:sz w:val="17"/>
          <w:szCs w:val="17"/>
          <w:i w:val="1"/>
          <w:iCs w:val="1"/>
          <w:color w:val="auto"/>
        </w:rPr>
      </w:pPr>
    </w:p>
    <w:p>
      <w:pPr>
        <w:jc w:val="both"/>
        <w:ind w:left="660" w:hanging="247"/>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Invisalign Growth. </w:t>
      </w:r>
      <w:r>
        <w:rPr>
          <w:rFonts w:ascii="Arial" w:cs="Arial" w:eastAsia="Arial" w:hAnsi="Arial"/>
          <w:sz w:val="18"/>
          <w:szCs w:val="18"/>
          <w:color w:val="auto"/>
        </w:rPr>
        <w:t>We will continue to focus our efforts towards increasing Invisalign adoption by dental professionals in our direct</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markets. On a year over year basis, international Invisalign Clear Aligner volume increased 37.4% driven primarily by strong performance in our APAC and EMEA regions. In 2017, we are continuing to expand in our existing markets through targeted investments in sales coverage and professional marketing and education programs, along with consumer marketing in selected country markets. We expect international Invisalign revenues to continue to grow at a faster rate than North America for the foreseeable future due to our continued investment in international market expansion, the size of the market opportunity, and our relatively low market penetration of these regions (</w:t>
      </w:r>
      <w:r>
        <w:rPr>
          <w:rFonts w:ascii="Arial" w:cs="Arial" w:eastAsia="Arial" w:hAnsi="Arial"/>
          <w:sz w:val="18"/>
          <w:szCs w:val="18"/>
          <w:i w:val="1"/>
          <w:iCs w:val="1"/>
          <w:color w:val="auto"/>
        </w:rPr>
        <w:t>Refer to Item 1A Risk Factors - “We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are exposed to fluctuations in currency exchange rates, which could negatively affect our financial condition and results of operations.”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related risk factors).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00" w:hanging="487"/>
        <w:spacing w:after="0" w:line="270" w:lineRule="auto"/>
        <w:tabs>
          <w:tab w:leader="none" w:pos="657"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Regional Order Acquisition and Treatment Planning Facilities: </w:t>
      </w:r>
      <w:r>
        <w:rPr>
          <w:rFonts w:ascii="Arial" w:cs="Arial" w:eastAsia="Arial" w:hAnsi="Arial"/>
          <w:sz w:val="17"/>
          <w:szCs w:val="17"/>
          <w:color w:val="auto"/>
        </w:rPr>
        <w:t>We will continue to establish and expand additional order acquisition and 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planning facilities closer to our international customers in order to improve our operational efficiency and provide doctors with a great experience to further improve their confidence in using Invisalign Clear Aligners to treat more patients and more often. In June, we opened a new treatment planning facility in Chengdu, China which services and supports our customers within China. We also plan on opening a treatment planning facility to support our EMEA customers in Cologne, Germany in the third quarter of 2017. On July 24, 2017, we entered into a Purchase and Sale Agreement with Belen Business Center CR, S.A. to purchase a new Costa Rica treatment planning facility for $26.1 million. (</w:t>
      </w:r>
      <w:r>
        <w:rPr>
          <w:rFonts w:ascii="Arial" w:cs="Arial" w:eastAsia="Arial" w:hAnsi="Arial"/>
          <w:sz w:val="17"/>
          <w:szCs w:val="17"/>
          <w:i w:val="1"/>
          <w:iCs w:val="1"/>
          <w:color w:val="auto"/>
        </w:rPr>
        <w:t>Refer to Item 1A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Risk Factors - “As we continue to grow, we are subject to growth related risks, including risks related to excess or constrained capacity at our existing facilities.” </w:t>
      </w:r>
      <w:r>
        <w:rPr>
          <w:rFonts w:ascii="Arial" w:cs="Arial" w:eastAsia="Arial" w:hAnsi="Arial"/>
          <w:sz w:val="17"/>
          <w:szCs w:val="17"/>
          <w:color w:val="auto"/>
        </w:rPr>
        <w:t>for information on related risk factors and</w:t>
      </w:r>
      <w:r>
        <w:rPr>
          <w:rFonts w:ascii="Arial" w:cs="Arial" w:eastAsia="Arial" w:hAnsi="Arial"/>
          <w:sz w:val="17"/>
          <w:szCs w:val="17"/>
          <w:i w:val="1"/>
          <w:iCs w:val="1"/>
          <w:color w:val="auto"/>
        </w:rPr>
        <w:t xml:space="preserve"> Refer to Note 9 "Commitments and Contingencies" of the Notes of Condensed Consolidated Financial Statements </w:t>
      </w:r>
      <w:r>
        <w:rPr>
          <w:rFonts w:ascii="Arial" w:cs="Arial" w:eastAsia="Arial" w:hAnsi="Arial"/>
          <w:sz w:val="17"/>
          <w:szCs w:val="17"/>
          <w:color w:val="auto"/>
        </w:rPr>
        <w:t>for more information on the Purchase Agreement).</w:t>
      </w:r>
    </w:p>
    <w:p>
      <w:pPr>
        <w:spacing w:after="0" w:line="127" w:lineRule="exact"/>
        <w:rPr>
          <w:rFonts w:ascii="Arial" w:cs="Arial" w:eastAsia="Arial" w:hAnsi="Arial"/>
          <w:sz w:val="17"/>
          <w:szCs w:val="17"/>
          <w:i w:val="1"/>
          <w:iCs w:val="1"/>
          <w:color w:val="auto"/>
        </w:rPr>
      </w:pPr>
    </w:p>
    <w:p>
      <w:pPr>
        <w:ind w:left="660" w:hanging="247"/>
        <w:spacing w:after="0"/>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We expect operating expenses to increase in 2017 due in part to:</w:t>
      </w:r>
    </w:p>
    <w:p>
      <w:pPr>
        <w:spacing w:after="0" w:line="171" w:lineRule="exact"/>
        <w:rPr>
          <w:rFonts w:ascii="Arial" w:cs="Arial" w:eastAsia="Arial" w:hAnsi="Arial"/>
          <w:sz w:val="18"/>
          <w:szCs w:val="18"/>
          <w:i w:val="1"/>
          <w:iCs w:val="1"/>
          <w:color w:val="auto"/>
        </w:rPr>
      </w:pPr>
    </w:p>
    <w:p>
      <w:pPr>
        <w:ind w:left="1300" w:hanging="320"/>
        <w:spacing w:after="0"/>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investments in international expansion in new country markets particularly in the APAC, Latin America and Middle East regions;</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investments in manufacturing to enhance our regional order acquisition and treatment planning capabilities;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increases in legal expenses primarily related to the continued protection of our intellectual property rights, including our patents;</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increases in sales and customer support resources;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product and technology innovation to address such things as treatment times, indications unique to teens and predictability.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believe that these investments will position us to increase our revenue and continue to grow our market share.</w:t>
      </w:r>
    </w:p>
    <w:p>
      <w:pPr>
        <w:spacing w:after="0" w:line="171" w:lineRule="exact"/>
        <w:rPr>
          <w:sz w:val="20"/>
          <w:szCs w:val="20"/>
          <w:color w:val="auto"/>
        </w:rPr>
      </w:pPr>
    </w:p>
    <w:p>
      <w:pPr>
        <w:ind w:left="660" w:hanging="247"/>
        <w:spacing w:after="0"/>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Stock Repurchases:</w:t>
      </w:r>
    </w:p>
    <w:p>
      <w:pPr>
        <w:spacing w:after="0" w:line="225" w:lineRule="exact"/>
        <w:rPr>
          <w:rFonts w:ascii="Arial" w:cs="Arial" w:eastAsia="Arial" w:hAnsi="Arial"/>
          <w:sz w:val="18"/>
          <w:szCs w:val="18"/>
          <w:i w:val="1"/>
          <w:iCs w:val="1"/>
          <w:color w:val="auto"/>
        </w:rPr>
      </w:pPr>
    </w:p>
    <w:p>
      <w:pPr>
        <w:jc w:val="both"/>
        <w:ind w:left="1300" w:hanging="320"/>
        <w:spacing w:after="0" w:line="291"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April 2016 Repurchase Program. </w:t>
      </w:r>
      <w:r>
        <w:rPr>
          <w:rFonts w:ascii="Arial" w:cs="Arial" w:eastAsia="Arial" w:hAnsi="Arial"/>
          <w:sz w:val="16"/>
          <w:szCs w:val="16"/>
          <w:color w:val="auto"/>
        </w:rPr>
        <w:t>On April 28, 2016, we announced that our Board of Directors had authorized a plan to repurchase up to</w:t>
      </w:r>
      <w:r>
        <w:rPr>
          <w:rFonts w:ascii="Arial" w:cs="Arial" w:eastAsia="Arial" w:hAnsi="Arial"/>
          <w:sz w:val="16"/>
          <w:szCs w:val="16"/>
          <w:i w:val="1"/>
          <w:iCs w:val="1"/>
          <w:color w:val="auto"/>
        </w:rPr>
        <w:t xml:space="preserve"> </w:t>
      </w:r>
      <w:r>
        <w:rPr>
          <w:rFonts w:ascii="Arial" w:cs="Arial" w:eastAsia="Arial" w:hAnsi="Arial"/>
          <w:sz w:val="16"/>
          <w:szCs w:val="16"/>
          <w:color w:val="auto"/>
        </w:rPr>
        <w:t>$300.0 million of our stock. On May 2, 2017, we entered into an ASR to repurchase $50.0 million of our common stock ("2017 ASR"). We paid $50.0 million on May 3, 2017 and received an initial delivery of approximately 0.3 million shares based on current market price of $134.12, which were retired. The remaining $15.0 million was recorded as an equity forward contract and was included in additional paid-in capital in stockholders' equity in the Condensed Consolidated Balance Sheet as of June 30, 2017. The $15.0 million equity forward contract will be settled at the completion of the ASR in August 2017. The final number of shares to be repurchased will be based on our volume-weighted average stock price under the terms of the 2017 ASR, less an agreed upon discount.</w:t>
      </w:r>
    </w:p>
    <w:p>
      <w:pPr>
        <w:spacing w:after="0" w:line="167" w:lineRule="exact"/>
        <w:rPr>
          <w:rFonts w:ascii="Arial" w:cs="Arial" w:eastAsia="Arial" w:hAnsi="Arial"/>
          <w:sz w:val="16"/>
          <w:szCs w:val="16"/>
          <w:color w:val="auto"/>
        </w:rPr>
      </w:pPr>
    </w:p>
    <w:p>
      <w:pPr>
        <w:jc w:val="both"/>
        <w:ind w:left="660" w:hanging="247"/>
        <w:spacing w:after="0" w:line="255"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SmileDirectClub. </w:t>
      </w:r>
      <w:r>
        <w:rPr>
          <w:rFonts w:ascii="Arial" w:cs="Arial" w:eastAsia="Arial" w:hAnsi="Arial"/>
          <w:sz w:val="18"/>
          <w:szCs w:val="18"/>
          <w:color w:val="auto"/>
        </w:rPr>
        <w:t>We have provided a revolving line of credit to SmileDirectClub, LLC ("SDC") of up to $15.0 million to fund their working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and general corporate needs. As of June 30, 2017, $15.0 million under the Loan Facility was issued and outstanding. On July 24, 2017, we increased the revolving line of credit to $30.0 million. In addition, on July 24, 2017, we purchased an additional 2% equity interest in SDC for $12.8 million. As a result of this purchase, we now hold a 19% equity interest in SDC on a fully diluted basis (</w:t>
      </w:r>
      <w:r>
        <w:rPr>
          <w:rFonts w:ascii="Arial" w:cs="Arial" w:eastAsia="Arial" w:hAnsi="Arial"/>
          <w:sz w:val="18"/>
          <w:szCs w:val="18"/>
          <w:i w:val="1"/>
          <w:iCs w:val="1"/>
          <w:color w:val="auto"/>
        </w:rPr>
        <w:t>Refer to Note 4 "Equity Method Investments"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Notes to Condensed Consolidated Financial Statement</w:t>
      </w:r>
      <w:r>
        <w:rPr>
          <w:rFonts w:ascii="Arial" w:cs="Arial" w:eastAsia="Arial" w:hAnsi="Arial"/>
          <w:sz w:val="18"/>
          <w:szCs w:val="18"/>
          <w:color w:val="auto"/>
        </w:rPr>
        <w:t>s for details on accounting treatment). Additionally, we expect the supply agreement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to revenue growth in 2017.</w:t>
      </w:r>
    </w:p>
    <w:p>
      <w:pPr>
        <w:spacing w:after="0" w:line="193" w:lineRule="exact"/>
        <w:rPr>
          <w:rFonts w:ascii="Arial" w:cs="Arial" w:eastAsia="Arial" w:hAnsi="Arial"/>
          <w:sz w:val="18"/>
          <w:szCs w:val="18"/>
          <w:i w:val="1"/>
          <w:iCs w:val="1"/>
          <w:color w:val="auto"/>
        </w:rPr>
      </w:pPr>
    </w:p>
    <w:p>
      <w:pPr>
        <w:jc w:val="both"/>
        <w:ind w:left="660" w:hanging="247"/>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New Corporate Headquarters Office Purchase. </w:t>
      </w:r>
      <w:r>
        <w:rPr>
          <w:rFonts w:ascii="Arial" w:cs="Arial" w:eastAsia="Arial" w:hAnsi="Arial"/>
          <w:sz w:val="18"/>
          <w:szCs w:val="18"/>
          <w:color w:val="auto"/>
        </w:rPr>
        <w:t>We completed the purchase of our new headquarters on January 26, 2017 for the purchase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$44.1 million. During the six months of 2017, we incurred $15.7 million related to the building improvements and expect to incur an additional $15.6 million during third quarter of fiscal year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ind w:left="660" w:hanging="247"/>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Clear Aligner segment consists of Comprehensive Products, Non-Comprehensive Products and Non-Case revenues as defined below:</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hanging="239"/>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Comprehensive Products include our Invisalign Full, Teen and Assist products.</w:t>
      </w:r>
    </w:p>
    <w:p>
      <w:pPr>
        <w:spacing w:after="0" w:line="171" w:lineRule="exact"/>
        <w:rPr>
          <w:rFonts w:ascii="Arial" w:cs="Arial" w:eastAsia="Arial" w:hAnsi="Arial"/>
          <w:sz w:val="18"/>
          <w:szCs w:val="18"/>
          <w:color w:val="auto"/>
        </w:rPr>
      </w:pPr>
    </w:p>
    <w:p>
      <w:pPr>
        <w:jc w:val="both"/>
        <w:ind w:left="1300" w:hanging="239"/>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Non-Comprehensive Products include our Express/Lite products in addition to revenues from the sale of aligners to SmileDirectClub (“SDC”) under our supply agreement, which commenced in the fourth quarter of 2016. Revenue from SDC is recorded after eliminating outstanding intercompany transactions.</w:t>
      </w:r>
    </w:p>
    <w:p>
      <w:pPr>
        <w:spacing w:after="0" w:line="127" w:lineRule="exact"/>
        <w:rPr>
          <w:rFonts w:ascii="Arial" w:cs="Arial" w:eastAsia="Arial" w:hAnsi="Arial"/>
          <w:sz w:val="18"/>
          <w:szCs w:val="18"/>
          <w:color w:val="auto"/>
        </w:rPr>
      </w:pPr>
    </w:p>
    <w:p>
      <w:pPr>
        <w:ind w:left="1300" w:hanging="239"/>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Non-Case includes our Vivera retainers along with our training and ancillary products for treating malocclusion.</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revenues for our Clear Aligner and Scanner segment by region for the three and six months ended June 30, 2017 and 2016 is as follows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5"/>
          </w:tcPr>
          <w:p>
            <w:pPr>
              <w:jc w:val="right"/>
              <w:ind w:right="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94"/>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ind w:right="434"/>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94"/>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38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54"/>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33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4"/>
                <w:szCs w:val="14"/>
                <w:b w:val="1"/>
                <w:bCs w:val="1"/>
                <w:color w:val="auto"/>
              </w:rPr>
              <w:t>Change</w:t>
            </w: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380" w:type="dxa"/>
            <w:vAlign w:val="bottom"/>
          </w:tcPr>
          <w:p>
            <w:pPr>
              <w:ind w:left="40"/>
              <w:spacing w:after="0"/>
              <w:rPr>
                <w:sz w:val="20"/>
                <w:szCs w:val="20"/>
                <w:color w:val="auto"/>
              </w:rPr>
            </w:pPr>
            <w:r>
              <w:rPr>
                <w:rFonts w:ascii="Arial" w:cs="Arial" w:eastAsia="Arial" w:hAnsi="Arial"/>
                <w:sz w:val="18"/>
                <w:szCs w:val="18"/>
                <w:color w:val="auto"/>
              </w:rPr>
              <w:t>Clear Aligner revenues:</w:t>
            </w: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340" w:type="dxa"/>
            <w:vAlign w:val="bottom"/>
            <w:tcBorders>
              <w:bottom w:val="single" w:sz="8" w:color="CCEEFF"/>
            </w:tcBorders>
            <w:gridSpan w:val="3"/>
            <w:shd w:val="clear" w:color="auto" w:fill="CCEEFF"/>
          </w:tcPr>
          <w:p>
            <w:pPr>
              <w:jc w:val="center"/>
              <w:ind w:left="13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340" w:type="dxa"/>
            <w:vAlign w:val="bottom"/>
            <w:tcBorders>
              <w:bottom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338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30.3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Non-case</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Total Clear Aligner net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321.0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463.0</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140.4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Scanner net revenues</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57"/>
        </w:trPr>
        <w:tc>
          <w:tcPr>
            <w:tcW w:w="338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87.1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158.7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Region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Case volume data which represents Clear Aligner case shipments by region for the three and six months ended June 30, 2017 and 2016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16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Region</w:t>
            </w:r>
          </w:p>
        </w:tc>
        <w:tc>
          <w:tcPr>
            <w:tcW w:w="780" w:type="dxa"/>
            <w:vAlign w:val="bottom"/>
            <w:vMerge w:val="restart"/>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02"/>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57"/>
              <w:spacing w:after="0"/>
              <w:rPr>
                <w:sz w:val="20"/>
                <w:szCs w:val="20"/>
                <w:color w:val="auto"/>
              </w:rPr>
            </w:pPr>
            <w:r>
              <w:rPr>
                <w:rFonts w:ascii="Arial" w:cs="Arial" w:eastAsia="Arial" w:hAnsi="Arial"/>
                <w:sz w:val="14"/>
                <w:szCs w:val="14"/>
                <w:b w:val="1"/>
                <w:bCs w:val="1"/>
                <w:color w:val="auto"/>
              </w:rPr>
              <w:t>2016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62"/>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3420" w:type="dxa"/>
            <w:vAlign w:val="bottom"/>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342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114.9</w:t>
            </w:r>
          </w:p>
        </w:tc>
        <w:tc>
          <w:tcPr>
            <w:tcW w:w="1000" w:type="dxa"/>
            <w:vAlign w:val="bottom"/>
            <w:gridSpan w:val="3"/>
          </w:tcPr>
          <w:p>
            <w:pPr>
              <w:jc w:val="right"/>
              <w:ind w:right="22"/>
              <w:spacing w:after="0"/>
              <w:rPr>
                <w:sz w:val="20"/>
                <w:szCs w:val="20"/>
                <w:color w:val="auto"/>
              </w:rPr>
            </w:pPr>
            <w:r>
              <w:rPr>
                <w:rFonts w:ascii="Arial" w:cs="Arial" w:eastAsia="Arial" w:hAnsi="Arial"/>
                <w:sz w:val="18"/>
                <w:szCs w:val="18"/>
                <w:color w:val="auto"/>
              </w:rPr>
              <w:t>39.7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225.4</w:t>
            </w:r>
          </w:p>
        </w:tc>
        <w:tc>
          <w:tcPr>
            <w:tcW w:w="1080" w:type="dxa"/>
            <w:vAlign w:val="bottom"/>
            <w:gridSpan w:val="3"/>
          </w:tcPr>
          <w:p>
            <w:pPr>
              <w:jc w:val="right"/>
              <w:ind w:right="22"/>
              <w:spacing w:after="0"/>
              <w:rPr>
                <w:sz w:val="20"/>
                <w:szCs w:val="20"/>
                <w:color w:val="auto"/>
              </w:rPr>
            </w:pPr>
            <w:r>
              <w:rPr>
                <w:rFonts w:ascii="Arial" w:cs="Arial" w:eastAsia="Arial" w:hAnsi="Arial"/>
                <w:sz w:val="18"/>
                <w:szCs w:val="18"/>
                <w:color w:val="auto"/>
              </w:rPr>
              <w:t>65.4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23.3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8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45.3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57"/>
        </w:trPr>
        <w:tc>
          <w:tcPr>
            <w:tcW w:w="3420" w:type="dxa"/>
            <w:vAlign w:val="bottom"/>
          </w:tcPr>
          <w:p>
            <w:pPr>
              <w:ind w:left="40"/>
              <w:spacing w:after="0"/>
              <w:rPr>
                <w:sz w:val="20"/>
                <w:szCs w:val="20"/>
                <w:color w:val="auto"/>
              </w:rPr>
            </w:pPr>
            <w:r>
              <w:rPr>
                <w:rFonts w:ascii="Arial" w:cs="Arial" w:eastAsia="Arial" w:hAnsi="Arial"/>
                <w:sz w:val="18"/>
                <w:szCs w:val="18"/>
                <w:color w:val="auto"/>
              </w:rPr>
              <w:t>Total case volume</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63.0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451.3</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110.6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and six months ended June 30, 2017, total net revenues increased by $87.1 million and $158.7 million as compared to the same periods in 2016 primarily as a result of case volume growth across all regions and products as well as increased non-case revenues.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North America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three months ended June 30, 2017, North America net revenues increased by $42.6 million as compared to the same period in 2016 primarily due to case volume growth across all channels and products which increased net revenues by $49.8 million. This increase was offset in part by lower average selling prices (“ASP”) which decreased net revenues by $7.2 million. The ASP decline is a result of a shift in product mix towards Non-Comprehensive Products, primarily driven by increased SDC revenues which carry a lower ASP, and higher promotional discounts, which collectively reduced revenues by $9.7 million, offset in part by price increases on our Comprehensive Products effective April 1, 2017, contributing $3.6 million to net revenues, along with other smaller changes.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2017, North America net revenues increased by $71.8 million as compared to the same period in 2016 primarily due to case volume growth across all channels and products which increased net revenues by $81.1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million. This increase was offset in part by lower ASP which decreased net revenues by $9.4 million. The ASP decline is a result of a shift in product mix towards Non-Comprehensive Products, primarily driven by increased SDC revenues which carry a lower ASP, and higher promotional discounts, which collectively reduced revenues by $18.7 million, offset in part by price increases on our Comprehensive Products effective on April 1 of 2016 and 2017, contributing $11.2 million to net revenues, along with other smaller changes.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International</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the three months ended June 30, 2017, International net revenues increased by $30.3 million as compared to the same period in 2016 primarily driven by case volume growth across all channels and products which increased net revenues by $31.3 million. This increase was offset in part by lower ASP which decreased net revenues by $1.0 million. The ASP decline is a result of a decrease in foreign exchange rates, primarily due to the weakening of the Euro and British Pound to the U.S. dollar, and higher promotional discounts, which collectively reduced revenues by $5.2 million, offset in part by price increases in our Comprehensive Products effective July 1, 2016, contributing $2.3 million to net revenues, along with an increase in additional aligner revenue.</w:t>
      </w:r>
    </w:p>
    <w:p>
      <w:pPr>
        <w:spacing w:after="0" w:line="15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the six months ended June 30, 2017, International net revenues increased by $60.0 million as compared to the same period in 2016 primarily driven by case volume growth across all channels and products which increased net revenues by $61.3 million. This increase was offset in part by slightly lower ASPs. The ASP decline is a result of decrease in foreign exchange rates, primarily due to the weakening of the Euro and British Pound to the U.S. dollar, and higher promotional discounts, which collectively reduced revenues by $9.8 million, offset in part by price increases in our Comprehensive Products effective July 1, 2016, contributing $4.3 million to net revenues, along with an increase in additional aligner revenue of $4.2 million.</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Non-Case</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the three and six months ended June 30, 2017, non-case net revenues, consisting of training fees and ancillary product revenues, increased by $4.8 million and $8.6 million as compared to the same periods in 2016 primarily due to increased Vivera volume both in North America and International.</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three and six months ended June 30, 2017, scanner and services net revenues increased by $9.4 million and $18.4 million as compared to the same periods in 2016. Scanner and services net revenues increased for the three months ended June 30, 2017 as compared to the same period in 2016 primarily as a result of an increase in the number of scanners recognized and higher volume of CAD/CAM services resulting from a larger installed base of scanners. Scanner and services net revenues increased for the six months ended June 30, 2017 as compared to the same period in 2016 primarily as a result of an increase in the number of scanners recognized and higher volume of CAD/CAM services resulting from a larger installed base of scanners and, to a lesser extent, an increase in Scanner ASP.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6"/>
          </w:tcPr>
          <w:p>
            <w:pPr>
              <w:jc w:val="center"/>
              <w:ind w:left="553"/>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4"/>
                <w:szCs w:val="14"/>
                <w:b w:val="1"/>
                <w:bCs w:val="1"/>
                <w:color w:val="auto"/>
                <w:w w:val="97"/>
              </w:rPr>
              <w:t>Change</w:t>
            </w:r>
          </w:p>
        </w:tc>
      </w:tr>
      <w:tr>
        <w:trPr>
          <w:trHeight w:val="183"/>
        </w:trPr>
        <w:tc>
          <w:tcPr>
            <w:tcW w:w="5020" w:type="dxa"/>
            <w:vAlign w:val="bottom"/>
            <w:gridSpan w:val="5"/>
          </w:tcPr>
          <w:p>
            <w:pPr>
              <w:ind w:left="40"/>
              <w:spacing w:after="0" w:line="182" w:lineRule="exact"/>
              <w:rPr>
                <w:sz w:val="20"/>
                <w:szCs w:val="20"/>
                <w:color w:val="auto"/>
              </w:rPr>
            </w:pPr>
            <w:r>
              <w:rPr>
                <w:rFonts w:ascii="Arial" w:cs="Arial" w:eastAsia="Arial" w:hAnsi="Arial"/>
                <w:sz w:val="18"/>
                <w:szCs w:val="18"/>
                <w:b w:val="1"/>
                <w:bCs w:val="1"/>
                <w:color w:val="auto"/>
              </w:rPr>
              <w:t>Clear Aligner</w:t>
            </w: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132.7</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w:t>
            </w:r>
          </w:p>
        </w:tc>
      </w:tr>
      <w:tr>
        <w:trPr>
          <w:trHeight w:val="243"/>
        </w:trPr>
        <w:tc>
          <w:tcPr>
            <w:tcW w:w="502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21.4%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22.0%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21.5%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470.8</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w:t>
            </w:r>
          </w:p>
        </w:tc>
      </w:tr>
      <w:tr>
        <w:trPr>
          <w:trHeight w:val="243"/>
        </w:trPr>
        <w:tc>
          <w:tcPr>
            <w:tcW w:w="502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78.1%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78.6%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78.0%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78.5%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50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502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27.6</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35.8</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13.3</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56.4%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3"/>
        </w:trPr>
        <w:tc>
          <w:tcPr>
            <w:tcW w:w="50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85.6</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21.5</w:t>
            </w:r>
          </w:p>
        </w:tc>
        <w:tc>
          <w:tcPr>
            <w:tcW w:w="200" w:type="dxa"/>
            <w:vAlign w:val="bottom"/>
          </w:tcPr>
          <w:p>
            <w:pPr>
              <w:spacing w:after="0"/>
              <w:rPr>
                <w:sz w:val="17"/>
                <w:szCs w:val="17"/>
                <w:color w:val="auto"/>
              </w:rPr>
            </w:pP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160.3</w:t>
            </w:r>
          </w:p>
        </w:tc>
        <w:tc>
          <w:tcPr>
            <w:tcW w:w="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122.2</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38.1</w:t>
            </w: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506.5</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385.8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120.7</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020" w:type="dxa"/>
            <w:vAlign w:val="bottom"/>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76.0%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76.2%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76.0%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personnel-related costs including payroll and stock-based compensation for staff involved in the production process, the cost of materials, packaging, shipping costs, depreciation on capital equipment and facilities used in the production process, amortization of acquired intangible assets and training costs.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ended June 30, 2017, gross margin percentage declined as compared to the same period in 2016 primarily driven by a lower ASP.</w:t>
      </w:r>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2017, gross margin percentage declined as compared to the same period in 2016 due to a lower ASP and higher costs per case.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June 30, 2017, gross margin increased compared to the same period in 2016 due to lower service costs and a favorable product mix shift to our lower cost iTero Element scanner. This was partially offset by a lower ASP.</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six months ended June 30, 2017, gross margin increased compared to the same period in 2016 due to lower service costs, a favorable product mix shift to our lower cost iTero Element scanner and higher ASP.</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180" w:type="dxa"/>
            <w:vAlign w:val="bottom"/>
            <w:gridSpan w:val="6"/>
          </w:tcPr>
          <w:p>
            <w:pPr>
              <w:jc w:val="center"/>
              <w:ind w:left="799"/>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0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Pr>
          <w:p>
            <w:pPr>
              <w:jc w:val="right"/>
              <w:ind w:right="99"/>
              <w:spacing w:after="0"/>
              <w:rPr>
                <w:sz w:val="20"/>
                <w:szCs w:val="20"/>
                <w:color w:val="auto"/>
              </w:rPr>
            </w:pPr>
            <w:r>
              <w:rPr>
                <w:rFonts w:ascii="Arial" w:cs="Arial" w:eastAsia="Arial" w:hAnsi="Arial"/>
                <w:sz w:val="18"/>
                <w:szCs w:val="18"/>
                <w:color w:val="auto"/>
              </w:rPr>
              <w:t>$   163.0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9"/>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6"/>
              <w:spacing w:after="0"/>
              <w:rPr>
                <w:sz w:val="20"/>
                <w:szCs w:val="20"/>
                <w:color w:val="auto"/>
              </w:rPr>
            </w:pPr>
            <w:r>
              <w:rPr>
                <w:rFonts w:ascii="Arial" w:cs="Arial" w:eastAsia="Arial" w:hAnsi="Arial"/>
                <w:sz w:val="18"/>
                <w:szCs w:val="18"/>
                <w:color w:val="auto"/>
              </w:rPr>
              <w:t>314.1</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9"/>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80.4</w:t>
            </w:r>
          </w:p>
        </w:tc>
      </w:tr>
      <w:tr>
        <w:trPr>
          <w:trHeight w:val="27"/>
        </w:trPr>
        <w:tc>
          <w:tcPr>
            <w:tcW w:w="5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47.1%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46.0%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Selling, general and administrative expense includes personnel-related costs including payroll, commissions and stock-based compensation, marketing and administration in addition to media and advertising expenses, clinical education, trade shows and industry events, product marketing, outside consulting services, equipment and maintenance costs, depreciation and amortization expense and allocations of corporate overhead expenses including facilities and IT.</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June 30, 2017, selling, general and administrative expense increased compared to the same period in 2016 primarily due to higher compensation related costs of $16.5 million mainly as a result of increased headcount. We also incurred higher expenses from advertising and marketing of $10.2 million, outside services costs of $5.9 million, equipment and maintenance costs of $5.3 million, and depreciation and amortization expense of $3.0 million.</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six months ended June 30, 2017, selling, general and administrative expense increased compared to the same period in 2016 primarily due to higher compensation related costs of $34.1 million mainly as a result of increased headcount. We also incurred higher expenses from advertising and marketing of $18.4 million, outside services costs of $11.1 million, and equipment and maintenance costs of $10.8 million.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0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24.4</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9"/>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47.2</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9"/>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13.5</w:t>
            </w:r>
          </w:p>
        </w:tc>
      </w:tr>
      <w:tr>
        <w:trPr>
          <w:trHeight w:val="27"/>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5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1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expense includes the personnel-related costs including payroll and stock-based compensation and outside consulting expenses associated with the research and development of new products and enhancements to existing products and allocations of corporate overhead expenses including facilities and IT.</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six months ended June 30, 2017, research and development expense increased compared to the same periods in 2016 due to higher compensation costs as a result of increased headcount.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from operations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7"/>
              </w:rPr>
              <w:t>Change</w:t>
            </w:r>
          </w:p>
        </w:tc>
      </w:tr>
      <w:tr>
        <w:trPr>
          <w:trHeight w:val="196"/>
        </w:trPr>
        <w:tc>
          <w:tcPr>
            <w:tcW w:w="504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Clear Aligner</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5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248.7</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w:t>
            </w:r>
          </w:p>
        </w:tc>
      </w:tr>
      <w:tr>
        <w:trPr>
          <w:trHeight w:val="243"/>
        </w:trPr>
        <w:tc>
          <w:tcPr>
            <w:tcW w:w="5040" w:type="dxa"/>
            <w:vAlign w:val="bottom"/>
            <w:gridSpan w:val="5"/>
          </w:tcPr>
          <w:p>
            <w:pPr>
              <w:ind w:left="40"/>
              <w:spacing w:after="0"/>
              <w:rPr>
                <w:sz w:val="20"/>
                <w:szCs w:val="20"/>
                <w:color w:val="auto"/>
              </w:rPr>
            </w:pPr>
            <w:r>
              <w:rPr>
                <w:rFonts w:ascii="Arial" w:cs="Arial" w:eastAsia="Arial" w:hAnsi="Arial"/>
                <w:sz w:val="18"/>
                <w:szCs w:val="18"/>
                <w:i w:val="1"/>
                <w:iCs w:val="1"/>
                <w:color w:val="auto"/>
              </w:rPr>
              <w:t>Operating margin %</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41.7%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44.2%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41.2%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44.1%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50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5040" w:type="dxa"/>
            <w:vAlign w:val="bottom"/>
            <w:gridSpan w:val="5"/>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14.8</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6.4</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3"/>
        </w:trPr>
        <w:tc>
          <w:tcPr>
            <w:tcW w:w="5040" w:type="dxa"/>
            <w:vAlign w:val="bottom"/>
            <w:gridSpan w:val="5"/>
          </w:tcPr>
          <w:p>
            <w:pPr>
              <w:ind w:left="40"/>
              <w:spacing w:after="0" w:line="202" w:lineRule="exact"/>
              <w:rPr>
                <w:sz w:val="20"/>
                <w:szCs w:val="20"/>
                <w:color w:val="auto"/>
              </w:rPr>
            </w:pPr>
            <w:r>
              <w:rPr>
                <w:rFonts w:ascii="Arial" w:cs="Arial" w:eastAsia="Arial" w:hAnsi="Arial"/>
                <w:sz w:val="17"/>
                <w:szCs w:val="17"/>
                <w:b w:val="1"/>
                <w:bCs w:val="1"/>
                <w:color w:val="auto"/>
              </w:rPr>
              <w:t xml:space="preserve">Total income from operations </w:t>
            </w:r>
            <w:r>
              <w:rPr>
                <w:rFonts w:ascii="Arial" w:cs="Arial" w:eastAsia="Arial" w:hAnsi="Arial"/>
                <w:sz w:val="23"/>
                <w:szCs w:val="23"/>
                <w:color w:val="auto"/>
                <w:vertAlign w:val="superscript"/>
              </w:rPr>
              <w:t>(1)</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83.6</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65.1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18.5</w:t>
            </w:r>
          </w:p>
        </w:tc>
        <w:tc>
          <w:tcPr>
            <w:tcW w:w="200" w:type="dxa"/>
            <w:vAlign w:val="bottom"/>
          </w:tcPr>
          <w:p>
            <w:pPr>
              <w:spacing w:after="0"/>
              <w:rPr>
                <w:sz w:val="17"/>
                <w:szCs w:val="17"/>
                <w:color w:val="auto"/>
              </w:rPr>
            </w:pP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145.2</w:t>
            </w:r>
          </w:p>
        </w:tc>
        <w:tc>
          <w:tcPr>
            <w:tcW w:w="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118.5</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26.7</w:t>
            </w: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43"/>
        </w:trPr>
        <w:tc>
          <w:tcPr>
            <w:tcW w:w="5040" w:type="dxa"/>
            <w:vAlign w:val="bottom"/>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21.8%</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194" w:lineRule="exact"/>
        <w:rPr>
          <w:sz w:val="20"/>
          <w:szCs w:val="20"/>
          <w:color w:val="auto"/>
        </w:rPr>
      </w:pPr>
    </w:p>
    <w:p>
      <w:pPr>
        <w:ind w:right="60" w:firstLine="8"/>
        <w:spacing w:after="0" w:line="321" w:lineRule="auto"/>
        <w:tabs>
          <w:tab w:leader="none" w:pos="153" w:val="left"/>
        </w:tabs>
        <w:numPr>
          <w:ilvl w:val="0"/>
          <w:numId w:val="16"/>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 xml:space="preserve">Refer to Note 14 "Segments and Geographical Information" of the Notes to Condensed Consolidated Financial Statements </w:t>
      </w:r>
      <w:r>
        <w:rPr>
          <w:rFonts w:ascii="Arial" w:cs="Arial" w:eastAsia="Arial" w:hAnsi="Arial"/>
          <w:sz w:val="13"/>
          <w:szCs w:val="13"/>
          <w:color w:val="auto"/>
        </w:rPr>
        <w:t>for details on unallocated corporate expenses and</w:t>
      </w:r>
      <w:r>
        <w:rPr>
          <w:rFonts w:ascii="Arial" w:cs="Arial" w:eastAsia="Arial" w:hAnsi="Arial"/>
          <w:sz w:val="13"/>
          <w:szCs w:val="13"/>
          <w:i w:val="1"/>
          <w:iCs w:val="1"/>
          <w:color w:val="auto"/>
        </w:rPr>
        <w:t xml:space="preserve"> </w:t>
      </w:r>
      <w:r>
        <w:rPr>
          <w:rFonts w:ascii="Arial" w:cs="Arial" w:eastAsia="Arial" w:hAnsi="Arial"/>
          <w:sz w:val="13"/>
          <w:szCs w:val="13"/>
          <w:color w:val="auto"/>
        </w:rPr>
        <w:t>the reconciliation to consolidated income from operations.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three months ended June 30, 2017, operating margin percentage declined compared to the same period in 2016 primarily due to higher compensation costs as a result of increased headcount along with a lower ASP.</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six months ended June 30, 2017, operating margin percentage declined compared to the same period in 2016 primarily due to higher compensation costs as a result of increased headcount, lower ASP and higher costs per case.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ended June 30, 2017, operating margin percentage decreased compared to the same period in 2016 due to higher compensation related costs as a result of increased headcount along with a lower ASP. This was partially offset by lower service costs and a favorable product mix shift to our lower cost iTero Element scanner.</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six months ended June 30, 2017, operating margin percentage increased compared to the same period in 2016 due to a favorable product mix shift to our lower cost iTero Element scanner, lower service costs and higher ASP. This was partially offset by higher compensation related costs as a result of increased headcount.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and other income (expenses), net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6"/>
          </w:tcPr>
          <w:p>
            <w:pPr>
              <w:jc w:val="center"/>
              <w:ind w:right="30"/>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2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center"/>
              <w:ind w:right="6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Interest and other income (expenses),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5.2</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other income (expenses), net, includes foreign currency revaluation gains and losses, interest income earned on cash, cash equivalents and investment balances, gains and losses on foreign currency forward contracts and other miscellaneous charges.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and six months ended June 30, 2017, interest and other income (expenses), net increased compared to the same periods in 2016 mainly due to higher foreign exchange gains as a result of the Euro strengthening to the U.S. dollar, partially offset by an out of period adjustment recorded in the second quarter of 2017 (</w:t>
      </w:r>
      <w:r>
        <w:rPr>
          <w:rFonts w:ascii="Arial" w:cs="Arial" w:eastAsia="Arial" w:hAnsi="Arial"/>
          <w:sz w:val="18"/>
          <w:szCs w:val="18"/>
          <w:i w:val="1"/>
          <w:iCs w:val="1"/>
          <w:color w:val="auto"/>
        </w:rPr>
        <w:t>Refer to Note 1 "Summary of Significant Accounting Policies" of the Notes to Condensed Consolidated Financial Statements</w:t>
      </w:r>
      <w:r>
        <w:rPr>
          <w:rFonts w:ascii="Arial" w:cs="Arial" w:eastAsia="Arial" w:hAnsi="Arial"/>
          <w:sz w:val="18"/>
          <w:szCs w:val="18"/>
          <w:color w:val="auto"/>
        </w:rPr>
        <w:t xml:space="preserve"> for details on adjustment).</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in losses of investee, net of tax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6"/>
          </w:tcPr>
          <w:p>
            <w:pPr>
              <w:jc w:val="center"/>
              <w:ind w:right="30"/>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264"/>
        </w:trPr>
        <w:tc>
          <w:tcPr>
            <w:tcW w:w="52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center"/>
              <w:ind w:right="6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Borders>
              <w:bottom w:val="single" w:sz="8" w:color="auto"/>
            </w:tcBorders>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 losses of investee, net of tax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3.3</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invested $46.7 million in SDC on July 25, 2016 and account for this investment based on the equity method of accounting. For the three and six months ended June 30, 2017, we recorded $2.2 million and $3.3 million, respectively, of equity in losses representing our share of losses attributable to equity method investments (</w:t>
      </w:r>
      <w:r>
        <w:rPr>
          <w:rFonts w:ascii="Arial" w:cs="Arial" w:eastAsia="Arial" w:hAnsi="Arial"/>
          <w:sz w:val="18"/>
          <w:szCs w:val="18"/>
          <w:i w:val="1"/>
          <w:iCs w:val="1"/>
          <w:color w:val="auto"/>
        </w:rPr>
        <w:t>Refer to Note 4 "Equity Method Investments" of the Notes to Condensed Consolidated Financial Statements</w:t>
      </w:r>
      <w:r>
        <w:rPr>
          <w:rFonts w:ascii="Arial" w:cs="Arial" w:eastAsia="Arial" w:hAnsi="Arial"/>
          <w:sz w:val="18"/>
          <w:szCs w:val="18"/>
          <w:color w:val="auto"/>
        </w:rPr>
        <w:t xml:space="preserve"> for details on equity method investments).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0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240"/>
              <w:spacing w:after="0"/>
              <w:rPr>
                <w:sz w:val="20"/>
                <w:szCs w:val="20"/>
                <w:color w:val="auto"/>
              </w:rPr>
            </w:pPr>
            <w:r>
              <w:rPr>
                <w:rFonts w:ascii="Arial" w:cs="Arial" w:eastAsia="Arial" w:hAnsi="Arial"/>
                <w:sz w:val="18"/>
                <w:szCs w:val="18"/>
                <w:color w:val="auto"/>
                <w:w w:val="96"/>
              </w:rPr>
              <w:t>15.4</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ind w:left="30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8.2</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ind w:left="32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i w:val="1"/>
                <w:iCs w:val="1"/>
                <w:color w:val="auto"/>
                <w:w w:val="97"/>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w w:val="97"/>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i w:val="1"/>
                <w:iCs w:val="1"/>
                <w:color w:val="auto"/>
                <w:w w:val="92"/>
              </w:rPr>
              <w:t>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i w:val="1"/>
                <w:iCs w:val="1"/>
                <w:color w:val="auto"/>
                <w:w w:val="93"/>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675"/>
        </w:trPr>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the three months ended June 30, 2017 and 2016, provision for income taxes was $15.4 million and $15.1 million, respectively, representing effective tax rates of 17.7% and 23.2%, respectively. Our provision for income taxes was $8.2 million and $27.5 million for the six months ended June 30, 2017 and 2016, respectively, representing effective tax rates of 5.4% and 23.2%, respectively. The decrease in effective tax rate for the three months ended June 30, 2017 compared to the same period in 2016 is primarily attributable to a favorable resolution of our unrecognized tax benefits in our foreign jurisdictions during the quarter ended June 30, 2017. The decrease in effective tax rate for the six months ended June 30, 2017 compared to the same period in 2016 is primarily attributable to the adoption of ASU 2016-09 in the first quarter of fiscal year 2017, which requires excess tax benefits related to stock-based compensation to be recognized as a reduction of income tax expense. For the three and six months ended June 30, 2017, we recognized excess tax benefits of $1.1 million and $22.4 million, respectively, in our provision for income taxes.</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 2016, we implemented a new international corporate structure. This changed the structure of our international procurement and sales operations, as well as realigned the ownership and use of intellectual property among our wholly-owned subsidiaries. We continue to anticipate that an increasing percentage of our consolidated pre-tax income will be derived from, and reinvested in our foreign operations. We believe that income taxed in certain foreign jurisdictions at a lower rate relative to the U.S. federal statutory rate will have a beneficial impact on our worldwide effective tax rate over time.</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June 2017, the Costa Rica Ministry of Foreign Trade, an agency of the Government of Costa Rica, granted an extension of certain income tax incentives for an additional twelve year period, which were originally granted in 2002 and was set to expire in June 2017. Under these incentives, all of the income in Costa Rica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2017 and 2016. For the three and six months ended June 30, 2017, the reduction in income taxes was minimal primarily due to the new international corporate structure implemented on July 1, 2016. For the three and six months ended June 30, 2016, income taxes were reduced by $8.6 million and $17.2 million representing a benefit to diluted net income per share of $0.11 and $0.21, respectively. (</w:t>
      </w:r>
      <w:r>
        <w:rPr>
          <w:rFonts w:ascii="Arial" w:cs="Arial" w:eastAsia="Arial" w:hAnsi="Arial"/>
          <w:sz w:val="17"/>
          <w:szCs w:val="17"/>
          <w:i w:val="1"/>
          <w:iCs w:val="1"/>
          <w:color w:val="auto"/>
        </w:rPr>
        <w:t>Refer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Note 12 "Accounting for Income Taxes" </w:t>
      </w:r>
      <w:r>
        <w:rPr>
          <w:rFonts w:ascii="Arial" w:cs="Arial" w:eastAsia="Arial" w:hAnsi="Arial"/>
          <w:sz w:val="17"/>
          <w:szCs w:val="17"/>
          <w:color w:val="auto"/>
        </w:rPr>
        <w:t>for details on income taxes).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fund our operations primarily from product sales and available cash and cash equivalents and marketable securities. As of June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we had the following cash, cash equivalents, and short-term and long-term marketable securities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6"/>
                <w:szCs w:val="16"/>
                <w:color w:val="auto"/>
              </w:rPr>
            </w:pPr>
          </w:p>
        </w:tc>
        <w:tc>
          <w:tcPr>
            <w:tcW w:w="1200" w:type="dxa"/>
            <w:vAlign w:val="bottom"/>
          </w:tcPr>
          <w:p>
            <w:pPr>
              <w:jc w:val="right"/>
              <w:ind w:right="234"/>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76"/>
        </w:trPr>
        <w:tc>
          <w:tcPr>
            <w:tcW w:w="83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358,182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389,275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Short-term marketable securities</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243,786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250,981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marketable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74,619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59,783</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676,587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700,039</w:t>
            </w:r>
          </w:p>
        </w:tc>
        <w:tc>
          <w:tcPr>
            <w:tcW w:w="0" w:type="dxa"/>
            <w:vAlign w:val="bottom"/>
          </w:tcPr>
          <w:p>
            <w:pPr>
              <w:spacing w:after="0"/>
              <w:rPr>
                <w:sz w:val="1"/>
                <w:szCs w:val="1"/>
                <w:color w:val="auto"/>
              </w:rPr>
            </w:pPr>
          </w:p>
        </w:tc>
      </w:tr>
      <w:tr>
        <w:trPr>
          <w:trHeight w:val="27"/>
        </w:trPr>
        <w:tc>
          <w:tcPr>
            <w:tcW w:w="836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4"/>
          </w:tcPr>
          <w:p>
            <w:pPr>
              <w:jc w:val="right"/>
              <w:ind w:right="8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3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Net cash flow provided by (used in):</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158,088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106,847</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(51,503)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(55,508)</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3,613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June 30, 2017, we had $676.6 million in cash, cash equivalents and short-term and long-term marketable securities. Cash equivalents and marketable securities are comprised of money market funds and highly liquid debt instruments which primarily include commercial paper, corporate bonds, U.S. government agency bonds, U.S. government treasury bonds, municipal securities and certificates of deposit.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2017, approximately $458.2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Refer to Note 11 "Common Stock Repurchase Program" of the Notes to Condensed Consolidated Financial Statements </w:t>
      </w:r>
      <w:r>
        <w:rPr>
          <w:rFonts w:ascii="Arial" w:cs="Arial" w:eastAsia="Arial" w:hAnsi="Arial"/>
          <w:sz w:val="18"/>
          <w:szCs w:val="18"/>
          <w:color w:val="auto"/>
        </w:rPr>
        <w:t>for details on stock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w:t>
      </w:r>
    </w:p>
    <w:p>
      <w:pPr>
        <w:spacing w:after="0" w:line="170" w:lineRule="exact"/>
        <w:rPr>
          <w:sz w:val="20"/>
          <w:szCs w:val="20"/>
          <w:color w:val="auto"/>
        </w:rPr>
      </w:pPr>
    </w:p>
    <w:p>
      <w:pPr>
        <w:jc w:val="both"/>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April 2016 Repurchase Program. </w:t>
      </w:r>
      <w:r>
        <w:rPr>
          <w:rFonts w:ascii="Arial" w:cs="Arial" w:eastAsia="Arial" w:hAnsi="Arial"/>
          <w:sz w:val="18"/>
          <w:szCs w:val="18"/>
          <w:color w:val="auto"/>
        </w:rPr>
        <w:t>On April 28, 2016, we announced that our Board of Directors had authorized a plan to repurchase up to $300.0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our stock. On May 2, 2017, we entered into an ASR to repurchase $50.0 million of our common stock ("2017 ASR"). We paid $50.0 million on May 3, 2017 and received an initial delivery of approximately 0.3 million shares based on current market price $134.12, which were retired. The remaining $15.0 million was recorded as an equity forward contract and was included in additional paid-in capital in stockholders' equity in the Condensed Consolidated Balance Sheet as of June 30, 2017. The $15.0 million equity forward contract will be settled at the completion of the ASR in August 2017. The final number of shares to be repurchased will be based on our volume-weighted average stock price under the terms of the 2017 ASR, less an agreed upon discount.</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six months ended June 30, 2017, cash flows from operations of $158.1 million resulted primarily from our net income of approximately $138.6 million as well as the following: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Stock-based compensation was $29.1 million related to equity incentive compensation granted to employees and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Depreciation and amortization of $16.7 million related to our fixed assets and intangible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change in deferred tax assets of $6.1 million.</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of $52.0 million in accounts receivable which is a result of the increase in net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of $29.6 million in deferred revenues corresponding to the increases in case shipments,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of $15.4 million in accrued and other long-term liabilities due to timing of payments and activities.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cash used in investing activities was $108.6 million for the six months ended June 30, 2017 primarily consisted of purchases of marketable securities of $212.2 million, property and plant and equipment purchases of $78.0 million, of which $47.4 million is related to our new headquarters office purchase and improvements, $15.0 million of loan advance to equity investee and $9.0 million paid for the acquisitions of certain of our distributors, net of cash received. These outflows were partially offset by maturities and sales of marketable securities of $205.4 million.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remainder of 2017, we expect to invest an additional $115.0 million to $125.0 million on capital expenditures primarily related to additional manufacturing capacity to support our international expansion. Although we believe our current investment portfolio has little risk of impairment, we cannot predict future market conditions or market liquidity and can provide no assurance that our investment portfolio will remain unimpaired.</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$84.2 million for the six months ended June 30, 2017 primarily resulting from common stock repurchases of $50.0 million and payroll taxes paid for vesting of restricted stock units through share withholdings of $38.0 million. These outflows were offset in part by $7.5 million from proceeds due to issuance of common stock.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contractual obligations have not significantly changed since December 31, 2016 as disclosed in our Annual Report on Form 10-K, other than obligations described in the Form 10-Q herein.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our available liquid investments and those available under our credit facility,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2017, we had no off-balance sheet arrangements that have, or are reasonably likely to have, a current or future material effect on our consolidated financial condition,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stock-based compensation, goodwill and finite-lived assets and related impairment, and income taxes. We use authoritative pronouncements, historical experience and other assumptions as the basis for making estimates. Actual results could differ from those estimates.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the following critical accounting policies and estimates affect our more significant judgments used in the preparation of our consolidated financial statements. These critical accounting policies and related disclosures appear in our Annual Report on Form 10-K for the year ended December 31, 2016:</w:t>
      </w:r>
    </w:p>
    <w:p>
      <w:pPr>
        <w:spacing w:after="0" w:line="114"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Goodwill and Finite-Lived Acquired Intangible Assets;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of Goodwill, Finite-Lived Acquired Intangible Assets and Long-Lived Assets;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rate and interest rate risks that could impact our financial position and results of operations.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Changes in interest rates could impact our anticipated interest income on our cash equivalents and investments in marketable securities. Our cash equivalents and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June 30, 2017, we had approximately $555.4 million invested in available-for-sale marketable securities. An immediate 10% change in interest rates would not have a material adverse impact on our future operating results and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do not enter into investments for trading or speculative purposes and have not used any derivative financial instruments to manage our interest rate risk exposure. We do not have interest bearing liabilities as of June 30, 2017, and, therefore, we are not subject to risks from immediate interest rate increases.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Currency Rate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generally sell our products in the local currency of the respective countries. This provides some natural hedging because most of the subsidiaries’ operating expenses are generally denominated in their local currencies as discussed further below. Regardless of this natural hedging, our results of operations may be adversely impacted by exchange rate fluctuations.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in the past and may in the future enter into currency hedging transactions in an effort to cover some of our exposure to foreign currency exchange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 approach to managing the risks relating to fluctuations in currency rates. It is difficult to predict the impact hedging activities could have on our results of operations. As of June 30, 2017, we did not have any outstanding foreign exchange forward contracts.</w:t>
      </w:r>
    </w:p>
    <w:p>
      <w:pPr>
        <w:spacing w:after="0" w:line="17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Although we will continue to monitor our exposure to currency fluctuations, and, where appropriate, may use financial hedging techniques in the future to minimize the effect of these fluctuations, the impact of an aggregate change of 10% in foreign currency exchange rates relative to the U.S. dollar on our results of operations and financial position could be material.</w:t>
      </w:r>
    </w:p>
    <w:p>
      <w:pPr>
        <w:spacing w:after="0" w:line="20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June 30, 2017,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2017 that have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On May 5, 2017, the Ninth Circuit affirmed the district court's dismissal of the complaint. Plaintiff filed a request for rehearing that was denied by the Ninth Circuit on June 14, 2017. Plaintiff has 90 days following the June 14 Order to file a petition for a writ of certiorari with the United States Supreme Court. Align intends to continue to vigorously defend itself against these allegations. Align is currently unable to predict whether the Plaintiff will file for a writ of certiorari and therefore cannot determine the likelihood of loss nor estimate a range of possible loss, if any.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On June 28, 2017, the Court entered an Order dismissing this action with prejudice pursuant to a joint stipulation between the parties.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or a decline in average selling prices would adversely affect net revenues, gross margin and net income.</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for any reason, including as a result of a shift in product mix towards lower priced products, our operating results would be harmed.</w:t>
      </w:r>
    </w:p>
    <w:p>
      <w:pPr>
        <w:spacing w:after="0" w:line="19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Currently, our products compete directly against products manufactured and distributed by various companies, both within and outside the U.S. Many of these manufacturers, including Danaher Corporation, Sirona Dental Systems, Inc., Dentsply International, Inc. and 3M, have substantially greater financial resources and manufacturing and marketing experience than we do. In addition, as a result of the expiration of certain key patents owned by us, commencing in 2017, we expect that these existing competitors as well as new entrants into the clear aligner market will begin offering an orthodontic system more similar to ours in the near future. Several of these competitors will likely have greater resources as well as the ability to leverage their existing channels in the dental market to compete directly with us, and therefore our share of the clear aligner market could decline which would likely have a material adverse effect on our business, results of operation and financial condition. In addition, corresponding foreign patents will start to expire in 2018 which will likely result in increased competition in some of the markets outside the U.S. Large consumer product companies may also enter the orthodontic supply market. Furthermore, we also face competition from companies that now offer clear aligner therapy directly to the consumer eliminating the need for the consumer to visit a dental office. In addition, we may also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that we will be able to compete successfully against our current or future competitors or that competitive pressures will not have a material adverse effect on our business, results of operations and financial condition.</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key production steps are performed in operations located outside of the U.S.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and we also have order acquisition for the EMEA region at our facility in Amsterdam, the Netherlands. We will continue to establish additional order acquisition and treatment planning facilities closer to our international customers in order to improve our operational efficiency. In addition to the research and development efforts conducted in our North America facilities, we also carry out research and development in Moscow, Russia. We also have customer-care, accounts receivable, credit and collections, customer event registration and accounts payable organizations located at our facility in San Jose, Costa Rica. In addition, we have operations in Israel where the design and wand are assembled and our intraoral scanner is manufactured. Our reliance on international operations exposes us to risks and uncertainties that may affect our business or results of operation, including:</w:t>
      </w:r>
    </w:p>
    <w:p>
      <w:pPr>
        <w:spacing w:after="0" w:line="167" w:lineRule="exact"/>
        <w:rPr>
          <w:sz w:val="20"/>
          <w:szCs w:val="20"/>
          <w:color w:val="auto"/>
        </w:rPr>
      </w:pPr>
    </w:p>
    <w:p>
      <w:pPr>
        <w:ind w:left="660" w:right="2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any travel restrictions to or from our facilities;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income taxes, and other restrictions and limitations, if we were to decide to repatriate any of our foreign cash balances back to the U.S.;</w:t>
      </w:r>
    </w:p>
    <w:p>
      <w:pPr>
        <w:spacing w:after="0" w:line="194" w:lineRule="exact"/>
        <w:rPr>
          <w:rFonts w:ascii="Arial" w:cs="Arial" w:eastAsia="Arial" w:hAnsi="Arial"/>
          <w:sz w:val="16"/>
          <w:szCs w:val="16"/>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jc w:val="both"/>
        <w:ind w:left="660" w:hanging="247"/>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39"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geopolitical instability and the responses to it, such as the possibility of additional sanctions against Russia which continue to bring uncertainty to this region;</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ind w:left="660" w:right="20" w:hanging="247"/>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69" w:lineRule="exact"/>
        <w:rPr>
          <w:rFonts w:ascii="Arial" w:cs="Arial" w:eastAsia="Arial" w:hAnsi="Arial"/>
          <w:sz w:val="16"/>
          <w:szCs w:val="16"/>
          <w:color w:val="auto"/>
        </w:rPr>
      </w:pPr>
    </w:p>
    <w:p>
      <w:pPr>
        <w:ind w:left="660" w:hanging="24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 including the risks associated with the Foreign Corrupt Practices Act and local anti-bribery compliance;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President Donald Trump and his administration have made statements regarding the possibility of changing the way in which the international operations of U.S. companies are taxed, including through the implementation of a border tax, tariff or increase in custom duties on products manufactured in countries outside of the U.S., such as Mexico, and imported into the U.S. In the event such taxes, tariffs, increased custom duties or other measures are implemented, they could have a materially adverse effect on our business and or operating results, and we may have to consider relocating some of our international operations.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Since our growth strategy depends in part on our ability to further penetrate markets outside the U.S. and increase the localization of our products and services, we expect to continue to increase our sales and presence outside the U.S., particularly in the high-growth markets. Our international operations are subject to risks that are customarily encountered in non-U.S. operations, including:</w:t>
      </w:r>
    </w:p>
    <w:p>
      <w:pPr>
        <w:spacing w:after="0" w:line="187" w:lineRule="exact"/>
        <w:rPr>
          <w:sz w:val="20"/>
          <w:szCs w:val="20"/>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it is our intention to indefinitely reinvest earnings outside the U.S., restrictions on the transfer of funds held by our foreign subsidiaries, including with respect to restrictions on our ability to repatriate foreign cash to the U.S at favorable tax rates;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of these factors, either individually or in combination, could materially impact our international operations and adversely affect our business as a whole.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Outside of North America, we currently sell our products in certain countries within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 which could materially impact our international operations and adversely affect our business as a whole.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Demand for our products may not increase as rapidly as we anticipate due to a variety of factors including a weakness in general economic conditions.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or if our product mix shifts to lower priced products or products that have a higher percentage of deferred revenue, our average selling prices would be adversely affected and our net revenues, gross profit, gross margin and net income may be reduced.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results of operations.</w:t>
      </w:r>
    </w:p>
    <w:p>
      <w:pPr>
        <w:spacing w:after="0" w:line="2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net revenues and net income in our consolidated financial statements. The exchange rate between the U.S. dollar and foreign currencies has fluctuated substantially in recent years and may continue to fluctuate substantially in the future. We have in the past and may in the future enter into currency hedging transactions in an effort to cover some of our exposure to foreign currency exchange fluctuations. These transactions may not operate to fully or effectively hedge our exposure to currency fluctuations, and, under certain circumstances, these transactions could have an adverse effect on our financial condition.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We are establishing additional order acquisition and treatment planning facilities closer to our international customers in order to improve our operational efficiency and provide doctors with a better experience to further improve their confidence in using Invisalign to treat more patients, more often. Our ability to plan, construct and equip additional order acquisition, treatment planning and manufacturing facilities is subject to significant risk and uncertainty, including risks inherent in the establishment of a facility, such as hiring and retaining employees and delays and cost overruns as a result of a number of factors, any of which may be out of our control. If the transition into this additional facility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facility capacity may at times exceed or fall short of our production requirements. In addition, if product demand decreases or we fail to forecast demand accurately, we could be required to write off inventory or record excess capacity charges, which would lower our gross margin. Production of our intraoral scanners may also be limited by capacity constraints due to a variety of factors, including our dependency on third party vendors for key components in addition to limited production yields. Any or all of these problems could result in the loss of customers, provide an opportunity for competing products to gain market acceptance and otherwise harm our business and financial results.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not in the past and may not in the future be able to sustain our historical growth rates. If we do not increase profitability or revenue growth or otherwise meet the expectations of securities analysts or investors, the market price of our common stock will likely decline.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U.S. economy and global economies;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scale production of our iTero Element scanner to meet customer demand;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participation in our customer rebate or discount programs increases our average selling price will be adversely affected;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660" w:right="20" w:hanging="247"/>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92" w:lineRule="exact"/>
        <w:rPr>
          <w:rFonts w:ascii="Arial" w:cs="Arial" w:eastAsia="Arial" w:hAnsi="Arial"/>
          <w:sz w:val="17"/>
          <w:szCs w:val="17"/>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660" w:hanging="247"/>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disruptions to our business as a result of our agreement to manufacture clear aligners for SmileDirectClub, LLC ("SDC"), including, market acceptance of the SDC business model and product, possible adverse customer reaction and negative publicity about us and our products;</w:t>
      </w:r>
    </w:p>
    <w:p>
      <w:pPr>
        <w:spacing w:after="0" w:line="92" w:lineRule="exact"/>
        <w:rPr>
          <w:rFonts w:ascii="Arial" w:cs="Arial" w:eastAsia="Arial" w:hAnsi="Arial"/>
          <w:sz w:val="17"/>
          <w:szCs w:val="17"/>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impairments in the value of our strategic investments in SDC and other privately held companies could be material;</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delays in our receipt of patient records made through an intraoral scanner for any reason;</w:t>
      </w:r>
    </w:p>
    <w:p>
      <w:pPr>
        <w:spacing w:after="0" w:line="171"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rules;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hedge against a portion of our foreign currency-denominated assets and liabilities.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265"/>
        <w:spacing w:after="0" w:line="277" w:lineRule="auto"/>
        <w:rPr>
          <w:sz w:val="20"/>
          <w:szCs w:val="20"/>
          <w:color w:val="auto"/>
        </w:rPr>
      </w:pPr>
      <w:r>
        <w:rPr>
          <w:rFonts w:ascii="Arial" w:cs="Arial" w:eastAsia="Arial" w:hAnsi="Arial"/>
          <w:sz w:val="18"/>
          <w:szCs w:val="18"/>
          <w:b w:val="1"/>
          <w:bCs w:val="1"/>
          <w:i w:val="1"/>
          <w:iCs w:val="1"/>
          <w:color w:val="auto"/>
        </w:rPr>
        <w:t>If we are unable to accurately predict our volume growth, and fail to hire a sufficient number of technicians in advance of such demand, the delivery time of our products could be delayed which could adversely affect our results of operations.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Treatment planning is a key step leading to our manufacturing process which relies on sophisticated computer technology requiring new technicians to undergo a relatively long training process. Training production technicians takes approximately 90 to 120 days. As a result, if we are unable to accurately predict our volume growth, we may not have a sufficient number of trained technicians to deliver our products within the time frame our customers expect. Such a delay could cause us to lose existing customers or fail to attract new customers. This could cause a decline in our net revenues and net income and could adversely affect our results of operations.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digital dental modeling is primarily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corporate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6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a multi-year, company-wide program to transform certain business processes or extend established processes which includes the transition to a new enterprise resource planning ("ERP") software system. We implemented the first phase of our ERP on July 1, 2016 and, while we believe we are past any potential significant business disruption, we are still monitoring and troubleshooting potential issues. The implementation of additional functionality in the ERP system entails certain risks, including difficulties with changes in business processes that could disrupt our operations, such as our ability to track orders and timely ship products, manage our supply chain and aggregate financial and operational data. Additionally, if we are not able to accurately forecast expenses related to the project, this may have an adverse impact on our financial condition and operating results.</w:t>
      </w:r>
    </w:p>
    <w:p>
      <w:pPr>
        <w:spacing w:after="0" w:line="183"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or our cloud-based software servers hosted by third party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We have experienced such breaches in the past and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we have experienced such breaches in the past and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7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June 30, 2017, we had issued 446 U.S. patents, 433 foreign issued patents, and 388 pending global patent applications.</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Litigation, interferences, oppositions, inter partes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use or sale of our products. Litigation, interference, oppositions, inter partes reviews, administrative challenges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monetary damages.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12"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including our transition of further business operations into our new ERP software system,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w:t>
      </w:r>
    </w:p>
    <w:p>
      <w:pPr>
        <w:spacing w:after="0" w:line="178" w:lineRule="exact"/>
        <w:rPr>
          <w:sz w:val="20"/>
          <w:szCs w:val="20"/>
          <w:color w:val="auto"/>
        </w:rPr>
      </w:pPr>
    </w:p>
    <w:p>
      <w:pPr>
        <w:jc w:val="both"/>
        <w:ind w:right="20" w:firstLine="284"/>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7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third party manufacturer to supply key sub-assemblies for our iTero Element scanner. As a result, if this third party manufacturer fails to deliver its components, if we lose its services or if we fail to negotiate acceptable terms,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primarily rely on our direct sales force to sell our products, and any failure to maintain our direct sales force could harm our business.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sell our products and generate revenues primarily depends upon our direct sales force within our North American and international markets.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9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existing relationships with distributors may preclude us from entering into additional future arrangements with other distributors;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refusing our requests for 510(k) clearance or pre-market approval of new products, new intended uses, or modifications to existing products;</w:t>
      </w:r>
    </w:p>
    <w:p>
      <w:pPr>
        <w:spacing w:after="0" w:line="182" w:lineRule="exact"/>
        <w:rPr>
          <w:rFonts w:ascii="Arial" w:cs="Arial" w:eastAsia="Arial" w:hAnsi="Arial"/>
          <w:sz w:val="17"/>
          <w:szCs w:val="17"/>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intend to market in the future. Our inability to maintain or obtain regulatory clearances or approvals could materially harm our business.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proposed by the European Union. The U.S. requirements and any additional requirements in Europe could affect the sourcing and availability of metals used in the manufacture of a limited number of parts (if any) contained in our products. For example,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Congress passed health care reform legislation that was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92"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strategic investments. Impairments in the value of our investments and related loan could negatively impact our financial results.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invested in SmileDirectClub, LLC ("SDC") and other privately held companies for strategic reasons and to support key business initiatives, and we may not realize a return on our strategic investments. Many of such companies generate net losses and the market for their products, services or technologies may be slow to develop. Further, valuations of privately held companies are inherently complex due to the lack of readily available market data. If we determine that our investments and related loan in SDC or other privately held companies have experienced a decline in value, we may be required to record impairments, which could be material and could have an adverse impact on our financial results.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Generally Accepted Accounting Principles in the United States (“U.S. GAAP”), we review our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relate to stock-based compensation, revenue recognition and leases.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93"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b w:val="1"/>
          <w:bCs w:val="1"/>
          <w:i w:val="1"/>
          <w:iCs w:val="1"/>
          <w:color w:val="auto"/>
        </w:rPr>
        <w:t>On July 1, 2016, we changed our corporate structure; however, if we are unable to maintain this structure or if it is challenged by U.S. or foreign tax authorities, we may be unable to realize tax savings which could materially and adversely affect our operating results.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implemented a new international corporate structure on July 1, 2016. This corporate structure may reduce our overall effective tax rate over time through changes in the structure of our international procurement and sales operations, as well as realignment of the ownership and use of intellectual property among our wholly-owned subsidiaries.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structure includes legal entities located in jurisdictions with income tax rates lower than the U.S. federal statutory tax rate. Such intercompany arrangements would be designed to result in income earned by such entities in accordance with arm’s-length principles and commensurate with functions performed, risks assumed and ownership of valuable corporate assets. We believe that income taxed in certain foreign jurisdictions at a lower rate relative to the U.S. federal statutory rate will have a beneficial impact on our worldwide effective tax rate over the medium to long term.</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structure is challenged by U.S. or foreign tax authorities, if changes in domestic and international tax laws negatively impact the structure, including proposed legislation to reform U.S. taxation of international business activities, or if we do not operate our business in a manner consistent with the structure and applicable regulatory provisions, we may fail to achieve the financial and operational efficiencies that we anticipate as a result of the structure, and our business, financial condition and operating results may be materially and adversely affected.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Various internal and external factors may have favorable or unfavorable effects on our future effective tax rate. These factors include, but are not limited to, changes in tax laws, regulations and/or rates, new or changes to accounting pronouncements,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stock-based compensation, settlement of income tax audits, and changes in overall levels of pretax earnings. With the adoption of ASU 2016-09, we also anticipate our first quarter effective tax rate to vary significantly due to the timing of when majority of our equity compensation vests each year. Other quarters can also be impacted depending on the timing of equity vests. Our subsidiary in Israel is under audit by the local tax authorities for calendar years 2006 through 2013.</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our tax rate may be impacted by tax holidays or incentives. In June 2017, the Costa Rica Ministry of Foreign Trade, an agency of the Government of Costa Rica, granted an extension of certain income tax incentives for an additional twelve year period, which were originally granted in 2002 and was set to expire in June 2017. Under these incentives, all of the income in Costa Rica during these twelve year incentive periods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2017 and 2016. For the three and six months ended June 30, 2017, the new corporate structure implemented on July 1, 2016 had a minimal impact on income taxes. For the three and six months ended June 30, 2016, income taxes were reduced by $8.6 million and $17.2 million representing a benefit to diluted net income per share of $0.11 and $0.21,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tax laws or tax rulings could negatively impact our income tax provision and net income.</w:t>
      </w:r>
    </w:p>
    <w:p>
      <w:pPr>
        <w:spacing w:after="0" w:line="23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U.S. multinational corporation, we are subject to changing tax laws both within and outside of the U.S. Changes in tax laws or tax rulings, or changes in interpretations of existing tax laws, could affect our income tax provision and net income or require us to change the manner in which we operate our business. Many countries in Europe, as well as a number of other countries and organizations, have recently proposed or recommended changes to existing tax laws or have enacted new laws. For example, the Organization for Economic Cooperation and Development ("OECD") has been working on a "Base Erosion and Profit Shifting Project," which is focused on a number of issues, including the shifting of profits between affiliated entities in different tax jurisdictions. The OECD issued in 2015, and is expected to continue to issue, guidelines and proposals that may change various aspects of the existing framework under which our tax obligations are determined in many of the countries in which we do business. In addition, the current U.S. administration and key members of Congress have made public statements indicating that tax reform is a priority. Certain changes to U.S. tax laws, including limitations on the ability to defer U.S. taxation on earnings outside of the United States until those earnings are repatriated to the United States, could affect the tax treatment of our foreign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a summary of stock repurchases for the three months ended June 30,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Total Number of</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Shares Repurchased</w:t>
            </w:r>
          </w:p>
        </w:tc>
        <w:tc>
          <w:tcPr>
            <w:tcW w:w="180" w:type="dxa"/>
            <w:vAlign w:val="bottom"/>
          </w:tcPr>
          <w:p>
            <w:pPr>
              <w:spacing w:after="0"/>
              <w:rPr>
                <w:sz w:val="12"/>
                <w:szCs w:val="12"/>
                <w:color w:val="auto"/>
              </w:rPr>
            </w:pPr>
          </w:p>
        </w:tc>
        <w:tc>
          <w:tcPr>
            <w:tcW w:w="1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Period</w:t>
            </w:r>
          </w:p>
        </w:tc>
        <w:tc>
          <w:tcPr>
            <w:tcW w:w="24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Repurchased</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Paid per Share</w:t>
            </w:r>
          </w:p>
        </w:tc>
        <w:tc>
          <w:tcPr>
            <w:tcW w:w="2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Announced Program</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2017 through April 31, 2017</w:t>
            </w:r>
          </w:p>
        </w:tc>
        <w:tc>
          <w:tcPr>
            <w:tcW w:w="16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May 1, 2017 through May 31, 2017</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260,960</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134.12</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8"/>
                <w:szCs w:val="18"/>
                <w:color w:val="auto"/>
              </w:rPr>
              <w:t>260,960</w:t>
            </w:r>
          </w:p>
        </w:tc>
        <w:tc>
          <w:tcPr>
            <w:tcW w:w="4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9"/>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June 1, 2017 through June 30, 2017</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Stock Repurchase Programs</w:t>
      </w:r>
    </w:p>
    <w:p>
      <w:pPr>
        <w:spacing w:after="0" w:line="91" w:lineRule="exact"/>
        <w:rPr>
          <w:sz w:val="20"/>
          <w:szCs w:val="20"/>
          <w:color w:val="auto"/>
        </w:rPr>
      </w:pPr>
    </w:p>
    <w:p>
      <w:pPr>
        <w:jc w:val="both"/>
        <w:ind w:left="660" w:hanging="247"/>
        <w:spacing w:after="0" w:line="272" w:lineRule="auto"/>
        <w:tabs>
          <w:tab w:leader="none" w:pos="66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April 2016 Repurchase Program. </w:t>
      </w:r>
      <w:r>
        <w:rPr>
          <w:rFonts w:ascii="Arial" w:cs="Arial" w:eastAsia="Arial" w:hAnsi="Arial"/>
          <w:sz w:val="17"/>
          <w:szCs w:val="17"/>
          <w:color w:val="auto"/>
        </w:rPr>
        <w:t>On April 28, 2016, we announced that our Board of Directors had authorized a plan to repurchase up to $300.0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our stock. On May 2, 2017, we entered into an ASR to repurchase $50.0 million of our common stock ("2017 ASR"). We paid $50.0 million on May 3, 2017 and received an initial delivery of approximately 0.3 million shares based on current market price of $134.12, which were retired. The remaining $15.0 million was recorded as an equity forward contract and was included in additional paid-in capital in stockholders' equity in the Condensed Consolidated Balance Sheet as of June 30, 2017. The $15.0 million equity forward contract will be settled at the completion of the ASR in August 2017. The final number of shares to be repurchased will be based on our volume-weighted average stock price under the terms of the 2017 ASR, less an agreed upon discount.</w:t>
      </w:r>
    </w:p>
    <w:p>
      <w:pPr>
        <w:spacing w:after="0" w:line="20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9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Number</w:t>
            </w:r>
          </w:p>
        </w:tc>
        <w:tc>
          <w:tcPr>
            <w:tcW w:w="592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4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Filing</w:t>
            </w:r>
          </w:p>
        </w:tc>
        <w:tc>
          <w:tcPr>
            <w:tcW w:w="1400" w:type="dxa"/>
            <w:vAlign w:val="bottom"/>
            <w:gridSpan w:val="3"/>
          </w:tcPr>
          <w:p>
            <w:pPr>
              <w:ind w:left="380"/>
              <w:spacing w:after="0" w:line="12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79"/>
              </w:rPr>
              <w:t>Number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9"/>
                <w:szCs w:val="19"/>
                <w:color w:val="auto"/>
              </w:rPr>
            </w:pPr>
          </w:p>
        </w:tc>
        <w:tc>
          <w:tcPr>
            <w:tcW w:w="5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4"/>
              </w:rPr>
              <w:t>Fixed Dollar Accelerated Repurchase Transaction Agreement dated May 2,</w:t>
            </w: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Form 8-K</w:t>
            </w:r>
          </w:p>
        </w:tc>
        <w:tc>
          <w:tcPr>
            <w:tcW w:w="14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5/3/2017</w:t>
            </w: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2017 between Wells Fargo National Association and Align</w:t>
            </w:r>
          </w:p>
        </w:tc>
        <w:tc>
          <w:tcPr>
            <w:tcW w:w="4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9"/>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9"/>
                <w:szCs w:val="19"/>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w w:val="94"/>
              </w:rPr>
              <w:t>Certification of Chief Executive Officer pursuant to 18 U.S.C. Section 1350,</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w w:val="99"/>
              </w:rPr>
              <w:t>as adopted pursuant to Section 302 of the Sarbanes-Oxley Act of 2002.</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420" w:type="dxa"/>
            <w:vAlign w:val="bottom"/>
            <w:shd w:val="clear" w:color="auto" w:fill="CCEEFF"/>
          </w:tcPr>
          <w:p>
            <w:pPr>
              <w:spacing w:after="0"/>
              <w:rPr>
                <w:sz w:val="19"/>
                <w:szCs w:val="19"/>
                <w:color w:val="auto"/>
              </w:rPr>
            </w:pPr>
          </w:p>
        </w:tc>
        <w:tc>
          <w:tcPr>
            <w:tcW w:w="5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5"/>
              </w:rPr>
              <w:t>Certification of Chief Financial Officer pursuant to 18 U.S.C. Section 1350,</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9"/>
              </w:rPr>
              <w:t>as adopted pursuant to Section 302 of the Sarbanes-Oxley Act of 2002.</w:t>
            </w:r>
          </w:p>
        </w:tc>
        <w:tc>
          <w:tcPr>
            <w:tcW w:w="4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9"/>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9"/>
                <w:szCs w:val="19"/>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pursuant to 18 U.S.C. Section 1350, as adopted pursuant to</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Section 906 of the Sarbanes-Oxley Act of 2002.</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59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59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59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702"/>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20" w:type="dxa"/>
            <w:vAlign w:val="bottom"/>
            <w:gridSpan w:val="3"/>
          </w:tcPr>
          <w:p>
            <w:pPr>
              <w:ind w:left="4660"/>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ALIGN TECHNOLOGY, INC.</w:t>
      </w:r>
    </w:p>
    <w:p>
      <w:pPr>
        <w:spacing w:after="0" w:line="387" w:lineRule="exact"/>
        <w:rPr>
          <w:sz w:val="20"/>
          <w:szCs w:val="20"/>
          <w:color w:val="auto"/>
        </w:rPr>
      </w:pPr>
    </w:p>
    <w:p>
      <w:pPr>
        <w:ind w:left="40"/>
        <w:spacing w:after="0"/>
        <w:tabs>
          <w:tab w:leader="none" w:pos="5760" w:val="left"/>
          <w:tab w:leader="none" w:pos="7840" w:val="left"/>
        </w:tabs>
        <w:rPr>
          <w:sz w:val="20"/>
          <w:szCs w:val="20"/>
          <w:color w:val="auto"/>
        </w:rPr>
      </w:pPr>
      <w:r>
        <w:rPr>
          <w:rFonts w:ascii="Arial" w:cs="Arial" w:eastAsia="Arial" w:hAnsi="Arial"/>
          <w:sz w:val="18"/>
          <w:szCs w:val="18"/>
          <w:color w:val="auto"/>
        </w:rPr>
        <w:t>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8"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Joseph M. Hogan</w:t>
      </w:r>
    </w:p>
    <w:p>
      <w:pPr>
        <w:spacing w:after="0" w:line="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58" w:lineRule="exact"/>
        <w:rPr>
          <w:sz w:val="20"/>
          <w:szCs w:val="20"/>
          <w:color w:val="auto"/>
        </w:rPr>
      </w:pPr>
    </w:p>
    <w:p>
      <w:pPr>
        <w:ind w:left="578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8"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John F. Morici</w:t>
      </w:r>
    </w:p>
    <w:p>
      <w:pPr>
        <w:spacing w:after="0" w:line="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9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Number</w:t>
            </w:r>
          </w:p>
        </w:tc>
        <w:tc>
          <w:tcPr>
            <w:tcW w:w="592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4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Filing</w:t>
            </w:r>
          </w:p>
        </w:tc>
        <w:tc>
          <w:tcPr>
            <w:tcW w:w="1400" w:type="dxa"/>
            <w:vAlign w:val="bottom"/>
            <w:gridSpan w:val="3"/>
          </w:tcPr>
          <w:p>
            <w:pPr>
              <w:ind w:left="380"/>
              <w:spacing w:after="0" w:line="12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79"/>
              </w:rPr>
              <w:t>Number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9"/>
                <w:szCs w:val="19"/>
                <w:color w:val="auto"/>
              </w:rPr>
            </w:pPr>
          </w:p>
        </w:tc>
        <w:tc>
          <w:tcPr>
            <w:tcW w:w="5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4"/>
              </w:rPr>
              <w:t>Fixed Dollar Accelerated Repurchase Transaction Agreement dated May 2,</w:t>
            </w: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Form 8-K</w:t>
            </w:r>
          </w:p>
        </w:tc>
        <w:tc>
          <w:tcPr>
            <w:tcW w:w="14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5/3/2017</w:t>
            </w: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2017 between Wells Fargo National Association and Align</w:t>
            </w:r>
          </w:p>
        </w:tc>
        <w:tc>
          <w:tcPr>
            <w:tcW w:w="4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9"/>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9"/>
                <w:szCs w:val="19"/>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w w:val="94"/>
              </w:rPr>
              <w:t>Certification of Chief Executive Officer pursuant to 18 U.S.C. Section 1350,</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w w:val="99"/>
              </w:rPr>
              <w:t>as adopted pursuant to Section 302 of the Sarbanes-Oxley Act of 2002.</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420" w:type="dxa"/>
            <w:vAlign w:val="bottom"/>
            <w:shd w:val="clear" w:color="auto" w:fill="CCEEFF"/>
          </w:tcPr>
          <w:p>
            <w:pPr>
              <w:spacing w:after="0"/>
              <w:rPr>
                <w:sz w:val="19"/>
                <w:szCs w:val="19"/>
                <w:color w:val="auto"/>
              </w:rPr>
            </w:pPr>
          </w:p>
        </w:tc>
        <w:tc>
          <w:tcPr>
            <w:tcW w:w="5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5"/>
              </w:rPr>
              <w:t>Certification of Chief Financial Officer pursuant to 18 U.S.C. Section 1350,</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9"/>
              </w:rPr>
              <w:t>as adopted pursuant to Section 302 of the Sarbanes-Oxley Act of 2002.</w:t>
            </w:r>
          </w:p>
        </w:tc>
        <w:tc>
          <w:tcPr>
            <w:tcW w:w="4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9"/>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9"/>
                <w:szCs w:val="19"/>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pursuant to 18 U.S.C. Section 1350, as adopted pursuant to</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Section 906 of the Sarbanes-Oxley Act of 2002.</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59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59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59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Joseph M. Hogan, certify that:</w:t>
      </w:r>
    </w:p>
    <w:p>
      <w:pPr>
        <w:spacing w:after="0" w:line="38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Joseph M. Hogan</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6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F. Morici, certify that:</w:t>
      </w:r>
    </w:p>
    <w:p>
      <w:pPr>
        <w:spacing w:after="0" w:line="38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John F. Morici</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Align Technology, Inc. (the “Company”) on Form 10-Q for the period ending June 30, 2017 as filed with the Securities and Exchange Commission on the date hereof (the “Report”), I certify, pursuant to 18 U.S.C. § 1350, as adopted pursuant to § 906 of the Sarbanes-Oxley Act of 2002, that:</w:t>
      </w:r>
    </w:p>
    <w:p>
      <w:pPr>
        <w:spacing w:after="0" w:line="154"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3"/>
              </w:rPr>
              <w:t>/s/ JOSEPH M. HOGAN</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89"/>
              </w:rPr>
              <w:t>Joseph M. Hogan</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Align Technology, Inc. (the “Company”) on Form 10-Q for the period ending June 30, 2017 as filed with the Securities and Exchange Commission on the date hereof (the “Report”), I certify, pursuant to 18 U.S.C. § 1350, as adopted pursuant to § 906 of the Sarbanes-Oxley Act of 2002, that:</w:t>
      </w:r>
    </w:p>
    <w:p>
      <w:pPr>
        <w:spacing w:after="0" w:line="154"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3"/>
              </w:rPr>
              <w:t>/s/ JOHN F. MORICI</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John F. Morici</w:t>
            </w: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bullet"/>
      <w:start w:val="1"/>
    </w:lvl>
  </w:abstractNum>
  <w:abstractNum w:abstractNumId="3">
    <w:nsid w:val="436C6125"/>
    <w:multiLevelType w:val="hybridMultilevel"/>
    <w:lvl w:ilvl="0">
      <w:lvlJc w:val="left"/>
      <w:lvlText w:val="1"/>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lvl w:ilvl="1">
      <w:lvlJc w:val="left"/>
      <w:lvlText w:val="◦"/>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lvl w:ilvl="1">
      <w:lvlJc w:val="left"/>
      <w:lvlText w:val="◦"/>
      <w:numFmt w:val="bullet"/>
      <w:start w:val="1"/>
    </w:lvl>
  </w:abstractNum>
  <w:abstractNum w:abstractNumId="12">
    <w:nsid w:val="79838CB2"/>
    <w:multiLevelType w:val="hybridMultilevel"/>
    <w:lvl w:ilvl="0">
      <w:lvlJc w:val="left"/>
      <w:lvlText w:val="•"/>
      <w:numFmt w:val="bullet"/>
      <w:start w:val="1"/>
    </w:lvl>
    <w:lvl w:ilvl="1">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lvl w:ilvl="1">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2019-12-29T05:36:18Z</dcterms:created>
  <dcterms:modified xsi:type="dcterms:W3CDTF">2019-12-29T05:36:18Z</dcterms:modified>
</cp:coreProperties>
</file>