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May 20, 2026</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ALIGN TECHNOLOGY,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000-32259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94-3267295</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410 North Scottsdale Road, Suite 1300 Tempe, Arizona 85288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(602) 742-2000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100"/>
        <w:ind w:left="0" w:right="0" w:hanging="225"/>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225"/>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813" w:type="dxa"/>
        <w:jc w:val="left"/>
        <w:tblInd w:w="0" w:type="dxa"/>
        <w:tblLayout w:type="fixed"/>
        <w:tblCellMar>
          <w:top w:w="28" w:type="dxa"/>
          <w:left w:w="28" w:type="dxa"/>
          <w:bottom w:w="28" w:type="dxa"/>
          <w:right w:w="28" w:type="dxa"/>
        </w:tblCellMar>
      </w:tblPr>
      <w:tblGrid>
        <w:gridCol w:w="1054"/>
        <w:gridCol w:w="922"/>
        <w:gridCol w:w="933"/>
        <w:gridCol w:w="539"/>
        <w:gridCol w:w="539"/>
        <w:gridCol w:w="541"/>
        <w:gridCol w:w="962"/>
        <w:gridCol w:w="962"/>
        <w:gridCol w:w="1361"/>
      </w:tblGrid>
      <w:tr>
        <w:trPr/>
        <w:tc>
          <w:tcPr>
            <w:tcW w:w="105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8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exchange on which registered</w:t>
            </w:r>
          </w:p>
        </w:tc>
      </w:tr>
      <w:tr>
        <w:trPr/>
        <w:tc>
          <w:tcPr>
            <w:tcW w:w="290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1619" w:type="dxa"/>
            <w:gridSpan w:val="3"/>
            <w:tcBorders>
              <w:top w:val="single" w:sz="8" w:space="0" w:color="00000A"/>
              <w:left w:val="single" w:sz="8" w:space="0" w:color="00000A"/>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ALGN</w:t>
            </w:r>
          </w:p>
        </w:tc>
        <w:tc>
          <w:tcPr>
            <w:tcW w:w="3285" w:type="dxa"/>
            <w:gridSpan w:val="3"/>
            <w:tcBorders>
              <w:top w:val="single" w:sz="8" w:space="0" w:color="00000A"/>
              <w:left w:val="single" w:sz="8" w:space="0" w:color="00000A"/>
              <w:right w:val="single" w:sz="8" w:space="0" w:color="00000A"/>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2909" w:type="dxa"/>
            <w:gridSpan w:val="3"/>
            <w:tcBorders>
              <w:top w:val="single" w:sz="8" w:space="0" w:color="00000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A"/>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 </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both"/>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May 20, 2026, Align Technology, Inc. (the “Company”) held its 2026 Annual Meeting of Stockholders (the “Annual Meeting”). The voting results for each item of business presented at the Annual Meeting, as certified by the Company’s inspector of elections, are set forth below: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Proposal 1</w:t>
      </w:r>
      <w:r>
        <w:rPr>
          <w:rFonts w:ascii="Times New Roman;serif" w:hAnsi="Times New Roman;serif"/>
          <w:b w:val="false"/>
          <w:color w:val="000000"/>
          <w:sz w:val="20"/>
        </w:rPr>
        <w:t xml:space="preserve">: Election of the ten </w:t>
      </w:r>
      <w:r>
        <w:rPr>
          <w:rFonts w:ascii="Times New Roman;serif" w:hAnsi="Times New Roman;serif"/>
          <w:b w:val="false"/>
          <w:color w:val="212529"/>
          <w:sz w:val="20"/>
        </w:rPr>
        <w:t>director nominees named below at the Annual Meeting, each to serve for a one-year term or until a successor is elected and qualified or appointed.</w:t>
      </w:r>
    </w:p>
    <w:p>
      <w:pPr>
        <w:pStyle w:val="TextBody"/>
        <w:bidi w:val="0"/>
        <w:spacing w:before="0" w:after="0"/>
        <w:ind w:left="0" w:right="0" w:firstLine="720"/>
        <w:jc w:val="both"/>
        <w:rPr/>
      </w:pPr>
      <w:r>
        <w:rPr/>
      </w:r>
    </w:p>
    <w:tbl>
      <w:tblPr>
        <w:tblW w:w="6392" w:type="dxa"/>
        <w:jc w:val="left"/>
        <w:tblInd w:w="0" w:type="dxa"/>
        <w:tblLayout w:type="fixed"/>
        <w:tblCellMar>
          <w:top w:w="28" w:type="dxa"/>
          <w:left w:w="28" w:type="dxa"/>
          <w:bottom w:w="28" w:type="dxa"/>
          <w:right w:w="28" w:type="dxa"/>
        </w:tblCellMar>
      </w:tblPr>
      <w:tblGrid>
        <w:gridCol w:w="721"/>
        <w:gridCol w:w="634"/>
        <w:gridCol w:w="639"/>
        <w:gridCol w:w="344"/>
        <w:gridCol w:w="344"/>
        <w:gridCol w:w="348"/>
        <w:gridCol w:w="309"/>
        <w:gridCol w:w="309"/>
        <w:gridCol w:w="313"/>
        <w:gridCol w:w="250"/>
        <w:gridCol w:w="250"/>
        <w:gridCol w:w="251"/>
        <w:gridCol w:w="492"/>
        <w:gridCol w:w="492"/>
        <w:gridCol w:w="696"/>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Kevin T. Conroy</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56,833,217</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2,495,269</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23,569</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4,807,543</w:t>
            </w:r>
          </w:p>
        </w:tc>
      </w:tr>
      <w:tr>
        <w:trPr/>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Kevin J. Dallas</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58,717,867</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611,426</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22,760</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4,807,543</w:t>
            </w:r>
          </w:p>
        </w:tc>
      </w:tr>
      <w:tr>
        <w:trPr/>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Joseph M. Hogan</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59,038,919</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291,416</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21,719</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4,807,543</w:t>
            </w:r>
          </w:p>
        </w:tc>
      </w:tr>
      <w:tr>
        <w:trPr/>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Joseph Lacob</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56,716,339</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2,612,735</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22,977</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4,807,543</w:t>
            </w:r>
          </w:p>
        </w:tc>
      </w:tr>
      <w:tr>
        <w:trPr/>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 Raymond Larkin, Jr.</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56,899,895</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2,429,254</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22,902</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4,807,543</w:t>
            </w:r>
          </w:p>
        </w:tc>
      </w:tr>
      <w:tr>
        <w:trPr/>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Anne M. Myong</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58,369,203</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959,790</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23,060</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4,807,543</w:t>
            </w:r>
          </w:p>
        </w:tc>
      </w:tr>
      <w:tr>
        <w:trPr/>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Mojdeh Poul</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58,884,544</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444,912</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22,597</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4,807,543</w:t>
            </w:r>
          </w:p>
        </w:tc>
      </w:tr>
      <w:tr>
        <w:trPr/>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Andrea L. Saia</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58,097,245</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1,231,701</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23,108</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4,807,543</w:t>
            </w:r>
          </w:p>
        </w:tc>
      </w:tr>
      <w:tr>
        <w:trPr/>
        <w:tc>
          <w:tcPr>
            <w:tcW w:w="19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Susan E. Siegel</w:t>
            </w:r>
          </w:p>
        </w:tc>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58,581,332</w:t>
            </w:r>
          </w:p>
        </w:tc>
        <w:tc>
          <w:tcPr>
            <w:tcW w:w="93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748,721</w:t>
            </w:r>
          </w:p>
        </w:tc>
        <w:tc>
          <w:tcPr>
            <w:tcW w:w="7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22,000</w:t>
            </w:r>
          </w:p>
        </w:tc>
        <w:tc>
          <w:tcPr>
            <w:tcW w:w="168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4,807,543</w:t>
            </w:r>
          </w:p>
        </w:tc>
      </w:tr>
      <w:tr>
        <w:trPr/>
        <w:tc>
          <w:tcPr>
            <w:tcW w:w="19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Britt Vitalone</w:t>
            </w:r>
          </w:p>
        </w:tc>
        <w:tc>
          <w:tcPr>
            <w:tcW w:w="10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58,889,032</w:t>
            </w:r>
          </w:p>
        </w:tc>
        <w:tc>
          <w:tcPr>
            <w:tcW w:w="9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439,920</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23,104</w:t>
            </w:r>
          </w:p>
        </w:tc>
        <w:tc>
          <w:tcPr>
            <w:tcW w:w="1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4,807,543</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Proposal 2</w:t>
      </w:r>
      <w:r>
        <w:rPr>
          <w:rFonts w:ascii="Times New Roman;serif" w:hAnsi="Times New Roman;serif"/>
          <w:b w:val="false"/>
          <w:color w:val="000000"/>
          <w:sz w:val="20"/>
        </w:rPr>
        <w:t>: An advisory (non-binding) vote to approve the compensation of the Company’s named executive officers.</w:t>
      </w:r>
    </w:p>
    <w:p>
      <w:pPr>
        <w:pStyle w:val="TextBody"/>
        <w:bidi w:val="0"/>
        <w:spacing w:before="0" w:after="0"/>
        <w:jc w:val="left"/>
        <w:rPr/>
      </w:pPr>
      <w:r>
        <w:rPr/>
      </w:r>
    </w:p>
    <w:tbl>
      <w:tblPr>
        <w:tblW w:w="4413" w:type="dxa"/>
        <w:jc w:val="left"/>
        <w:tblInd w:w="0" w:type="dxa"/>
        <w:tblLayout w:type="fixed"/>
        <w:tblCellMar>
          <w:top w:w="28" w:type="dxa"/>
          <w:left w:w="28" w:type="dxa"/>
          <w:bottom w:w="28" w:type="dxa"/>
          <w:right w:w="28" w:type="dxa"/>
        </w:tblCellMar>
      </w:tblPr>
      <w:tblGrid>
        <w:gridCol w:w="380"/>
        <w:gridCol w:w="332"/>
        <w:gridCol w:w="339"/>
        <w:gridCol w:w="309"/>
        <w:gridCol w:w="309"/>
        <w:gridCol w:w="313"/>
        <w:gridCol w:w="250"/>
        <w:gridCol w:w="250"/>
        <w:gridCol w:w="25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93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7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53,008,355</w:t>
            </w:r>
          </w:p>
        </w:tc>
        <w:tc>
          <w:tcPr>
            <w:tcW w:w="9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6,285,144</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58,546</w:t>
            </w:r>
          </w:p>
        </w:tc>
        <w:tc>
          <w:tcPr>
            <w:tcW w:w="1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4,807,543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Proposal 3</w:t>
      </w:r>
      <w:r>
        <w:rPr>
          <w:rFonts w:ascii="Times New Roman;serif" w:hAnsi="Times New Roman;serif"/>
          <w:b w:val="false"/>
          <w:color w:val="000000"/>
          <w:sz w:val="20"/>
        </w:rPr>
        <w:t>: Ratification of the appointment of PricewaterhouseCoopers LLP as the Company’s independent registered public accounting firm for the fiscal year ending December 31, 2026.</w:t>
      </w:r>
    </w:p>
    <w:p>
      <w:pPr>
        <w:pStyle w:val="TextBody"/>
        <w:bidi w:val="0"/>
        <w:spacing w:before="0" w:after="0"/>
        <w:jc w:val="left"/>
        <w:rPr/>
      </w:pPr>
      <w:r>
        <w:rPr/>
      </w:r>
    </w:p>
    <w:tbl>
      <w:tblPr>
        <w:tblW w:w="2778" w:type="dxa"/>
        <w:jc w:val="left"/>
        <w:tblInd w:w="0" w:type="dxa"/>
        <w:tblLayout w:type="fixed"/>
        <w:tblCellMar>
          <w:top w:w="28" w:type="dxa"/>
          <w:left w:w="28" w:type="dxa"/>
          <w:bottom w:w="28" w:type="dxa"/>
          <w:right w:w="28" w:type="dxa"/>
        </w:tblCellMar>
      </w:tblPr>
      <w:tblGrid>
        <w:gridCol w:w="380"/>
        <w:gridCol w:w="332"/>
        <w:gridCol w:w="339"/>
        <w:gridCol w:w="309"/>
        <w:gridCol w:w="309"/>
        <w:gridCol w:w="313"/>
        <w:gridCol w:w="233"/>
        <w:gridCol w:w="233"/>
        <w:gridCol w:w="330"/>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61,733,668</w:t>
            </w:r>
          </w:p>
        </w:tc>
        <w:tc>
          <w:tcPr>
            <w:tcW w:w="93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2,374,738</w:t>
            </w:r>
          </w:p>
        </w:tc>
        <w:tc>
          <w:tcPr>
            <w:tcW w:w="79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51,182</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Proposal 4</w:t>
      </w:r>
      <w:r>
        <w:rPr>
          <w:rFonts w:ascii="Times New Roman;serif" w:hAnsi="Times New Roman;serif"/>
          <w:b w:val="false"/>
          <w:color w:val="000000"/>
          <w:sz w:val="20"/>
        </w:rPr>
        <w:t>: Ratification of the special meeting provision in the Company’s Amended and Restated Bylaws.</w:t>
      </w:r>
    </w:p>
    <w:p>
      <w:pPr>
        <w:pStyle w:val="TextBody"/>
        <w:bidi w:val="0"/>
        <w:spacing w:before="0" w:after="0"/>
        <w:jc w:val="left"/>
        <w:rPr/>
      </w:pPr>
      <w:r>
        <w:rPr/>
      </w:r>
    </w:p>
    <w:tbl>
      <w:tblPr>
        <w:tblW w:w="4518" w:type="dxa"/>
        <w:jc w:val="left"/>
        <w:tblInd w:w="0" w:type="dxa"/>
        <w:tblLayout w:type="fixed"/>
        <w:tblCellMar>
          <w:top w:w="28" w:type="dxa"/>
          <w:left w:w="28" w:type="dxa"/>
          <w:bottom w:w="28" w:type="dxa"/>
          <w:right w:w="28" w:type="dxa"/>
        </w:tblCellMar>
      </w:tblPr>
      <w:tblGrid>
        <w:gridCol w:w="380"/>
        <w:gridCol w:w="332"/>
        <w:gridCol w:w="339"/>
        <w:gridCol w:w="344"/>
        <w:gridCol w:w="344"/>
        <w:gridCol w:w="348"/>
        <w:gridCol w:w="250"/>
        <w:gridCol w:w="250"/>
        <w:gridCol w:w="251"/>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For</w:t>
            </w:r>
          </w:p>
        </w:tc>
        <w:tc>
          <w:tcPr>
            <w:tcW w:w="10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Against</w:t>
            </w:r>
          </w:p>
        </w:tc>
        <w:tc>
          <w:tcPr>
            <w:tcW w:w="7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Abstain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Broker Non-Votes</w:t>
            </w:r>
          </w:p>
        </w:tc>
      </w:tr>
      <w:tr>
        <w:trPr/>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43,694,385</w:t>
            </w:r>
          </w:p>
        </w:tc>
        <w:tc>
          <w:tcPr>
            <w:tcW w:w="10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15,598,140</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59,522</w:t>
            </w:r>
          </w:p>
        </w:tc>
        <w:tc>
          <w:tcPr>
            <w:tcW w:w="168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4,807,543</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7679" w:type="dxa"/>
        <w:jc w:val="left"/>
        <w:tblInd w:w="0" w:type="dxa"/>
        <w:tblLayout w:type="fixed"/>
        <w:tblCellMar>
          <w:top w:w="28" w:type="dxa"/>
          <w:left w:w="28" w:type="dxa"/>
          <w:bottom w:w="28" w:type="dxa"/>
          <w:right w:w="28" w:type="dxa"/>
        </w:tblCellMar>
      </w:tblPr>
      <w:tblGrid>
        <w:gridCol w:w="391"/>
        <w:gridCol w:w="344"/>
        <w:gridCol w:w="345"/>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both"/>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589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1505"/>
        <w:gridCol w:w="1505"/>
        <w:gridCol w:w="21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ALIGN 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Julie Coletti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Coletti</w:t>
              <w:br/>
              <w:t>Executive Vice President, Chief Legal and Regulatory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May 20,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3553</Characters>
  <CharactersWithSpaces>4057</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