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2015</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October 23, 2015 was 79,490,148.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0">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207,636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615,210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563,053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50,060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44,822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147,910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135,272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157,576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467,300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427,781</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101,751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290,657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246,175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47,348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39,523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119,530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338,005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38,046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129,295</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36,478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49,548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126,449</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140,592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31,306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27,616</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38,247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95,143</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106,291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79,808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80,629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80,173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80,924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81,092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81,576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80"/>
        </w:trPr>
        <w:tc>
          <w:tcPr>
            <w:tcW w:w="51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64"/>
        </w:trPr>
        <w:tc>
          <w:tcPr>
            <w:tcW w:w="51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w w:val="83"/>
              </w:rPr>
              <w:t>2014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27,616</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38,247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95,143</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106,291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Change in unrealized gains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securities, net of tax</w:t>
            </w:r>
          </w:p>
        </w:tc>
        <w:tc>
          <w:tcPr>
            <w:tcW w:w="36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27,828</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37,799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95,308</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106,055</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6"/>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310,715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254,787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$1,803 and $1,563,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129,751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15,928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37,053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145,246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147,892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82,056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7,665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987,997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95,914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87,880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90,684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244,511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201,811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281,303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235,226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6 and 7)</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79,564 and 80,205 issued and outstanding,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810,116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783,410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(30,507)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798,259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752,771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1,079,562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987,997</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95,143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106,291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20,870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29,348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9,252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7,368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28,182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9,957</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158,642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155,294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(350,611)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238,412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124,101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(171,373)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(88,955)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(62,277)</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199,871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242,953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174,040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180,676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and nine months ended September 30, 2015 and 2014, our comprehensive income for the three and nine months ended September 30, 2015 and 2014, our financial position as of September 30, 2015 and our cash flows for the nine months ended September 30, 2015 and 2014. The Condensed Consolidated Balance Sheet as of December 31, 2014 was derived from the December 31, 2014 audited financial statements. Net revenues by geographic area for prior period amounts in Note 12 have been reclassified to conform with the current period presentation. These reclassifications had no impact on our financial position for the three and nine months ended September 30, 2015 and 2014.</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and nine months ended September 30, 2015 are not necessarily indicative of the results that may be expected for the year ending December 31, 2015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2014.</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2015, we launched a new product policy called "Additional Aligners at No Charge" that addressed one of our customers' top complaints. Previously, we charged customers for additional aligners ordered beyond those covered by the initial treatment plan. With this product policy change, we no longer distinguish between mid-course corrections and case refinements and allow doctors to order additional aligners to address either treatment need at no charge. As part of this change, we also grandfathered over one million open cases under this product policy change. These changes were effective for all new Invisalign Full, Teen, and Assist treatments shipped worldwide after July 18, 2015 as well as any open Invisalign Full, Teen and Assist cases as of that date.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concluded that additional aligners is a separate unit of accounting in our treatment plans, similar to case refinement and mid-course correction. We determined the best estimated selling price (“BESP”) of additional aligners based on a cost and margin analysis, as well as other inputs based on our historical pricing practices. Further, we will continue to allocate revenue to each unit in our treatment plan based on the unit's relative selling price based on BESP and recognize the revenue upon the delivery of each unit in the treatment plan. We regularly review our estimates of selling price and maintain internal controls over the establishment and update of these estimates.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September 2015, we entered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These instruments are marked to market through earnings every period and generally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one month in original maturity. The net gain or loss from the settlement of these foreign currency forward contracts is recorded in Interest and other income (expense), net in the consolidated statements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52525"/>
        </w:rPr>
        <w:t>In May 2014, the Financial Accounting Standards Board ("FASB") issued 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In July 2015, the FASB voted to defer the effective date for annual reporting periods beginning after December, 15, 2017 (including interim reporting periods within those periods) and permitted early adoption of the standard, but not before the original effective date of December 15, 2016. We expect the updated standard to become effective for us in the first quarter of fiscal 2018. We have not yet selected a transition method and we are currently evaluating the effect that the updated standard will have on our consolidated financial statements and related disclosures.</w:t>
      </w:r>
    </w:p>
    <w:p>
      <w:pPr>
        <w:spacing w:after="0" w:line="1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April 2015, the FASB issued ASU No. 2015-05, "Customer's Accounting for Fees Paid in a Cloud Computing Arrangement." providing guidance to entities about whether a cloud computing arrangement includes a software license. If a cloud computing arrangement includes a software license, the entity should account for the software license element of the arrangement consistent with the acquisition of other software licenses. If a cloud computing arrangement does not include a software license, the entity should account for the arrangement as a service contract. The new guidance does not change the accounting for an entity's accounting for service contracts. The updated standard becomes effective for interim and annual reporting periods beginning after December 15, 2015. We are currently evaluating the effect </w:t>
      </w:r>
      <w:r>
        <w:rPr>
          <w:rFonts w:ascii="Arial" w:cs="Arial" w:eastAsia="Arial" w:hAnsi="Arial"/>
          <w:sz w:val="18"/>
          <w:szCs w:val="18"/>
          <w:color w:val="252525"/>
        </w:rPr>
        <w:t>that the updated standard will have on our consolidated financial statements and related</w:t>
      </w:r>
      <w:r>
        <w:rPr>
          <w:rFonts w:ascii="Arial" w:cs="Arial" w:eastAsia="Arial" w:hAnsi="Arial"/>
          <w:sz w:val="18"/>
          <w:szCs w:val="18"/>
          <w:color w:val="auto"/>
        </w:rPr>
        <w:t xml:space="preserve"> </w:t>
      </w:r>
      <w:r>
        <w:rPr>
          <w:rFonts w:ascii="Arial" w:cs="Arial" w:eastAsia="Arial" w:hAnsi="Arial"/>
          <w:sz w:val="18"/>
          <w:szCs w:val="18"/>
          <w:color w:val="252525"/>
        </w:rPr>
        <w:t>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2015 and December 31, 2014, the estimated fair value of our short-term and long-term marketable securities, classified as available for sale, are as follows (in thousands):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35,938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176,901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176,862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58,039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27,666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310,698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310,715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22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37,776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54,715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38,741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38,825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145,198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145,246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8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jc w:val="center"/>
        <w:ind w:right="1012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152,055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15,777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Certificates of Deposits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254,843</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22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57,195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20,814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148,030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69"/>
        <w:spacing w:after="0" w:line="297" w:lineRule="auto"/>
        <w:rPr>
          <w:sz w:val="20"/>
          <w:szCs w:val="20"/>
          <w:color w:val="auto"/>
        </w:rPr>
      </w:pPr>
      <w:r>
        <w:rPr>
          <w:rFonts w:ascii="Arial" w:cs="Arial" w:eastAsia="Arial" w:hAnsi="Arial"/>
          <w:sz w:val="16"/>
          <w:szCs w:val="16"/>
          <w:color w:val="auto"/>
        </w:rPr>
        <w:t>For the three and nine months ended September 30, 2015 and 2014, realized gains were immaterial. Unrealized gains and losses for our available for sale securities as of September 30, 2015 and December 31, 2014 were also immaterial. Cash and cash equivalents are not included in the table above as the gross unrealized gains and losses are not material. We have no material short-term or long-term investments that have been in a continuous unrealized loss position for greater than twelve months as of September 30, 2015 and December 31, 2014. Amounts reclassified to earnings from accumulated other comprehensive income related to unrealized gain or losses were immaterial for the three and nine months ended September 30, 2015 and 2014.</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fixed-income securities investment portfolio consists of corporate bonds, certificates of deposits, U.S. dollar dominated foreign corporate bonds, commercial paper, municipal securities, U.S. government agency bonds, U.S. government treasury bonds and asset-backed securities that have a maximum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10 and 11 months as of September 30, 2015 and December 31, 2014, respectively.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September 30, 2015 and December 31, 2014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145,246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147,892</w:t>
            </w:r>
          </w:p>
        </w:tc>
      </w:tr>
      <w:tr>
        <w:trPr>
          <w:trHeight w:val="27"/>
        </w:trPr>
        <w:tc>
          <w:tcPr>
            <w:tcW w:w="8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455,961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402,679</w:t>
            </w: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entity to maximize the use of observable inputs and minimize the use of unobservable inputs when measuring fair value. The three levels of inputs that may be used to measure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Level 1 assets consist of money market funds and U.S. government treasury bonds.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Level 2 assets consist of commercial paper, corporate bonds, certificates of deposits, U.S. government agency bonds, asset-backed securities, municipal securities, U.S. dollar dominated foreign corporate bonds and our Israeli funds that are mainly invested in insurance policies and foreign currency forward contracts.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The foreign currency forward contracts are valued using observable inputs such as quotations on forward foreign exchange rates.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September 30, 2015 and December 31, 2014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September 30, 2015</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71,090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71,090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48,711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35,938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35,938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176,862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58,039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dollar dominated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37,776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54,715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54,715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dollar dominated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38,825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38,825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Israeli funds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440,919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33,998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Certificates of Deposits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509,514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117,376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392,138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September 2015, we began entering into foreign currency forward contracts to minimize the short-term impact of foreign currency exchange rate fluctuations on cash and certain trade and intercompany receivables and payables. These instruments are classified within level 2 of the fair value hierarchy and are included in prepaid expenses and other current assets. The net loss on these forward contracts was immaterial for the three and nine months ended September 30, 2015. As of September 30, 2015, the fair value of foreign exchange forward contracts outstanding was a loss of $0.1 million.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September 30, 2015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September 30, 2015</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48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Local Currency</w:t>
            </w:r>
          </w:p>
        </w:tc>
        <w:tc>
          <w:tcPr>
            <w:tcW w:w="120" w:type="dxa"/>
            <w:vAlign w:val="bottom"/>
          </w:tcPr>
          <w:p>
            <w:pPr>
              <w:spacing w:after="0"/>
              <w:rPr>
                <w:sz w:val="13"/>
                <w:szCs w:val="13"/>
                <w:color w:val="auto"/>
              </w:rPr>
            </w:pPr>
          </w:p>
        </w:tc>
        <w:tc>
          <w:tcPr>
            <w:tcW w:w="1240" w:type="dxa"/>
            <w:vAlign w:val="bottom"/>
          </w:tcPr>
          <w:p>
            <w:pPr>
              <w:jc w:val="right"/>
              <w:ind w:right="34"/>
              <w:spacing w:after="0" w:line="153" w:lineRule="exact"/>
              <w:rPr>
                <w:sz w:val="20"/>
                <w:szCs w:val="20"/>
                <w:color w:val="auto"/>
              </w:rPr>
            </w:pPr>
            <w:r>
              <w:rPr>
                <w:rFonts w:ascii="Arial" w:cs="Arial" w:eastAsia="Arial" w:hAnsi="Arial"/>
                <w:sz w:val="14"/>
                <w:szCs w:val="14"/>
                <w:b w:val="1"/>
                <w:bCs w:val="1"/>
                <w:color w:val="auto"/>
                <w:w w:val="93"/>
              </w:rPr>
              <w:t>Notional Contract</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 (USD)</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w:t>
            </w:r>
          </w:p>
        </w:tc>
        <w:tc>
          <w:tcPr>
            <w:tcW w:w="5500" w:type="dxa"/>
            <w:vAlign w:val="bottom"/>
            <w:tcBorders>
              <w:bottom w:val="single" w:sz="8" w:color="CCEEFF"/>
            </w:tcBorders>
            <w:gridSpan w:val="2"/>
            <w:shd w:val="clear" w:color="auto" w:fill="CCEEFF"/>
          </w:tcPr>
          <w:p>
            <w:pPr>
              <w:ind w:left="5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center"/>
              <w:ind w:left="194"/>
              <w:spacing w:after="0"/>
              <w:rPr>
                <w:sz w:val="20"/>
                <w:szCs w:val="20"/>
                <w:color w:val="auto"/>
              </w:rPr>
            </w:pPr>
            <w:r>
              <w:rPr>
                <w:rFonts w:ascii="Arial" w:cs="Arial" w:eastAsia="Arial" w:hAnsi="Arial"/>
                <w:sz w:val="18"/>
                <w:szCs w:val="18"/>
                <w:color w:val="auto"/>
                <w:w w:val="90"/>
              </w:rPr>
              <w:t>31,600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31,600</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Euro</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€14,600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16,428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5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center"/>
              <w:ind w:left="114"/>
              <w:spacing w:after="0"/>
              <w:rPr>
                <w:sz w:val="20"/>
                <w:szCs w:val="20"/>
                <w:color w:val="auto"/>
              </w:rPr>
            </w:pPr>
            <w:r>
              <w:rPr>
                <w:rFonts w:ascii="Arial" w:cs="Arial" w:eastAsia="Arial" w:hAnsi="Arial"/>
                <w:sz w:val="18"/>
                <w:szCs w:val="18"/>
                <w:color w:val="auto"/>
                <w:w w:val="95"/>
              </w:rPr>
              <w:t>A$5,200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Hong Kong dollar</w:t>
            </w:r>
          </w:p>
        </w:tc>
        <w:tc>
          <w:tcPr>
            <w:tcW w:w="5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HK$</w:t>
            </w:r>
          </w:p>
        </w:tc>
        <w:tc>
          <w:tcPr>
            <w:tcW w:w="980" w:type="dxa"/>
            <w:vAlign w:val="bottom"/>
            <w:tcBorders>
              <w:bottom w:val="single" w:sz="8" w:color="CCEEFF"/>
            </w:tcBorders>
            <w:shd w:val="clear" w:color="auto" w:fill="CCEEFF"/>
          </w:tcPr>
          <w:p>
            <w:pPr>
              <w:jc w:val="center"/>
              <w:ind w:left="194"/>
              <w:spacing w:after="0"/>
              <w:rPr>
                <w:sz w:val="20"/>
                <w:szCs w:val="20"/>
                <w:color w:val="auto"/>
              </w:rPr>
            </w:pPr>
            <w:r>
              <w:rPr>
                <w:rFonts w:ascii="Arial" w:cs="Arial" w:eastAsia="Arial" w:hAnsi="Arial"/>
                <w:sz w:val="18"/>
                <w:szCs w:val="18"/>
                <w:color w:val="auto"/>
                <w:w w:val="90"/>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Singapore dollar</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center"/>
              <w:ind w:left="154"/>
              <w:spacing w:after="0"/>
              <w:rPr>
                <w:sz w:val="20"/>
                <w:szCs w:val="20"/>
                <w:color w:val="auto"/>
              </w:rPr>
            </w:pPr>
            <w:r>
              <w:rPr>
                <w:rFonts w:ascii="Arial" w:cs="Arial" w:eastAsia="Arial" w:hAnsi="Arial"/>
                <w:sz w:val="18"/>
                <w:szCs w:val="18"/>
                <w:color w:val="auto"/>
                <w:w w:val="89"/>
              </w:rPr>
              <w:t>S$2,600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71,014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2,970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18,939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15,928</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Work in process includes costs to produce our clear aligner and intra-oral products. The increase in work in process from December 30, 2014 to September 30, 2015 is due to the production ramp up of iTero Element scanners, which began shipping late in the third quarter of 2015. Finished goods primarily represent our intra-oral scanners and ancillary products that support our clear aligner products.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11,110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marketing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5,736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2,494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2,027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95,914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87,880</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September 30, 2015 and 2014 consists of the following activity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1,529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3,263</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29, 2011, we acquired Cadent Holdings, Inc. (“Cadent”). In connection with the acquisition, we allocated approximately $58.0 million of goodwill to our Clear Aligner reporting unit based on the expected relative synergies generated by the acquisition. On April 30, 2013, we acquired ICA Holdings Pty Limited in a purchase business combination of which $3.6 million was recorded to goodwill, which was attributed to our Clear Aligner reporting unit.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carrying value of goodwill for the nine months ended September 30, 2015,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Clear Aligner</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61,369</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60,978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nine months ended September 30, 2015 were due to foreign currency translation.</w:t>
      </w:r>
    </w:p>
    <w:p>
      <w:pPr>
        <w:spacing w:after="0" w:line="1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fourth quarter of fiscal 2014, we performed the annual goodwill impairment testing and found no impairment events as the fair value of our Clear Aligner reporting unit was significantly in excess of the carrying value.</w:t>
      </w:r>
    </w:p>
    <w:p>
      <w:pPr>
        <w:spacing w:after="0" w:line="1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Acquired intangible assets, arising either as a direct result from the Cadent acquisition or individually acquired, are being amortized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60" w:type="dxa"/>
            <w:vAlign w:val="bottom"/>
          </w:tcPr>
          <w:p>
            <w:pPr>
              <w:spacing w:after="0"/>
              <w:rPr>
                <w:sz w:val="16"/>
                <w:szCs w:val="16"/>
                <w:color w:val="auto"/>
              </w:rPr>
            </w:pPr>
          </w:p>
        </w:tc>
        <w:tc>
          <w:tcPr>
            <w:tcW w:w="14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Impairment Loss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ind w:left="18"/>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1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September 30, 2015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2015</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2018</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2019</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7,695</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Facilities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22, 2013, we entered into a credit facility, which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September 30, 2015, we had no outstanding borrowings under this credit facility; however, we were not in compliance with certain negative covenants. As a result, on October 15, 2015, we received a waiver for our non-compliance and also amended the credit facility in regards to these negative covenants.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2015,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2,594</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9,982</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2,409</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w:t>
            </w:r>
          </w:p>
        </w:tc>
      </w:tr>
      <w:tr>
        <w:trPr>
          <w:trHeight w:val="243"/>
        </w:trPr>
        <w:tc>
          <w:tcPr>
            <w:tcW w:w="960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2015,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2015, we did not have any material indemnification claims that were probable or reasonably possible.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2015, the 2005 Incentive Plan (as amended) has a total reserve of 23,283,379 shares of which 5,371,675 shares are available for issuance.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nine months ended September 30, 2015 and 2014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11,564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30,106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21,748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2,113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6,100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14,661</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29,348</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Activity for the nine months ended September 30, 2015 under the stock option plans is set forth below (in thousands, except years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Contractual Term</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2014</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22,300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September 30, 2015</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22,300</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September 30,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22,300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0" w:firstLine="324"/>
        <w:spacing w:after="0" w:line="277" w:lineRule="auto"/>
        <w:rPr>
          <w:sz w:val="20"/>
          <w:szCs w:val="20"/>
          <w:color w:val="auto"/>
        </w:rPr>
      </w:pPr>
      <w:r>
        <w:rPr>
          <w:rFonts w:ascii="Arial" w:cs="Arial" w:eastAsia="Arial" w:hAnsi="Arial"/>
          <w:sz w:val="18"/>
          <w:szCs w:val="18"/>
          <w:color w:val="auto"/>
        </w:rPr>
        <w:t>There were no stock options granted during the nine months ended September 30, 2015 and 2014. All compensation costs relating to stock options have been recognized as of September 30, 2015.</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for the nine months ended September 30, 2015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Underlying RSU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125,883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2015, the total unamortized compensation cost related to RSU, net of estimated forfeitures, was $75.0 million, which we expect to recognize over a weighted average period of 2.3 years.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activity for the nine months ended September 30, 2015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Underlying MSU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61.73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34,689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2015, the total unamortized compensation costs related to the MSU, net of estimated forfeitures, was $16.2 million, which we expect to recognize over a weighted average period of 1.6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September 30, 2015, there remains 1,133,749 shares available for purchase under the 2010 Purchase Plan.</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4"/>
                <w:szCs w:val="14"/>
                <w:color w:val="auto"/>
              </w:rPr>
            </w:pPr>
          </w:p>
        </w:tc>
      </w:t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92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8"/>
              </w:rPr>
              <w:t>17.10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4"/>
              </w:rPr>
              <w:t>16.44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88"/>
              </w:rPr>
              <w:t>16.19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17.15</w:t>
            </w:r>
          </w:p>
        </w:tc>
      </w:tr>
      <w:tr>
        <w:trPr>
          <w:trHeight w:val="27"/>
        </w:trPr>
        <w:tc>
          <w:tcPr>
            <w:tcW w:w="4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2015, the total unamortized compensation cost related to employee purchases was $2.8 million, which we expect to recognize over a weighted average period of 0.8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Repurchase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23, 2014, we announced that our Board of Directors had authorized a stock repurchase program pursuant to which we may purchase up to $300.0 million of our common stock over the next three years, with $100.0 million authorized over the first 12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52525"/>
        </w:rPr>
        <w:t xml:space="preserve">As part of our $300.0 million stock repurchase program, on April 28, 2014, we </w:t>
      </w:r>
      <w:r>
        <w:rPr>
          <w:rFonts w:ascii="Arial" w:cs="Arial" w:eastAsia="Arial" w:hAnsi="Arial"/>
          <w:sz w:val="18"/>
          <w:szCs w:val="18"/>
          <w:color w:val="000000"/>
        </w:rPr>
        <w:t>entered into an accelerated share repurchase agreement ("2014 ASR") to</w:t>
      </w:r>
      <w:r>
        <w:rPr>
          <w:rFonts w:ascii="Arial" w:cs="Arial" w:eastAsia="Arial" w:hAnsi="Arial"/>
          <w:sz w:val="18"/>
          <w:szCs w:val="18"/>
          <w:color w:val="252525"/>
        </w:rPr>
        <w:t xml:space="preserve"> </w:t>
      </w:r>
      <w:r>
        <w:rPr>
          <w:rFonts w:ascii="Arial" w:cs="Arial" w:eastAsia="Arial" w:hAnsi="Arial"/>
          <w:sz w:val="18"/>
          <w:szCs w:val="18"/>
          <w:color w:val="000000"/>
        </w:rPr>
        <w:t>repurchase $70.0 million of our common stock which was completed in July 2014. We received a total of approximately 1.4 million shares under the 2014 ASR for an average purchase price per share of $51.46, which all shares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were retired. The final number of shares repurchased was based on our volume-weighted average stock price during the term of the transaction, less an agreed upon discount.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repurchased on the open market approximately 0.6 million shares of our common stock at an average price of $50.93 per share, including commissions, for an aggregate purchase price of approximately $28.2 million. In the first quarter of 2015, we repurchased on the open market approximately 0.03 million shares of our common stock at an average price of $57.49 per share, including commission for an aggregate purchase price of approximately $1.8 million. All repurchased shares were retired.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January 2015, our Board of Directors authorized the repurchase of the next $100.0 million under the repurchase program which we anticipate completing within twelve months. On April 28, 2015, </w:t>
      </w:r>
      <w:r>
        <w:rPr>
          <w:rFonts w:ascii="Arial" w:cs="Arial" w:eastAsia="Arial" w:hAnsi="Arial"/>
          <w:sz w:val="17"/>
          <w:szCs w:val="17"/>
          <w:color w:val="252525"/>
        </w:rPr>
        <w:t>we</w:t>
      </w:r>
      <w:r>
        <w:rPr>
          <w:rFonts w:ascii="Arial" w:cs="Arial" w:eastAsia="Arial" w:hAnsi="Arial"/>
          <w:sz w:val="17"/>
          <w:szCs w:val="17"/>
          <w:color w:val="auto"/>
        </w:rPr>
        <w:t xml:space="preserve"> entered into an accelerated share purchase agreement ("2015 ASR") to repurchase $70.0 million of our common stock. Under the terms of the 2015 ASR, we paid $70.0 million on April 29, 2015 and received an initial delivery of approximately 0.8 million shares. The 2015 ASR was completed on July 23, 2015 with a final delivery of approximately 0.3 million shares. We received a total of approximately 1.2 million shares under the 2015 ASR for an average share price of $60.52, which all shares were retired. The final number of shares repurchased was based on our volume-weighted average stock price during the term of the transaction, less an agreed upon discount.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September 30, 2015, we repurchased on the open market approximately 0.3 million shares of our common stock at an average price of $57.04 per share, including commissions, for an aggregate purchase price of approximately $18.8 million. All repurchased shares were retired. As of September 30, 2015, we have $111.2 million remaining under the April 2014 stock repurchase program, $11.2 million of which we expect to purchase within the next six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Accounting for Income Taxes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provision for income taxes was $8.9 million and $11.3 million for the three months ended September 30, 2015 and 2014, respectively. This represents effective tax rates of 24.3% and 22.8%, respectively. Our effective tax rates differ from the statutory federal income tax rate of 35% due to certain foreign earnings, primarily from Costa Rica, which are subject to a lower tax rate, state income tax expense, the tax impact of certain stock-based compensation charges and unrecognized tax benefits. The increase in the effective rate for the three months ended September 30, 2015 compared to the three months ended September 30, 2014 reflects a jurisdictional shift in forecasted earnings from lower tax non-U.S. jurisdictions to the U.S.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was $31.3 million and $34.3 million for the nine months ended September 30, 2015 and 2014, respectively. This represents effective tax rates of 24.8% and 24.4%, respectively. The increase in the effective rate for the nine months ended September 30, 2015 compared to the nine months ended September 30, 2014 reflects a jurisdictional shift in forecasted earnings from lower tax non-U.S. jurisdictions to the U.S., offset by a negative impact in prior year from a $1.8 million adjustment which related to prior periods.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September 30, 2015, we maintained a valuation allowance of $32.8 million against deferred tax assets primarily related to Israel and California operating loss carryforwards and Australia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total gross unrecognized tax benefits was $37.8 million and $33.1 million as of September 30, 2015 and December 31, 2014, respectively, all of which would impact our effective tax rate if recognized. We have elected to recognize interest and penalties related to unrecognized tax benefits as a component of income taxes. The change in accrued interest and penalties during the three and nine months ended September 30, 2015 was not material. We do not expect any significant changes to the amount of unrecognized tax benefit within the next twelve months.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We are currently under audit by the California Franchise Tax Board for fiscal year 2011, 2012 and 2013.</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June 2009, the Costa Rica Ministry of Foreign Trade, an agency of the Government of Costa Rica, granted a twelve year extension of certain income tax incentives, which were previously granted in 2002. The incentive tax rates will expire in various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and 2014. Income taxes were reduced by $8.2 million and $7.7 million for the three months ended September 30, 2015 and 2014, respectively, representing a benefit to diluted net income per share of $0.10 and $0.09 in 2015 and 2014, respectively. As a result of these incentives, our income taxes were reduced by $24.6 million and $22.8 million for the nine months ended September 30, 2015 and 2014, respectively, representing a benefit to diluted net income per share of $0.30 and $0.28 in 2015 and 2014,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ESPP.</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r>
      <w:tr>
        <w:trPr>
          <w:trHeight w:val="192"/>
        </w:trPr>
        <w:tc>
          <w:tcPr>
            <w:tcW w:w="42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27,616</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38,247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95,143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106,291</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w w:val="89"/>
              </w:rPr>
              <w:t>Weighted-average common shares outstanding, basic</w:t>
            </w:r>
          </w:p>
        </w:tc>
        <w:tc>
          <w:tcPr>
            <w:tcW w:w="106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79,808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80,629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80,173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80,924</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8"/>
              </w:rPr>
              <w:t>81,092</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82,014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81,576</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82,443</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4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240" w:type="dxa"/>
            <w:vAlign w:val="bottom"/>
          </w:tcPr>
          <w:p>
            <w:pPr>
              <w:ind w:left="720"/>
              <w:spacing w:after="0"/>
              <w:rPr>
                <w:sz w:val="20"/>
                <w:szCs w:val="20"/>
                <w:color w:val="auto"/>
              </w:rPr>
            </w:pPr>
            <w:r>
              <w:rPr>
                <w:rFonts w:ascii="Arial" w:cs="Arial" w:eastAsia="Arial" w:hAnsi="Arial"/>
                <w:sz w:val="18"/>
                <w:szCs w:val="18"/>
                <w:color w:val="auto"/>
              </w:rPr>
              <w:t>Net income per share, basic</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1.31</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6"/>
        </w:trPr>
        <w:tc>
          <w:tcPr>
            <w:tcW w:w="424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per share, diluted</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nine months ended September 30, 2015 and 2014, the anti-dilutive effect from RSU, MSU and ESPP was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grouped our operations into two reportable segments which are also our reporting units: Clear Aligner segment and Scanner and Services segment.</w:t>
      </w:r>
    </w:p>
    <w:p>
      <w:pPr>
        <w:spacing w:after="0" w:line="170" w:lineRule="exact"/>
        <w:rPr>
          <w:sz w:val="20"/>
          <w:szCs w:val="20"/>
          <w:color w:val="auto"/>
        </w:rPr>
      </w:pPr>
    </w:p>
    <w:p>
      <w:pPr>
        <w:ind w:left="980" w:right="2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7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 September</w:t>
            </w:r>
          </w:p>
        </w:tc>
        <w:tc>
          <w:tcPr>
            <w:tcW w:w="220" w:type="dxa"/>
            <w:vAlign w:val="bottom"/>
          </w:tcPr>
          <w:p>
            <w:pPr>
              <w:spacing w:after="0"/>
              <w:rPr>
                <w:sz w:val="14"/>
                <w:szCs w:val="14"/>
                <w:color w:val="auto"/>
              </w:rPr>
            </w:pPr>
          </w:p>
        </w:tc>
        <w:tc>
          <w:tcPr>
            <w:tcW w:w="2160" w:type="dxa"/>
            <w:vAlign w:val="bottom"/>
            <w:gridSpan w:val="5"/>
          </w:tcPr>
          <w:p>
            <w:pPr>
              <w:jc w:val="center"/>
              <w:ind w:right="113"/>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4"/>
                <w:szCs w:val="14"/>
                <w:b w:val="1"/>
                <w:bCs w:val="1"/>
                <w:color w:val="auto"/>
                <w:w w:val="92"/>
              </w:rPr>
              <w:t>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198,292</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178,138</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586,138</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526,112</w:t>
            </w: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rPr>
                <w:sz w:val="20"/>
                <w:szCs w:val="20"/>
                <w:color w:val="auto"/>
              </w:rPr>
            </w:pPr>
            <w:r>
              <w:rPr>
                <w:rFonts w:ascii="Arial" w:cs="Arial" w:eastAsia="Arial" w:hAnsi="Arial"/>
                <w:sz w:val="18"/>
                <w:szCs w:val="18"/>
                <w:color w:val="auto"/>
              </w:rPr>
              <w:t>Scanner</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36,941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207,636</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189,876</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615,210</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563,053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156,205</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141,117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461,502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415,903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3,937</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157,576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145,054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467,300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2"/>
              </w:rPr>
              <w:t>427,781</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80" w:type="dxa"/>
            <w:vAlign w:val="bottom"/>
          </w:tcPr>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280" w:type="dxa"/>
            <w:vAlign w:val="bottom"/>
          </w:tcPr>
          <w:p>
            <w:pPr>
              <w:spacing w:after="0"/>
              <w:rPr>
                <w:sz w:val="24"/>
                <w:szCs w:val="24"/>
                <w:color w:val="auto"/>
              </w:rPr>
            </w:pPr>
          </w:p>
        </w:tc>
        <w:tc>
          <w:tcPr>
            <w:tcW w:w="27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For the Three Months Ended September</w:t>
            </w:r>
          </w:p>
        </w:tc>
        <w:tc>
          <w:tcPr>
            <w:tcW w:w="220" w:type="dxa"/>
            <w:vAlign w:val="bottom"/>
          </w:tcPr>
          <w:p>
            <w:pPr>
              <w:spacing w:after="0"/>
              <w:rPr>
                <w:sz w:val="24"/>
                <w:szCs w:val="24"/>
                <w:color w:val="auto"/>
              </w:rPr>
            </w:pPr>
          </w:p>
        </w:tc>
        <w:tc>
          <w:tcPr>
            <w:tcW w:w="2160" w:type="dxa"/>
            <w:vAlign w:val="bottom"/>
            <w:gridSpan w:val="5"/>
          </w:tcPr>
          <w:p>
            <w:pPr>
              <w:jc w:val="center"/>
              <w:ind w:right="113"/>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2"/>
              </w:rPr>
              <w:t>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143,933</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134,244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429,005</w:t>
            </w:r>
          </w:p>
        </w:tc>
        <w:tc>
          <w:tcPr>
            <w:tcW w:w="10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396,837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37,427</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34,538</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118,295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113,828</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67,910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52,388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207,636</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189,876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615,210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563,053</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188"/>
        <w:spacing w:after="0" w:line="197" w:lineRule="auto"/>
        <w:tabs>
          <w:tab w:leader="none" w:pos="520" w:val="left"/>
        </w:tabs>
        <w:numPr>
          <w:ilvl w:val="0"/>
          <w:numId w:val="5"/>
        </w:numPr>
        <w:rPr>
          <w:rFonts w:ascii="Arial" w:cs="Arial" w:eastAsia="Arial" w:hAnsi="Arial"/>
          <w:sz w:val="23"/>
          <w:szCs w:val="23"/>
          <w:b w:val="1"/>
          <w:bCs w:val="1"/>
          <w:color w:val="auto"/>
          <w:vertAlign w:val="superscript"/>
        </w:rPr>
      </w:pPr>
      <w:r>
        <w:rPr>
          <w:rFonts w:ascii="Arial" w:cs="Arial" w:eastAsia="Arial" w:hAnsi="Arial"/>
          <w:sz w:val="13"/>
          <w:szCs w:val="13"/>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-128905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r>
      <w:tr>
        <w:trPr>
          <w:trHeight w:val="270"/>
        </w:trPr>
        <w:tc>
          <w:tcPr>
            <w:tcW w:w="85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b w:val="1"/>
                <w:bCs w:val="1"/>
                <w:color w:val="auto"/>
                <w:vertAlign w:val="superscript"/>
              </w:rPr>
              <w:t>(2)</w:t>
            </w: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97,789</w:t>
            </w:r>
          </w:p>
        </w:tc>
        <w:tc>
          <w:tcPr>
            <w:tcW w:w="12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76,511</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7,385</w:t>
            </w:r>
          </w:p>
        </w:tc>
      </w:tr>
      <w:tr>
        <w:trPr>
          <w:trHeight w:val="27"/>
        </w:trPr>
        <w:tc>
          <w:tcPr>
            <w:tcW w:w="8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long-lived assets</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90,125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3"/>
          <w:szCs w:val="13"/>
          <w:color w:val="auto"/>
        </w:rPr>
        <w:t>Long-lived assets are attributed to countries based on entity that owns the asset</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 that the policy simplification “Additional Aligners at No Charge" will help increase Invisalign utilization and volume as well as the expected impact this policy change will have on Invisalign Clear Aligner net revenues in the fourth quarter of 2015 and beyond, our expectations regarding product mix and product adoption, our expectations regarding the existence and impact of seasonality, our expectations regarding the financial and strategic benefits of the Scanner and Services ("Scanner") business, our expectations to increase our investment in manufacturing capacity, our expectations regarding the continued expansion of our international markets, the anticipated number of new doctors trained, the expected date our iTero Element Intraoral Scanner will be available, the effectiveness of our new training course and its impact on volumes, our expectations regarding our stock repurchase program,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Services ("Scanner"), known as the iTero intraoral scanners and OrthoCAD services.</w:t>
      </w:r>
    </w:p>
    <w:p>
      <w:pPr>
        <w:spacing w:after="0" w:line="22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 Pacific, Latin America, and Europe Middle East and Africa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in North America, Europe and other international markets where we have obtained regulatory approval. Over the last several years’ we have continued to build upon our technology and expertise to deliver enhanced clinical innovations aimed at helping our customers treat some of the most challenging cases. These innovations, both launched in early 2014, include Invisalign G5, specifically designed for treatment of deep bite malocclusion, as well as ClinCheck Pro, the next generation Invisalign treatment software tool designed to help Invisalign providers achieve their treatment goals. Most recently, we began the initial commercialization of Invisalign G6 clinical innovations for first premolar extraction during the first quarter of 2015.</w:t>
      </w:r>
    </w:p>
    <w:p>
      <w:pPr>
        <w:spacing w:after="0" w:line="2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also sell iTero intra-oral scanners and provide computer-aided design and computer-aided manufacturing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powered by the iTero scanner. The interactive application provides dentists and orthodontists an enhanced platform for patient education and is designed to increase treatment acceptance by helping patients visualize the benefits possible with Invisalign treatment. In March 2015, we announced our next generation iTero Element Intraoral Scanner which features a more compact footprint, enhanced wand and multi-touch display and is engineered to enable faster scan speeds for more efficient, real-time clinical evaluation.</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in an open systems approach to our technologies and are committed to working with other intra-oral scanning companies interested in developing interoperability for use with Invisalign treatment. In January 2014, we announced that the 3M™ True Definition scanner was qualified for use with Invisalign case submissions. This qualification enables Invisalign providers with a True Definition scanner to submit a digital impression in place of a traditional PVS impression as part of the Invisalign case submission process. In March 2015, we announced that the Sirona CEREC Omnicam with the new CEREC Ortho software 1.1 was qualified for use with Invisalign case submissions. The new CEREC Ortho software was available in select markets in the summer of 2015. The 3M True Definition scanner and Sirona CEREC Omnicam scanner are the only third-party scanners that have been qualified for use with Invisalign treatment.</w:t>
      </w: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Invisalign System is offered in more than 90 countries and has been used to treat more than 3.4 million patients. Our iTero intraoral scanner, which is primarily sold in North America, provides dental professionals with an open choice to send digital impressions to any laboratory-based CAD/CAM system or to any of the more than 3,160 dental labs worldwide.</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successful execution of our business strategy and our results in 2015 and beyond may be affected by a number of other factors including:</w:t>
      </w:r>
    </w:p>
    <w:p>
      <w:pPr>
        <w:spacing w:after="0" w:line="264" w:lineRule="exact"/>
        <w:rPr>
          <w:sz w:val="20"/>
          <w:szCs w:val="20"/>
          <w:color w:val="auto"/>
        </w:rPr>
      </w:pPr>
    </w:p>
    <w:p>
      <w:pPr>
        <w:jc w:val="both"/>
        <w:ind w:left="980" w:hanging="486"/>
        <w:spacing w:after="0" w:line="272"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Additional Aligners at No Charge. </w:t>
      </w:r>
      <w:r>
        <w:rPr>
          <w:rFonts w:ascii="Arial" w:cs="Arial" w:eastAsia="Arial" w:hAnsi="Arial"/>
          <w:sz w:val="17"/>
          <w:szCs w:val="17"/>
          <w:color w:val="auto"/>
        </w:rPr>
        <w:t>In July 2015, we launched a new product policy called "Additional Aligners at No Charge" that addresses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top complaints. Previously, we charged customers for additional aligners ordered beyond those covered by the initial treatment plan. With this product policy change, we no longer distinguish between mid-course corrections and case refinements and allow doctors to order additional aligners to address either treatment need at no charge, subject to certain requirements. These changes were effective for all new Invisalign Full, Teen, and Assist treatments shipped worldwide after July 18, 2015 as well as any open Invisalign Full, Teen and Assist cases as of that date. We expect this product policy change will result in a significant improvement in customer satisfaction and loyalty, which we believe will help increase Invisalign utilization and volume over time.</w:t>
      </w:r>
    </w:p>
    <w:p>
      <w:pPr>
        <w:spacing w:after="0" w:line="366" w:lineRule="exact"/>
        <w:rPr>
          <w:rFonts w:ascii="Arial" w:cs="Arial" w:eastAsia="Arial" w:hAnsi="Arial"/>
          <w:sz w:val="17"/>
          <w:szCs w:val="17"/>
          <w:color w:val="auto"/>
        </w:rPr>
      </w:pPr>
    </w:p>
    <w:p>
      <w:pPr>
        <w:jc w:val="both"/>
        <w:ind w:left="980"/>
        <w:spacing w:after="0" w:line="273" w:lineRule="auto"/>
        <w:rPr>
          <w:rFonts w:ascii="Arial" w:cs="Arial" w:eastAsia="Arial" w:hAnsi="Arial"/>
          <w:sz w:val="17"/>
          <w:szCs w:val="17"/>
          <w:color w:val="auto"/>
        </w:rPr>
      </w:pPr>
      <w:r>
        <w:rPr>
          <w:rFonts w:ascii="Arial" w:cs="Arial" w:eastAsia="Arial" w:hAnsi="Arial"/>
          <w:sz w:val="17"/>
          <w:szCs w:val="17"/>
          <w:color w:val="auto"/>
        </w:rPr>
        <w:t>Based on this new product policy, beginning in the third quarter of 2015, we deferred more revenue as a result of providing free additional aligners for eligible treatments. Additionally, since we grandfathered over 1 million open cases, we will recognize lower revenues as additional aligners are shipped. We expect lower recognitions for at least the next two years until these cases complete. In the third quarter of 2015, the new product policy decreased Clear Aligner net revenues by approximately $7.0 million and reduced operating margin by 2.6% and diluted earnings per share by $0.06 per share. We expect a decrease in Clear Aligner net revenues by approximately $7.0 million to $8.0 million in the fourth quarter of 2015, and by approximately $25.0 million to $30.0 million in fiscal year 2016.</w:t>
      </w:r>
    </w:p>
    <w:p>
      <w:pPr>
        <w:spacing w:after="0" w:line="367" w:lineRule="exact"/>
        <w:rPr>
          <w:rFonts w:ascii="Arial" w:cs="Arial" w:eastAsia="Arial" w:hAnsi="Arial"/>
          <w:sz w:val="17"/>
          <w:szCs w:val="17"/>
          <w:color w:val="auto"/>
        </w:rPr>
      </w:pPr>
    </w:p>
    <w:p>
      <w:pPr>
        <w:jc w:val="both"/>
        <w:ind w:left="980" w:hanging="486"/>
        <w:spacing w:after="0" w:line="269" w:lineRule="auto"/>
        <w:tabs>
          <w:tab w:leader="none" w:pos="9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New Products, Feature Enhancements and Technology Innovation</w:t>
      </w:r>
      <w:r>
        <w:rPr>
          <w:rFonts w:ascii="Arial" w:cs="Arial" w:eastAsia="Arial" w:hAnsi="Arial"/>
          <w:sz w:val="17"/>
          <w:szCs w:val="17"/>
          <w:color w:val="auto"/>
        </w:rPr>
        <w:t>. Product innovation drives greater treatment predictability and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Launched in February 2014, Invisalign G5 was engineered to help doctors achieve even better clinical outcomes when treating patients with deep bites - a prevalent orthodontic problem. In North America, in February 2014 and Internationally in the first quarter of 2015, we launched ClinCheck Pro, the next generation Invisalign treatment software tool, designed to provide more precise control over final tooth position and to help Invisalign providers achieve their treatment goals. Invisalign G6 clinical innovations for premolar extraction became available to Invisalign-trained providers beginning in the first quarter of 2015 with limited commercialization. Full commercialization of Invisalign G6 in Europe, Middle East and Africa ("EMEA"), Asia Pacific, and Latin America geographies will occur throughout 2015 and in North America in early 2016. Invisalign G6 is engineered to improve clinical outcomes for orthodontic treatment of severe crowding and bimaxillary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2" w:name="page23"/>
    <w:bookmarkEnd w:id="22"/>
    <w:p>
      <w:pPr>
        <w:jc w:val="both"/>
        <w:ind w:left="486"/>
        <w:spacing w:after="0" w:line="323" w:lineRule="auto"/>
        <w:rPr>
          <w:sz w:val="20"/>
          <w:szCs w:val="20"/>
          <w:color w:val="auto"/>
        </w:rPr>
      </w:pPr>
      <w:r>
        <w:rPr>
          <w:rFonts w:ascii="Arial" w:cs="Arial" w:eastAsia="Arial" w:hAnsi="Arial"/>
          <w:sz w:val="17"/>
          <w:szCs w:val="17"/>
          <w:color w:val="auto"/>
        </w:rPr>
        <w:t>protrusion. Most recently, in March 2015, we announced the next generation iTero Element Intraoral Scanner with improved imaging technology that is designed to enable significantly faster scan speed, accuracy, intuitive operation, and visualization capabilities. We began shipping the iTero Element Intraoral Scanner in September 2015 and expect to ramp up our production over the next few quarters accordingly; however, if we are unable to scale production of our iTero Element scanner to meet customer demand, our financial results may be negatively impacted.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96" w:lineRule="exact"/>
        <w:rPr>
          <w:sz w:val="20"/>
          <w:szCs w:val="20"/>
          <w:color w:val="auto"/>
        </w:rPr>
      </w:pPr>
    </w:p>
    <w:p>
      <w:pPr>
        <w:jc w:val="both"/>
        <w:ind w:left="486" w:hanging="486"/>
        <w:spacing w:after="0" w:line="264" w:lineRule="auto"/>
        <w:tabs>
          <w:tab w:leader="none" w:pos="48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90170</wp:posOffset>
            </wp:positionV>
            <wp:extent cx="5196840" cy="3302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968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6" w:hanging="133"/>
        <w:spacing w:after="0"/>
        <w:tabs>
          <w:tab w:leader="none" w:pos="1106" w:val="left"/>
        </w:tabs>
        <w:numPr>
          <w:ilvl w:val="0"/>
          <w:numId w:val="9"/>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486"/>
        <w:spacing w:after="0" w:line="269" w:lineRule="auto"/>
        <w:rPr>
          <w:sz w:val="20"/>
          <w:szCs w:val="20"/>
          <w:color w:val="auto"/>
        </w:rPr>
      </w:pPr>
      <w:r>
        <w:rPr>
          <w:rFonts w:ascii="Arial" w:cs="Arial" w:eastAsia="Arial" w:hAnsi="Arial"/>
          <w:sz w:val="17"/>
          <w:szCs w:val="17"/>
          <w:color w:val="auto"/>
        </w:rPr>
        <w:t>Total utilization in the third quarter of 2015 increased to 4.7 cases per doctor compared to 4.4 in the third quarter of 2014. Utilization among our North American orthodontist customers reached an all time high of 9.9 cases per doctor in the third quarter of 2015 compared to 8.8 in the third quarter of 2014. International doctor utilization increased to 4.6 in the third quarter of 2015 from 4.3 in the third quarter of 2014. North American GP doctor utilization increased slightly to 2.9 in the third quarter of 2015 from 2.8 in the third quarter of 2014.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growth in both the EMEA and Asia Pacific regions driven by go-to-market and sales coverage investments, improving clinical education and support as well as ongoing technology innovation. We expect that over the long-term our utilization rates will gradually improve as a result of advancements in product and technology, which continue to strengthen our doctors’ clinical confidence in the use of Invisalign, along with the implementation of our Go-To-Market strategy (as discussed below); however, we expect that our utilization rates may fluctuate from period to period due to a variety of factors, including seasonal trends in our business along with adoption rates of new products and features.</w:t>
      </w:r>
    </w:p>
    <w:p>
      <w:pPr>
        <w:spacing w:after="0" w:line="180" w:lineRule="exact"/>
        <w:rPr>
          <w:sz w:val="20"/>
          <w:szCs w:val="20"/>
          <w:color w:val="auto"/>
        </w:rPr>
      </w:pPr>
    </w:p>
    <w:p>
      <w:pPr>
        <w:jc w:val="both"/>
        <w:ind w:left="486" w:hanging="486"/>
        <w:spacing w:after="0" w:line="259" w:lineRule="auto"/>
        <w:tabs>
          <w:tab w:leader="none" w:pos="486"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Seasonal Trends. </w:t>
      </w:r>
      <w:r>
        <w:rPr>
          <w:rFonts w:ascii="Arial" w:cs="Arial" w:eastAsia="Arial" w:hAnsi="Arial"/>
          <w:sz w:val="18"/>
          <w:szCs w:val="18"/>
          <w:color w:val="auto"/>
        </w:rPr>
        <w:t>The fourth quarter is often a slower period for North American Orthodontists compared to the third quarter; however,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North American Orthodontists volume to be up sequentially in the fourth quarter. Offsetting this trend, our fourth quarter has historically been a stronger quarter for EMEA and a seasonally slower-to-flat quarter for APAC. As a result, we expect international volumes to also be up sequentially in the fourth quarter.</w:t>
      </w:r>
    </w:p>
    <w:p>
      <w:pPr>
        <w:spacing w:after="0" w:line="214"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6"/>
          </w:cols>
          <w:pgMar w:left="734" w:top="638" w:right="239" w:bottom="1440" w:gutter="0" w:footer="0" w:header="0"/>
        </w:sectPr>
      </w:pPr>
    </w:p>
    <w:bookmarkStart w:id="23" w:name="page24"/>
    <w:bookmarkEnd w:id="23"/>
    <w:p>
      <w:pPr>
        <w:ind w:left="486"/>
        <w:spacing w:after="0"/>
        <w:rPr>
          <w:sz w:val="20"/>
          <w:szCs w:val="20"/>
          <w:color w:val="auto"/>
        </w:rPr>
      </w:pPr>
      <w:r>
        <w:rPr>
          <w:rFonts w:ascii="Arial" w:cs="Arial" w:eastAsia="Arial" w:hAnsi="Arial"/>
          <w:sz w:val="18"/>
          <w:szCs w:val="18"/>
          <w:color w:val="auto"/>
        </w:rPr>
        <w:t>Consequently, we expect that our Invisalign volume in the fourth quarter of 2015 will be up compared to the third quarter.</w:t>
      </w:r>
    </w:p>
    <w:p>
      <w:pPr>
        <w:spacing w:after="0" w:line="239" w:lineRule="exact"/>
        <w:rPr>
          <w:sz w:val="20"/>
          <w:szCs w:val="20"/>
          <w:color w:val="auto"/>
        </w:rPr>
      </w:pPr>
    </w:p>
    <w:p>
      <w:pPr>
        <w:jc w:val="both"/>
        <w:ind w:left="486" w:hanging="486"/>
        <w:spacing w:after="0" w:line="253" w:lineRule="auto"/>
        <w:tabs>
          <w:tab w:leader="none" w:pos="486"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through the training of new doctors.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growth was driven primarily by increased utilization by our North American orthodontist doctors and International doctors as well as by the continued expansion of our customer base as we trained a total of 9,440 new Invisalign doctors, of which 56% were trained internationally. GPs are one of the keys to driving growth in the adult segment, and, in 2014, we launched Invisalign Fundamentals, a new training course, designed to improve practice integration and increase utilization for newly trained doctors. The Invisalign Fundamentals program has been implemented across North America, and we will look for opportunities to adjust our international training programs as we work to help our GP practices worldwide more successfully adopt Invisalign into their practices. We believe that this new training approach, together with our go-to market strategy which includes dedicated focus, pre-and post training, has the potential to increase the number of doctors submitting cases 90-days post-training, as well as the number of cases submitted per doctor. During the third quarter of 2015, we trained 2,260 new Invisalign doctors.</w:t>
      </w:r>
    </w:p>
    <w:p>
      <w:pPr>
        <w:spacing w:after="0" w:line="194" w:lineRule="exact"/>
        <w:rPr>
          <w:rFonts w:ascii="Arial" w:cs="Arial" w:eastAsia="Arial" w:hAnsi="Arial"/>
          <w:sz w:val="18"/>
          <w:szCs w:val="18"/>
          <w:i w:val="1"/>
          <w:iCs w:val="1"/>
          <w:color w:val="auto"/>
        </w:rPr>
      </w:pPr>
    </w:p>
    <w:p>
      <w:pPr>
        <w:jc w:val="both"/>
        <w:ind w:left="486" w:hanging="486"/>
        <w:spacing w:after="0" w:line="270" w:lineRule="auto"/>
        <w:tabs>
          <w:tab w:leader="none" w:pos="48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international markets. On a year over year basis, international volume increased 35.1% driven primarily due to strong performance in the Asia Pacific region as well as growth in Europe. In 2015,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North America for the foreseeable future due to our continued investment in international market expansion, the size of the market opportunity, and our relatively low market penetration in this region. In addition, as we plan for further international expansion over the next several years, we must provide better support to our customers in these regions and be geographically closer to their practices. Accordingly, we intend to make further investments in our manufacturing over the next few years to enhance our regional capabilities.</w:t>
      </w:r>
    </w:p>
    <w:p>
      <w:pPr>
        <w:spacing w:after="0" w:line="127" w:lineRule="exact"/>
        <w:rPr>
          <w:rFonts w:ascii="Arial" w:cs="Arial" w:eastAsia="Arial" w:hAnsi="Arial"/>
          <w:sz w:val="17"/>
          <w:szCs w:val="17"/>
          <w:color w:val="auto"/>
        </w:rPr>
      </w:pPr>
    </w:p>
    <w:p>
      <w:pPr>
        <w:jc w:val="both"/>
        <w:ind w:left="486" w:hanging="486"/>
        <w:spacing w:after="0" w:line="273" w:lineRule="auto"/>
        <w:tabs>
          <w:tab w:leader="none" w:pos="48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Go-To-Market Evolution. </w:t>
      </w:r>
      <w:r>
        <w:rPr>
          <w:rFonts w:ascii="Arial" w:cs="Arial" w:eastAsia="Arial" w:hAnsi="Arial"/>
          <w:sz w:val="17"/>
          <w:szCs w:val="17"/>
          <w:color w:val="auto"/>
        </w:rPr>
        <w:t>In order to provide more comprehensive sales and service coverage, in 2015, we implemented an updated go-to-market strategy with an expanded team and new structure in North America. In order to ensure our North America sales and marketing team can increase time in-office and help each practice become more successful, we have added approximately 50 sales team members in 2015, the majority of which were in place as of the end of the first quarter. We also continue to invest in our sales force in EMEA and Asia Pacific in order to support the growth in these regions. We believe that these investments in a refined go-to-market strategy and the strategic deployment of more people will improve adoption and utilization of Invisalign by our customers.</w:t>
      </w:r>
    </w:p>
    <w:p>
      <w:pPr>
        <w:spacing w:after="0" w:line="124" w:lineRule="exact"/>
        <w:rPr>
          <w:rFonts w:ascii="Arial" w:cs="Arial" w:eastAsia="Arial" w:hAnsi="Arial"/>
          <w:sz w:val="17"/>
          <w:szCs w:val="17"/>
          <w:color w:val="auto"/>
        </w:rPr>
      </w:pPr>
    </w:p>
    <w:p>
      <w:pPr>
        <w:jc w:val="both"/>
        <w:ind w:left="486" w:hanging="486"/>
        <w:spacing w:after="0" w:line="257" w:lineRule="auto"/>
        <w:tabs>
          <w:tab w:leader="none" w:pos="48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Invisalign Selling Price. </w:t>
      </w:r>
      <w:r>
        <w:rPr>
          <w:rFonts w:ascii="Arial" w:cs="Arial" w:eastAsia="Arial" w:hAnsi="Arial"/>
          <w:sz w:val="18"/>
          <w:szCs w:val="18"/>
          <w:color w:val="auto"/>
        </w:rPr>
        <w:t>We have historically invested in research and development and continuous product innovation.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and even accelerate this product innovation cycle, we increased our prices by approximately 3% on Invisalign Full and Invisalign Teen products. In North America, the increase of $50 per treatment was effective April 1, 2015, and internationally, the price increase of €50 per treatment was effective July 1, 2015. The prices for Invisalign Assist, Invisalign Express 10 and Invisalign Express 5/Lite products remained unchanged.</w:t>
      </w:r>
    </w:p>
    <w:p>
      <w:pPr>
        <w:spacing w:after="0" w:line="134" w:lineRule="exact"/>
        <w:rPr>
          <w:rFonts w:ascii="Arial" w:cs="Arial" w:eastAsia="Arial" w:hAnsi="Arial"/>
          <w:sz w:val="18"/>
          <w:szCs w:val="18"/>
          <w:color w:val="auto"/>
        </w:rPr>
      </w:pPr>
    </w:p>
    <w:p>
      <w:pPr>
        <w:ind w:left="486" w:hanging="486"/>
        <w:spacing w:after="0"/>
        <w:tabs>
          <w:tab w:leader="none" w:pos="486"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2015 compared to 2014 due in part to:</w:t>
      </w:r>
    </w:p>
    <w:p>
      <w:pPr>
        <w:spacing w:after="0" w:line="171" w:lineRule="exact"/>
        <w:rPr>
          <w:rFonts w:ascii="Arial" w:cs="Arial" w:eastAsia="Arial" w:hAnsi="Arial"/>
          <w:sz w:val="18"/>
          <w:szCs w:val="18"/>
          <w:i w:val="1"/>
          <w:iCs w:val="1"/>
          <w:color w:val="auto"/>
        </w:rPr>
      </w:pPr>
    </w:p>
    <w:p>
      <w:pPr>
        <w:ind w:left="966" w:right="20" w:hanging="236"/>
        <w:spacing w:after="0" w:line="277" w:lineRule="auto"/>
        <w:tabs>
          <w:tab w:leader="none" w:pos="9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increase in North American sales force coverage discussed above, as well as additions to our sales force in EMEA and Asia Pacific regions,</w:t>
      </w:r>
    </w:p>
    <w:p>
      <w:pPr>
        <w:spacing w:after="0" w:line="116" w:lineRule="exact"/>
        <w:rPr>
          <w:rFonts w:ascii="Arial" w:cs="Arial" w:eastAsia="Arial" w:hAnsi="Arial"/>
          <w:sz w:val="18"/>
          <w:szCs w:val="18"/>
          <w:color w:val="auto"/>
        </w:rPr>
      </w:pPr>
    </w:p>
    <w:p>
      <w:pPr>
        <w:ind w:left="966" w:hanging="236"/>
        <w:spacing w:after="0" w:line="277" w:lineRule="auto"/>
        <w:tabs>
          <w:tab w:leader="none" w:pos="9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infrastructure investments, including a project to implement a new enterprise resource planning system which we started in late 2014 with expected "go-live" for various modules and subsidiaries throughout 2016; and</w:t>
      </w:r>
    </w:p>
    <w:p>
      <w:pPr>
        <w:spacing w:after="0" w:line="116" w:lineRule="exact"/>
        <w:rPr>
          <w:rFonts w:ascii="Arial" w:cs="Arial" w:eastAsia="Arial" w:hAnsi="Arial"/>
          <w:sz w:val="18"/>
          <w:szCs w:val="18"/>
          <w:color w:val="auto"/>
        </w:rPr>
      </w:pPr>
    </w:p>
    <w:p>
      <w:pPr>
        <w:ind w:left="966" w:hanging="236"/>
        <w:spacing w:after="0"/>
        <w:tabs>
          <w:tab w:leader="none" w:pos="9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investments in new products and markets.</w:t>
      </w:r>
    </w:p>
    <w:p>
      <w:pPr>
        <w:spacing w:after="0" w:line="171" w:lineRule="exact"/>
        <w:rPr>
          <w:sz w:val="20"/>
          <w:szCs w:val="20"/>
          <w:color w:val="auto"/>
        </w:rPr>
      </w:pPr>
    </w:p>
    <w:p>
      <w:pPr>
        <w:ind w:left="486"/>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jc w:val="both"/>
        <w:ind w:left="486" w:hanging="486"/>
        <w:spacing w:after="0" w:line="276" w:lineRule="auto"/>
        <w:tabs>
          <w:tab w:leader="none" w:pos="48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Investments to Increase Manufacturing Capacity. </w:t>
      </w:r>
      <w:r>
        <w:rPr>
          <w:rFonts w:ascii="Arial" w:cs="Arial" w:eastAsia="Arial" w:hAnsi="Arial"/>
          <w:sz w:val="17"/>
          <w:szCs w:val="17"/>
          <w:color w:val="auto"/>
        </w:rPr>
        <w:t>In February 2015, in order to expand our various clear aligner operating activities to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growth, we purchased another facility in Juarez, Mexico. We began manufacturing aligners in this second facility in September 2015 while continuing to manufacture Aligners at our existing facility in Juarez. Our ability to plan, construct and equip manufacturing facilities is subject to significant risk and uncertainty, including delays and cost overruns. If demand for our product in 2015 exceeds our current expectations, or if the timing of receipt of case product orders during a given quarter is different from our expectations,</w:t>
      </w:r>
    </w:p>
    <w:p>
      <w:pPr>
        <w:spacing w:after="0" w:line="362"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6"/>
          </w:cols>
          <w:pgMar w:left="734" w:top="395" w:right="239" w:bottom="1440" w:gutter="0" w:footer="0" w:header="0"/>
        </w:sectPr>
      </w:pPr>
    </w:p>
    <w:bookmarkStart w:id="24" w:name="page25"/>
    <w:bookmarkEnd w:id="24"/>
    <w:p>
      <w:pPr>
        <w:jc w:val="both"/>
        <w:ind w:left="980"/>
        <w:spacing w:after="0" w:line="311" w:lineRule="auto"/>
        <w:rPr>
          <w:sz w:val="20"/>
          <w:szCs w:val="20"/>
          <w:color w:val="auto"/>
        </w:rPr>
      </w:pPr>
      <w:r>
        <w:rPr>
          <w:rFonts w:ascii="Arial" w:cs="Arial" w:eastAsia="Arial" w:hAnsi="Arial"/>
          <w:sz w:val="18"/>
          <w:szCs w:val="18"/>
          <w:color w:val="auto"/>
        </w:rPr>
        <w:t>we may not be able to fulfill orders in a timely manner, which may negatively impact our financial results and overall business. Conversely, if demand decreases or if we fail to forecast demand accurately, we could be required to record excess capacity charges, which would lower our gross margin.</w:t>
      </w:r>
    </w:p>
    <w:p>
      <w:pPr>
        <w:spacing w:after="0" w:line="100" w:lineRule="exact"/>
        <w:rPr>
          <w:sz w:val="20"/>
          <w:szCs w:val="20"/>
          <w:color w:val="auto"/>
        </w:rPr>
      </w:pPr>
    </w:p>
    <w:p>
      <w:pPr>
        <w:ind w:left="980" w:hanging="486"/>
        <w:spacing w:after="0" w:line="287" w:lineRule="auto"/>
        <w:tabs>
          <w:tab w:leader="none" w:pos="98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Foreign exchange rates. </w:t>
      </w:r>
      <w:r>
        <w:rPr>
          <w:rFonts w:ascii="Arial" w:cs="Arial" w:eastAsia="Arial" w:hAnsi="Arial"/>
          <w:sz w:val="16"/>
          <w:szCs w:val="16"/>
          <w:color w:val="auto"/>
        </w:rPr>
        <w:t>Although the U.S. dollar is our reporting currency, a portion of our net revenues and income are generated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Net revenues and income generated by subsidiaries operating outside of the U.S. are translated into U.S. dollars using exchange rates effective during the respective period and as a result are affected by changes in exchange rates. During the first two quarters of 2015, we continued to experience a negative impact from the weakening of the Euro and other foreign currencies relative to the U.S. dollar. The foreign exchange impact on net revenues for the three and nine month ended September 30, 2015 compared to the same periods in 2014 is discussed under “Clear Aligner - International” in the Results of Operations. If the U.S. dollar continues to strengthen compared to other foreign currencies, including the Euro, our reported amount of net revenues and income will be negatively impacted compared to the same period last year. Although we have historically accepted the exposure to exchange rate movements without using derivative financial instruments to manage this risk, in the third quarter of 2015, we initiated a foreign currency economic hedging program to mitigate the foreign currency risk in countries where we have significant monetary assets and liabilities denominated in currencies other than the functional currency. The impact from these forward contracts was not material to our financial statements for the three months ended September 30, 2015.</w:t>
      </w:r>
    </w:p>
    <w:p>
      <w:pPr>
        <w:spacing w:after="0" w:line="118" w:lineRule="exact"/>
        <w:rPr>
          <w:rFonts w:ascii="Arial" w:cs="Arial" w:eastAsia="Arial" w:hAnsi="Arial"/>
          <w:sz w:val="16"/>
          <w:szCs w:val="16"/>
          <w:i w:val="1"/>
          <w:iCs w:val="1"/>
          <w:color w:val="auto"/>
        </w:rPr>
      </w:pPr>
    </w:p>
    <w:p>
      <w:pPr>
        <w:jc w:val="both"/>
        <w:ind w:left="980" w:hanging="486"/>
        <w:spacing w:after="0" w:line="269" w:lineRule="auto"/>
        <w:tabs>
          <w:tab w:leader="none" w:pos="980" w:val="left"/>
        </w:tabs>
        <w:numPr>
          <w:ilvl w:val="0"/>
          <w:numId w:val="13"/>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Stock Repurchase Authorization. </w:t>
      </w:r>
      <w:r>
        <w:rPr>
          <w:rFonts w:ascii="Arial" w:cs="Arial" w:eastAsia="Arial" w:hAnsi="Arial"/>
          <w:sz w:val="17"/>
          <w:szCs w:val="17"/>
          <w:color w:val="auto"/>
        </w:rPr>
        <w:t>On April 23, 2014, we announced that our Board of Directors had authorized a stock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pursuant to which we may purchase up to $300.0 million of our common stock over the next three years, with $100.0 million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The program does not obligate Align to acquire any particular amount of common stock and depending on market conditions or other factors these purchases may be commenced or suspended at any time, or from time-to-time without prior notice. The </w:t>
      </w:r>
      <w:r>
        <w:rPr>
          <w:rFonts w:ascii="Arial" w:cs="Arial" w:eastAsia="Arial" w:hAnsi="Arial"/>
          <w:sz w:val="17"/>
          <w:szCs w:val="17"/>
          <w:color w:val="252525"/>
        </w:rPr>
        <w:t>authorization or</w:t>
      </w:r>
      <w:r>
        <w:rPr>
          <w:rFonts w:ascii="Arial" w:cs="Arial" w:eastAsia="Arial" w:hAnsi="Arial"/>
          <w:sz w:val="17"/>
          <w:szCs w:val="17"/>
          <w:color w:val="auto"/>
        </w:rPr>
        <w:t xml:space="preserve"> </w:t>
      </w:r>
      <w:r>
        <w:rPr>
          <w:rFonts w:ascii="Arial" w:cs="Arial" w:eastAsia="Arial" w:hAnsi="Arial"/>
          <w:sz w:val="17"/>
          <w:szCs w:val="17"/>
          <w:color w:val="252525"/>
        </w:rPr>
        <w:t>continuance of any repurchases under stock repurchase programs is contingent on a variety of factors, including our financial condition, results of operations, business requirements, and our Board of Directors' continuing determination that such stock repurchases are in the best interests of our stockholders and in compliance with all laws and applicable agreements. Additionally, there can be no assurance that our stock repurchase program will have a beneficial impact on our stock price.</w:t>
      </w:r>
    </w:p>
    <w:p>
      <w:pPr>
        <w:spacing w:after="0" w:line="128" w:lineRule="exact"/>
        <w:rPr>
          <w:rFonts w:ascii="Arial" w:cs="Arial" w:eastAsia="Arial" w:hAnsi="Arial"/>
          <w:sz w:val="17"/>
          <w:szCs w:val="17"/>
          <w:b w:val="1"/>
          <w:bCs w:val="1"/>
          <w:color w:val="auto"/>
        </w:rPr>
      </w:pPr>
    </w:p>
    <w:p>
      <w:pPr>
        <w:jc w:val="both"/>
        <w:ind w:left="98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January 2015, we completed the first $100.0 million under the program, and our Board of Directors authorized the repurchase of the next $100.0 million under the repurchase program, which we anticipate completing within twelve months. On April 28, 2015, we entered into an accelerated share repurchase agreement ("2015 ASR") to repurchase $70.0 million of our common stock. Under the terms of the 2015 ASR, we paid $70.0 million on April 29, 2015 and received an initial delivery of approximately 0.8 million shares based on the then current market price, which were retired. The 2015 ASR was completed on July 23, 2015 with a final delivery of approximately 0.3 million shares. Under the 2015 ASR, we received a total of approximately 1.2 million shares of our common stock for an average share price of $60.52. The final number of shares repurchased was based on our volume-weighted average stock price during the term of the transaction, less an agreed upon discount. During the third quarter of 2015, we also repurchased approximately 0.3 million shares on the open market for a total purchase price of $18.8 million. As of September 30, 2015, there remains approximately $111.2 million available under our existing stock repurchase program, $11.2 million of which we expect to purchase within the next six months.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and Services segment.</w:t>
      </w:r>
    </w:p>
    <w:p>
      <w:pPr>
        <w:spacing w:after="0" w:line="225" w:lineRule="exact"/>
        <w:rPr>
          <w:sz w:val="20"/>
          <w:szCs w:val="20"/>
          <w:color w:val="auto"/>
        </w:rPr>
      </w:pPr>
    </w:p>
    <w:p>
      <w:pPr>
        <w:ind w:left="98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revenues for our Clear Aligner segment by region and product and our Scanner segment by region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is as follows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13"/>
                <w:szCs w:val="13"/>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Net</w:t>
            </w:r>
          </w:p>
        </w:tc>
        <w:tc>
          <w:tcPr>
            <w:tcW w:w="92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14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Invisalign non-case</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Case volume data which represents Invisalign case shipments by region for the three and nine months ended September 30, 2015 and 2014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160"/>
              <w:spacing w:after="0"/>
              <w:rPr>
                <w:sz w:val="20"/>
                <w:szCs w:val="20"/>
                <w:color w:val="auto"/>
              </w:rPr>
            </w:pPr>
            <w:r>
              <w:rPr>
                <w:rFonts w:ascii="Arial" w:cs="Arial" w:eastAsia="Arial" w:hAnsi="Arial"/>
                <w:sz w:val="14"/>
                <w:szCs w:val="14"/>
                <w:b w:val="1"/>
                <w:bCs w:val="1"/>
                <w:color w:val="auto"/>
                <w:w w:val="99"/>
              </w:rPr>
              <w:t>For the 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ind w:left="260"/>
              <w:spacing w:after="0"/>
              <w:rPr>
                <w:sz w:val="20"/>
                <w:szCs w:val="20"/>
                <w:color w:val="auto"/>
              </w:rPr>
            </w:pPr>
            <w:r>
              <w:rPr>
                <w:rFonts w:ascii="Arial" w:cs="Arial" w:eastAsia="Arial" w:hAnsi="Arial"/>
                <w:sz w:val="14"/>
                <w:szCs w:val="14"/>
                <w:b w:val="1"/>
                <w:bCs w:val="1"/>
                <w:color w:val="auto"/>
                <w:w w:val="93"/>
              </w:rPr>
              <w:t>For the 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w:t>
            </w:r>
          </w:p>
        </w:tc>
        <w:tc>
          <w:tcPr>
            <w:tcW w:w="7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080" w:type="dxa"/>
            <w:vAlign w:val="bottom"/>
            <w:gridSpan w:val="3"/>
          </w:tcPr>
          <w:p>
            <w:pPr>
              <w:jc w:val="right"/>
              <w:ind w:right="580"/>
              <w:spacing w:after="0" w:line="153" w:lineRule="exact"/>
              <w:rPr>
                <w:sz w:val="20"/>
                <w:szCs w:val="20"/>
                <w:color w:val="auto"/>
              </w:rPr>
            </w:pPr>
            <w:r>
              <w:rPr>
                <w:rFonts w:ascii="Arial" w:cs="Arial" w:eastAsia="Arial" w:hAnsi="Arial"/>
                <w:sz w:val="14"/>
                <w:szCs w:val="14"/>
                <w:b w:val="1"/>
                <w:bCs w:val="1"/>
                <w:color w:val="auto"/>
              </w:rPr>
              <w:t>Net</w:t>
            </w:r>
          </w:p>
        </w:tc>
        <w:tc>
          <w:tcPr>
            <w:tcW w:w="9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9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00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Net</w:t>
            </w:r>
          </w:p>
        </w:tc>
        <w:tc>
          <w:tcPr>
            <w:tcW w:w="11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American Invisalign</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International Invisalign</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Invisalign case volume</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351.1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revenues increased by $17.6 million and $52.1 million for the three and nine months ended September 30, 2015, respectively, as compared to the same period in 2014, primarily as a result of Invisalign case volume growth across all regions and most products.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three months ended September 30, 2015, Clear Aligner North America net revenues increased by $10.8 million or 9.5% compared to the same period in 2014 primarily due to Invisalign case volume growth of approximately $21.1 million across all channels and most products. These increases were offset in part by lower average selling prices ("ASP") which decreased net revenues by approximately $10.3 million. The decrease in ASP was primarily due to the impact of our new additional aligner product policy launched in July 2015, and, to a lesser extent, due to higher promotional discounts in the current period compared to the same period in the prior year. The decrease in ASP was offset in part by the price increase on our Full products effective April 1, 2015.</w:t>
      </w:r>
    </w:p>
    <w:p>
      <w:pPr>
        <w:spacing w:after="0" w:line="193"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Based on our new "Additional Aligners at No Charge" product policy, beginning in July 2015, we no longer charge customers for additional aligners ordered beyond those covered by the initial treatment. As a result, we deferred more revenue in the three months ended September 30, 2015 due to providing free additional aligners for eligible treatments. This deferred revenue will be recognized in the future as the additional aligners are shipped. Additionally, since we grandfathered over one million open cases, we recognized lower revenues when additional aligners were shipped. This new product policy decreased Clear Aligner net revenues by approximately $6.7 million in the third quarter of 2015 as compared to the same period in the prior year. We expect this policy to continue to impact Clear Aligner net revenues for at least the next two years until the grandfathered cases are closed. We believe that the new product policy will result in a significant improvement in customer satisfaction and loyalty, which we expect will help increase Invisalign utilization and volume over time.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nine months ended September 30, 2015, Clear Aligner North America net revenues increased by $36.2 million or 10.9% compared to the same period in 2014 primarily due to Invisalign case volume growth of approximately $53.4 million across all channels and products. These increases were offset in part by lower ASP, which contributed approximately $17.2 million to the decrease in net revenues. The decrease in ASP was as a result of higher promotional discounts in the current period compared to the same period in the prior year as well as the impact of our new additional aligner product policy launched in July 2015. The decrease in ASP was offset in part by the price increase on our Full products effective April 1, 2015.</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three months ended September 30, 2015, Clear Aligner international net revenues increased by $7.9 million or 14.8% compared to the same period in 2014 primarily driven by Invisalign case volume growth of $18.8 million across all products. This was offset in part by lower ASP which decreased net revenues by approximately $10.9 million. The decrease in ASP was primarily a result of the unfavorable impact from foreign exchange rates of $8.7 million due to the weakening of the Euro compared to the U.S. dollar in the current period compared to the same period in the prior year, and, to a lesser extent, due to the impact of our new additional aligner product policy launched in July 2015 of $4.0 million. These decreases were partially offset by an increase in ASP as we acquired certain distributors in the APAC region, as well as the price increase on our Full products effective July 1, 2015.</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nine months ended September 30, 2015, Clear Aligner International net revenues increased by $19.8 million or 12.4% compared to the same period in 2014 primarily driven by Invisalign case volume growth of $50.3 million across all products. This was offset by lower ASP which decreased net revenues by approximately $30.5 million. The decrease in ASP was primarily a result of the unfavorable impact from foreign exchange rates of $26.7 million due to the weakening of the Euro compared to the U.S. dollar in the current period compared to the same period in the prior year, and, to a lesser extent, due to the impact of our new additional aligner product policy launched in July 2015 of $4.6 million. These decreases were partially offset by an increase in ASP as we acquired certain distributors in the APAC region, as well as the price increase on our Full products effective July 1, 2015.</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Invisalign Non-Case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Invisalign non-case net revenues consists of training fees and ancillary product revenues. Invisalign non-case net revenues increased by $1.5 million or 13.2% and $4.1 million or 12.1%, for the three and nine months ended September 30, 2015, respectively compared to the same periods in 2014 primarily due to increased Vivera volume both in North America and International.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Scanner and Services net revenues decreased $2.4 million or 20.5% and $7.8 million or 21.1% for the three and nine months ended September 30, 2015, respectively, compared to the same periods in 2014. In March 2015, we announced our next generation scanner which did not begin shipping until September 2015; therefore, our net revenues declined for both the three and nine months ended September 30, 2015 primarily due to fewer scanners recognized and permanent price reductions on our previous generation scanner.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3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r>
      <w:tr>
        <w:trPr>
          <w:trHeight w:val="189"/>
        </w:trPr>
        <w:tc>
          <w:tcPr>
            <w:tcW w:w="500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45.6</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50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 and Services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50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147.9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12.6</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r>
      <w:tr>
        <w:trPr>
          <w:trHeight w:val="243"/>
        </w:trPr>
        <w:tc>
          <w:tcPr>
            <w:tcW w:w="500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margin declined slightly for the three and nine months ended September 30, 2015 compared to the same periods in 2014 due to lower ASP which was partially offset by lower manufacturing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Gross margin decreased for the three and nine months ended September 30, 2015 compared to the same periods in 2014 due to lower ASP from permanent price reductions on our previous generation scanner and lower absorption of manufacturing spend on lower production volumes.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Effective for the first quarter of 2015, we combined Sales and Marketing and General and Administrative together to report as Selling, 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49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i w:val="1"/>
                <w:iCs w:val="1"/>
                <w:color w:val="auto"/>
                <w:w w:val="93"/>
              </w:rPr>
              <w:t>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Selling, general and administrative expense for the three months ended September 30, 2015 increased compared to the same period in 2014 primarily due to higher compensation related costs of $15.9 million as a result of increased headcount, which led to higher salaries, stock based compensation and commissions. In addition, we incurred increased consulting expense of $2.6</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primarily as a result of our enterprise resource planning “ERP” project and higher clinical education of $1.7 million due to customer events. These increased expenses were partially offset by lower advertising and media costs of $1.7 million.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Selling, general and administrative expense for the nine months ended September 30, 2015 increased compared to the same period in 2014 primarily due to higher compensation related costs of $33.4 million as a result of increased headcount, which led to higher salaries, stock based compensation and commissions. In addition, consulting costs increased by $9.1 million primarily due to our ERP project. We also incurred higher expenses from clinical education costs, travel, outside legal fees and public relations costs. These increased expenses were partially offset by lower advertising and media costs of $3.1 million. In addition, in the first quarter of 2015, the IRS approved our MDET refund claim of $6.8 million related to our aligners, reducing expense for the nine months ended September 30, 2015.</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7.8</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Research and development expense for the three and nine months ended September 30, 2015 increased compared to the same period in 2014 due to our investment in new products; however, in the third quarter of 2015, we discontinued our research and development for the treatment of obstructive sleep apnea and incurred a $2.0 million charge related to the termination of an agreement with a third party. While we continue to believe that the opportunities in the obstructive sleep apnea market are potentially interesting, we have decided to remain focused on our core business and organic growth opportunities .</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23495</wp:posOffset>
            </wp:positionV>
            <wp:extent cx="2066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03" w:lineRule="exact"/>
        <w:rPr>
          <w:sz w:val="20"/>
          <w:szCs w:val="20"/>
          <w:color w:val="auto"/>
        </w:rPr>
      </w:pPr>
    </w:p>
    <w:p>
      <w:pPr>
        <w:ind w:left="5200"/>
        <w:spacing w:after="0"/>
        <w:tabs>
          <w:tab w:leader="none" w:pos="6360" w:val="left"/>
          <w:tab w:leader="none" w:pos="73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23495</wp:posOffset>
            </wp:positionV>
            <wp:extent cx="20669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100" w:val="left"/>
          <w:tab w:leader="none" w:pos="21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Change</w:t>
      </w:r>
    </w:p>
    <w:p>
      <w:pPr>
        <w:spacing w:after="0" w:line="50" w:lineRule="exact"/>
        <w:rPr>
          <w:sz w:val="20"/>
          <w:szCs w:val="20"/>
          <w:color w:val="auto"/>
        </w:rPr>
      </w:pPr>
    </w:p>
    <w:p>
      <w:pPr>
        <w:sectPr>
          <w:pgSz w:w="11900" w:h="16838" w:orient="portrait"/>
          <w:cols w:equalWidth="0" w:num="2">
            <w:col w:w="7840" w:space="680"/>
            <w:col w:w="2900"/>
          </w:cols>
          <w:pgMar w:left="240" w:top="125" w:right="239" w:bottom="1440" w:gutter="0" w:footer="0" w:header="0"/>
          <w:type w:val="continuous"/>
        </w:sectPr>
      </w:pPr>
    </w:p>
    <w:p>
      <w:pPr>
        <w:ind w:left="40"/>
        <w:spacing w:after="0"/>
        <w:tabs>
          <w:tab w:leader="none" w:pos="4800" w:val="left"/>
          <w:tab w:leader="none" w:pos="5440" w:val="left"/>
          <w:tab w:leader="none" w:pos="6000" w:val="left"/>
          <w:tab w:leader="none" w:pos="6640" w:val="left"/>
          <w:tab w:leader="none" w:pos="7160" w:val="left"/>
          <w:tab w:leader="none" w:pos="7700" w:val="left"/>
          <w:tab w:leader="none" w:pos="8760" w:val="left"/>
          <w:tab w:leader="none" w:pos="9880" w:val="left"/>
          <w:tab w:leader="none" w:pos="11000" w:val="left"/>
        </w:tabs>
        <w:rPr>
          <w:sz w:val="20"/>
          <w:szCs w:val="20"/>
          <w:color w:val="auto"/>
        </w:rPr>
      </w:pPr>
      <w:r>
        <w:rPr>
          <w:rFonts w:ascii="Arial" w:cs="Arial" w:eastAsia="Arial" w:hAnsi="Arial"/>
          <w:sz w:val="18"/>
          <w:szCs w:val="18"/>
          <w:color w:val="auto"/>
        </w:rPr>
        <w:t>Interest and other income (expense),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w:t>
        <w:tab/>
        <w:t>$</w:t>
      </w:r>
      <w:r>
        <w:rPr>
          <w:sz w:val="20"/>
          <w:szCs w:val="20"/>
          <w:color w:val="auto"/>
        </w:rPr>
        <w:tab/>
      </w:r>
      <w:r>
        <w:rPr>
          <w:rFonts w:ascii="Arial" w:cs="Arial" w:eastAsia="Arial" w:hAnsi="Arial"/>
          <w:sz w:val="18"/>
          <w:szCs w:val="18"/>
          <w:color w:val="auto"/>
        </w:rPr>
        <w:t>(2.0)</w:t>
        <w:tab/>
        <w:t>$</w:t>
      </w:r>
      <w:r>
        <w:rPr>
          <w:sz w:val="20"/>
          <w:szCs w:val="20"/>
          <w:color w:val="auto"/>
        </w:rPr>
        <w:tab/>
      </w:r>
      <w:r>
        <w:rPr>
          <w:rFonts w:ascii="Arial" w:cs="Arial" w:eastAsia="Arial" w:hAnsi="Arial"/>
          <w:sz w:val="18"/>
          <w:szCs w:val="18"/>
          <w:color w:val="auto"/>
        </w:rPr>
        <w:t>0.4</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(1.4)</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 net, includes foreign currency translation gains and losses, interest income earned on cash, cash equivalents and investment balances, gains and losses on foreign currency forward contracts and other miscellaneous charges.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 net for the three months ended September 30, 2015 increased slightly compared to the same period in 2014 due to increased interest income on higher balances of cash, cash equivalents and investments.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other income (expense), net for the nine months ended September 30, 2015 decreased compared to the same period in 2014 primarily due to higher foreign exchange losses in the current year period mainly as a result of the strengthening of the U.S. dollar to the Euro and Australian dollar offset in part by increased interest income on higher balances of cash, cash equivalents and investments.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provision for income taxes was $8.9 million and $11.3 million for the three months ended September 30, 2015 and 2014, respectively. This represents effective tax rates of 24.3% and 22.8%, respectively. Our effective tax rates differ from the statutory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income tax rate of 35% due to certain foreign earnings, primarily from Costa Rica, which are subject to a lower tax rate, state income tax expense, the tax impact of certain stock-based compensation charges and unrecognized tax benefits. The increase in the effective rate for the three months ended September 30, 2015 compared to the three month ended September 30, 2014 reflects a jurisdictional shift in forecasted earnings from lower tax non-U.S. jurisdictions to the U.S.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was $31.3 million and $34.3 million for the nine months ended September 30, 2015 and 2014, respectively. This represents effective tax rates of 24.8% and 24.4%, respectively. The increase in the effective rate for the nine months ended September 30, 2015 compared to the nine months ended September 30, 2014 reflects a jurisdictional shift in forecasted earnings from lower tax non-U.S. jurisdictions to the U.S., offset by a negative impact in prior year from a $1.8 million adjustment which related to prior periods.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2015, we maintained a valuation allowance of $32.8 million against deferred tax assets primarily related to Israel and California operating loss carryforwards and Australia capital loss carryforwards. These net operating and capital loss carryforwards would result in an income tax benefit if we were to conclude it is more likely than not that the related deferred tax assets will be realized.</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total gross unrecognized tax benefits was $37.8 million and $33.1 million as of September 30, 2015 and December 31, 2014, respectively, all of which would impact our effective tax rate if recognized. We have elected to recognize interest and penalties related to unrecognized tax benefits as a component of income taxes. The change in accrued interest and penalties during the three and nine months ended September 30, 2015 was not material. We do not expect any significant changes to the amount of unrecognized tax benefit within the next twelve months.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We are currently under audit by the California Franchise Tax Board for fiscal year 2011, 2012 and 2013.</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2015 and 2014. Income taxes were reduced by $8.2 million and $7.7 million for the three months ended September 30, 2015 and 2014, respectively, representing a benefit to diluted net income per share of $0.10 and $0.09 in 2015 and 2014, respectively. As a result of these incentives, our income taxes were reduced by $24.6 million and $22.8 million for the nine months ended September 30, 2015 and 2014, respectively, representing a benefit to diluted net income per share of $0.30 and $0.28 in 2015 and 2014,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September 30, 2015 and December 31, 2014, we had the following cash, cash equivalents, and short-term and long-term marketable securities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174,040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310,715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145,246</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cash, cash equivalents and short-term and long-term marketable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630,001</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602,550</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562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158,642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155,294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(171,373)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(46,918)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(62,277)</w:t>
            </w: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2015, we had $630.0 million of cash, cash equivalents and short-term and long-term marketable securities. Cash equivalents and marketable securities are comprised of money market funds and debt instruments which include corporate bonds, U.S. dollar dominated foreign corporate bonds, commercial paper, municipal securities, U.S. government agency bonds, U.S. government treasury bonds and asset-backed securities. We do not enter into investments for trading or speculative purposes.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2015, approximately $417.4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23, 2014, we announced that our Board of Directors had authorized a stock repurchase program pursuant to which we may purchase up to $300.0 million of our common stock over the next three years, with $100.0 million authorized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52525"/>
        </w:rPr>
        <w:t xml:space="preserve">As part of our $300.0 million stock repurchase program, on April 28, 2014, we </w:t>
      </w:r>
      <w:r>
        <w:rPr>
          <w:rFonts w:ascii="Arial" w:cs="Arial" w:eastAsia="Arial" w:hAnsi="Arial"/>
          <w:sz w:val="18"/>
          <w:szCs w:val="18"/>
          <w:color w:val="000000"/>
        </w:rPr>
        <w:t>entered into an accelerated share repurchase agreement ("2014 ASR") to</w:t>
      </w:r>
      <w:r>
        <w:rPr>
          <w:rFonts w:ascii="Arial" w:cs="Arial" w:eastAsia="Arial" w:hAnsi="Arial"/>
          <w:sz w:val="18"/>
          <w:szCs w:val="18"/>
          <w:color w:val="252525"/>
        </w:rPr>
        <w:t xml:space="preserve"> </w:t>
      </w:r>
      <w:r>
        <w:rPr>
          <w:rFonts w:ascii="Arial" w:cs="Arial" w:eastAsia="Arial" w:hAnsi="Arial"/>
          <w:sz w:val="18"/>
          <w:szCs w:val="18"/>
          <w:color w:val="000000"/>
        </w:rPr>
        <w:t>repurchase $70.0 million of our common stock which was completed on July 2014. We received a total of approximately 1.4 million shares under the 2014 ASR for an average purchase price per share of $51.46, which all shares were retired. The final number of shares repurchased was based on our volume-weighted average stock price during the term of the transaction, less an agreed upon discount.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repurchased on the open market approximately 0.6 million shares of our common stock at an average price of $50.93 per share, including commissions, for an aggregate purchase price of approximately $28.2 million. In the first quarter of 2015, we repurchased on the open market approximately 0.03 million shares of our common stock at an average price of $57.49 per share, including commission for an aggregate purchase price of approximately $1.8 million. All repurchased shares were retired.</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2015, our Board of Directors authorized the repurchase of the next $100.0 million under the repurchase program which we anticipate completing within twelve months. </w:t>
      </w:r>
      <w:r>
        <w:rPr>
          <w:rFonts w:ascii="Arial" w:cs="Arial" w:eastAsia="Arial" w:hAnsi="Arial"/>
          <w:sz w:val="16"/>
          <w:szCs w:val="16"/>
          <w:color w:val="252525"/>
        </w:rPr>
        <w:t>On April 28, 2015, we</w:t>
      </w:r>
      <w:r>
        <w:rPr>
          <w:rFonts w:ascii="Arial" w:cs="Arial" w:eastAsia="Arial" w:hAnsi="Arial"/>
          <w:sz w:val="16"/>
          <w:szCs w:val="16"/>
          <w:color w:val="auto"/>
        </w:rPr>
        <w:t xml:space="preserve"> entered into an accelerated stock repurchase agreement ("2015 ASR") to repurchase $70.0 million of our common stock. The 2015 ASR was completed on July 23, 2015., We received a total of approximately 1.2 million shares for an average share price of $60.52 under the 2015 ASR, which were all retired. The final number of shares repurchased was based on our volume-weighted average stock price during the term of the transaction, less an agreed upon discount. In addition, during the three months ended September 30, 2015, we repurchased on the open market approximately 0.3 million shares of our common stock at an average price of $57.04 per share, including commissions, for an aggregate purchase price of $18.8 million. All repurchased shares were retired. We have $111.2 million remaining under the April 2014 stock repurchase program, $11.2 million of which we expect to purchase within the next six months. We expect to finance future stock repurchases with current cash on hand.</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22, 2013, we entered into a credit facility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LIBOR rate (based on one, three, nine or twelve-month interest periods) plus a spread of 1.75%. As of September 30, 2015, we had no outstanding borrowings under this credit facility; however, we were not in compliance with certain negative covenants. As a result, on October 15, 2015, we received a waiver for our non-compliance and also amended the credit facility in regards to these negative covenants.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2015, cash flows from operations of $158.6 million resulted primarily from our net income of approximately $95.1 million as well as the following: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 of $39.1 million related to equity incentive compensation awards granted to our employees, and</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and amortization of $13.1 million related to our fixed assets and acquired intangible assets, offset in part by</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$8.7 million.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$28.2 million in deferred revenues corresponding to the increases in case shipments, and</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$27.1 million in accounts receivable which is a result of the increase in net revenues.</w:t>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$92.6 million for the nine months ended September 30, 2015 primarily consisting of purchases of marketable securities of $306.9 million, and property, plant and equipment purchases of $36.7 million. These outflows were partially offset in part by $250.9 million of maturities and sales of our marketable securities.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remainder of 2015, we expect to spend an additional $18.0 million to $23.0 million on capital expenditures for estimated total capital expenditures of $55.0 million to $60.0 million for 2015 primarily for additional manufacturing capacity and infrastructure including a project to implement a new enterprise resource planning system.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$89.0 million for the nine months ended September 30, 2015 primarily resulting from $90.6 million for the repurchase of our common stock and $17.6 million related to payroll taxes paid for vesting of restricted stock units through share withholdings. These outflows were offset in part by $10.6 million in proceeds from issuance of common stock and $8.7 million from excess tax benefits from our share-based compensation arrangements.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contractual obligations have not significantly changed since December 31, 2014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2015,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2015,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2014:</w:t>
      </w:r>
    </w:p>
    <w:p>
      <w:pPr>
        <w:spacing w:after="0" w:line="114"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Goodwill and finite-lived acquired intangible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goodwill, finite-lived acquired intangible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2015, we launched a new product policy called "Additional Aligners at No Charge" that addressed one of our customers' top complaints. Previously, we charged customers for additional aligners ordered beyond those covered by the initial treatment plan. With this product policy change, we no longer distinguish between mid-course corrections and case refinements and allow doctors to order additional aligners to address either treatment need at no charge. As part of this change, we also grandfathered over one million open cases under this product policy change. These changes were effective for all new Invisalign Full, Teen, and Assist treatments shipped worldwide after July 18, 2015 as well as any open Invisalign Full, Teen and Assist cases as of that date.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concluded that additional aligners is a separate unit of accounting in our treatment plans, similar to case refinement and mid-course correction. We determined the best estimated selling price (“BESP”) of additional aligners based on a cost and margin analysis, as well as other inputs based on our historical pricing practices. Further, we will continue to allocate revenue to each unit in our treatment plan based on the unit's relative selling price based on BESP, and recognize the revenue upon the delivery of each unit in the treatment plan. We regularly review our estimates of selling price and maintain internal controls over the establishment and update of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September 30, 2015, we had approximately $456.0 million invested in available-for-sale marketable securities. An immediate 10% change in interest rates would not have a material adverse impact on our future operating results and cash flows.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We do not have interest bearing liabilities as of September 30, 2015, and, therefore, we are not subject to risks from immediate interest rate increases.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operate in North America, Europe, Asia Pacific, Costa Rica and Israel.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September 2015, we entered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The fair value of foreign exchange forward contracts outstanding as of September 30, 2015 was not material.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September 30, 2015,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In July 2015, we launched a new product policy called "Additional Aligners at No Charge" that addresses one of our customer's top complaints. With this product policy change, we no longer distinguish between mid-course correction and case refinements and allow doctors to order additional aligners to address either treatment need at no charge, subject to certain requirements. Based on this new product policy, beginning in the third quarter of 2015, we deferred more revenue as a result of providing free additional aligners for eligible treatments. Additionally, as we grandfathered over 1 million open cases, we will recognize lower revenues as additional aligners are shipped for at least the next two years until these cases complete.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recent years and may continue to fluctuate substantially in the future. As a result, beginning in September 2015, we began entering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addition, in order to meet the demands from expected volumes, we purchased a second manufacturing facility in Juarez, Mexico. We began manufacturing aligners in this second facility in September 2015 while continuing to manufacture Aligners at our existing facility in Juarez. Our ability to plan, construct and equip additional manufacturing facilities is subject to significant risk and uncertainty, including risks inherent in the establishment of a new manufacturing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North America facilities,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660" w:right="2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 located in Russia and Israel;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geopolitical risks around the Ukraine and the possibility of additional sanctions against Russia which continue to bring uncertainty to this region;</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During transitions we must continue to rely on legacy information systems, which may be costly or inefficient, while the implementation of new initiatives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6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certain key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September 30, 2015, we had issued 373 U.S. patents, 271 foreign issued patents, and 235 pending global patent applications.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intend to rely on our portfolio of issued and pending patent applications in the U.S. and in other countries to protect a large part of our intellectual property and our competitive position; however, our currently pending or future patent filings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 While Thomas M. Prescott, the Company's former Chief Executive Officer ("CEO") retired effective June 1, 2015, we also announced the appointment of Joseph M. Hogan as President and CEO effective that same date. Leadership changes can be inherently difficult to manage and our ability to execute our business strategy and retain key personnel may be adversely affected by the uncertainty associated with this transaction.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65"/>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in the Czech Republic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September 30, 2015, our North American sales organization consisted of approximately 330 people. Internationally, we had approximately 230 people engaged in direct sales and sales support as of September 30, 2015.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47"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were required to pay an excise tax on the price for which we sell our medical devices in the U.S. This Medical Device Excise Tax ("MDET") applies to most medical devices, including our products, which could have a material, negative impact on our results of operations and our cash flows. During March 2014, Align had extensive discussions with the IRS and they informed us that our aligners are not subject to the MDET; however, our scanners are still subject to the MDET which is not material. The MDET is included in selling, general and administrative expenses in the consolidated statements of operations.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have a negative impact on our operating results. The Costa Rica corporate income tax rate that would apply, absent the incentives, is 30% for 2015 and 2014. Income taxes were reduced by $8.2 million and $7.7 million for the three months ended September 30, 2015 and 2014, respectively, representing a benefit to diluted net income per share of $0.10 and $0.09 in 2015 and 2014, respectively. As a result of these incentives, our income taxes were reduced by $24.6 million and $22.8 million for the nine months ended September 30, 2015 and 2014, respectively, representing a benefit to diluted net income per share of $0.30 and $0.28 in 2015 and 2014, respectively. Our subsidiary in Israel is under audit by the local tax authorities for calendar years 2006 through 2012. We were currently under audit by the California Franchise Tax Board for fiscal year 2011, 2012 and 2013.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September 30,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40" w:type="dxa"/>
            <w:vAlign w:val="bottom"/>
          </w:tcPr>
          <w:p>
            <w:pPr>
              <w:spacing w:after="0"/>
              <w:rPr>
                <w:sz w:val="14"/>
                <w:szCs w:val="14"/>
                <w:color w:val="auto"/>
              </w:rPr>
            </w:pPr>
          </w:p>
        </w:tc>
        <w:tc>
          <w:tcPr>
            <w:tcW w:w="1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Shares Repurchased</w:t>
            </w:r>
          </w:p>
        </w:tc>
        <w:tc>
          <w:tcPr>
            <w:tcW w:w="4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 Program</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62"/>
        </w:trPr>
        <w:tc>
          <w:tcPr>
            <w:tcW w:w="44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Repurchased</w:t>
            </w:r>
            <w:r>
              <w:rPr>
                <w:rFonts w:ascii="Arial" w:cs="Arial" w:eastAsia="Arial" w:hAnsi="Arial"/>
                <w:sz w:val="8"/>
                <w:szCs w:val="8"/>
                <w:b w:val="1"/>
                <w:bCs w:val="1"/>
                <w:color w:val="auto"/>
                <w:w w:val="93"/>
              </w:rPr>
              <w:t>(3)</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2015 through July 31,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332,462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63.17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332,462</w:t>
            </w:r>
          </w:p>
        </w:tc>
        <w:tc>
          <w:tcPr>
            <w:tcW w:w="4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129,988,318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August 1, 2015 through August 31, 2015</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177,702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58.19</w:t>
            </w:r>
          </w:p>
        </w:tc>
        <w:tc>
          <w:tcPr>
            <w:tcW w:w="220" w:type="dxa"/>
            <w:vAlign w:val="bottom"/>
          </w:tcPr>
          <w:p>
            <w:pPr>
              <w:spacing w:after="0"/>
              <w:rPr>
                <w:sz w:val="21"/>
                <w:szCs w:val="21"/>
                <w:color w:val="auto"/>
              </w:rPr>
            </w:pPr>
          </w:p>
        </w:tc>
        <w:tc>
          <w:tcPr>
            <w:tcW w:w="1340" w:type="dxa"/>
            <w:vAlign w:val="bottom"/>
          </w:tcPr>
          <w:p>
            <w:pPr>
              <w:jc w:val="right"/>
              <w:ind w:right="25"/>
              <w:spacing w:after="0"/>
              <w:rPr>
                <w:sz w:val="20"/>
                <w:szCs w:val="20"/>
                <w:color w:val="auto"/>
              </w:rPr>
            </w:pPr>
            <w:r>
              <w:rPr>
                <w:rFonts w:ascii="Arial" w:cs="Arial" w:eastAsia="Arial" w:hAnsi="Arial"/>
                <w:sz w:val="18"/>
                <w:szCs w:val="18"/>
                <w:color w:val="auto"/>
              </w:rPr>
              <w:t>177,702</w:t>
            </w:r>
          </w:p>
        </w:tc>
        <w:tc>
          <w:tcPr>
            <w:tcW w:w="4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119,648,031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2015 through September 30, 2015</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152,265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55.71</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152,265</w:t>
            </w: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111,165,553</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35" w:lineRule="auto"/>
        <w:tabs>
          <w:tab w:leader="none" w:pos="367" w:val="left"/>
        </w:tabs>
        <w:numPr>
          <w:ilvl w:val="0"/>
          <w:numId w:val="32"/>
        </w:numPr>
        <w:rPr>
          <w:rFonts w:ascii="Arial" w:cs="Arial" w:eastAsia="Arial" w:hAnsi="Arial"/>
          <w:sz w:val="25"/>
          <w:szCs w:val="25"/>
          <w:b w:val="1"/>
          <w:bCs w:val="1"/>
          <w:color w:val="auto"/>
          <w:vertAlign w:val="superscript"/>
        </w:rPr>
      </w:pPr>
      <w:r>
        <w:rPr>
          <w:rFonts w:ascii="Arial" w:cs="Arial" w:eastAsia="Arial" w:hAnsi="Arial"/>
          <w:sz w:val="18"/>
          <w:szCs w:val="18"/>
          <w:color w:val="252525"/>
        </w:rPr>
        <w:t xml:space="preserve">As part of our $300.0 million April 2014 stock repurchase program, our Board of Directors authorized the next $100 million to be purchased over the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w:t>
      </w:r>
      <w:r>
        <w:rPr>
          <w:rFonts w:ascii="Arial" w:cs="Arial" w:eastAsia="Arial" w:hAnsi="Arial"/>
          <w:sz w:val="18"/>
          <w:szCs w:val="18"/>
          <w:color w:val="000000"/>
        </w:rPr>
        <w:t>As of September 30, 2015, we have approximately $111.2</w:t>
      </w:r>
      <w:r>
        <w:rPr>
          <w:rFonts w:ascii="Arial" w:cs="Arial" w:eastAsia="Arial" w:hAnsi="Arial"/>
          <w:sz w:val="18"/>
          <w:szCs w:val="18"/>
          <w:color w:val="252525"/>
        </w:rPr>
        <w:t xml:space="preserve"> </w:t>
      </w:r>
      <w:r>
        <w:rPr>
          <w:rFonts w:ascii="Arial" w:cs="Arial" w:eastAsia="Arial" w:hAnsi="Arial"/>
          <w:sz w:val="18"/>
          <w:szCs w:val="18"/>
          <w:color w:val="000000"/>
        </w:rPr>
        <w:t>million remaining under the April 2014 stock repurchase program.</w:t>
      </w:r>
    </w:p>
    <w:p>
      <w:pPr>
        <w:spacing w:after="0" w:line="150" w:lineRule="exact"/>
        <w:rPr>
          <w:rFonts w:ascii="Arial" w:cs="Arial" w:eastAsia="Arial" w:hAnsi="Arial"/>
          <w:sz w:val="25"/>
          <w:szCs w:val="25"/>
          <w:b w:val="1"/>
          <w:bCs w:val="1"/>
          <w:color w:val="auto"/>
          <w:vertAlign w:val="superscript"/>
        </w:rPr>
      </w:pPr>
    </w:p>
    <w:p>
      <w:pPr>
        <w:jc w:val="both"/>
        <w:ind w:firstLine="8"/>
        <w:spacing w:after="0" w:line="296" w:lineRule="auto"/>
        <w:tabs>
          <w:tab w:leader="none" w:pos="178" w:val="left"/>
        </w:tabs>
        <w:numPr>
          <w:ilvl w:val="0"/>
          <w:numId w:val="32"/>
        </w:numPr>
        <w:rPr>
          <w:rFonts w:ascii="Arial" w:cs="Arial" w:eastAsia="Arial" w:hAnsi="Arial"/>
          <w:sz w:val="20"/>
          <w:szCs w:val="20"/>
          <w:color w:val="252525"/>
          <w:vertAlign w:val="superscript"/>
        </w:rPr>
      </w:pPr>
      <w:r>
        <w:rPr>
          <w:rFonts w:ascii="Arial" w:cs="Arial" w:eastAsia="Arial" w:hAnsi="Arial"/>
          <w:sz w:val="15"/>
          <w:szCs w:val="15"/>
          <w:color w:val="252525"/>
        </w:rPr>
        <w:t xml:space="preserve">We </w:t>
      </w:r>
      <w:r>
        <w:rPr>
          <w:rFonts w:ascii="Arial" w:cs="Arial" w:eastAsia="Arial" w:hAnsi="Arial"/>
          <w:sz w:val="15"/>
          <w:szCs w:val="15"/>
          <w:color w:val="000000"/>
        </w:rPr>
        <w:t>entered into an accelerated share repurchase agreement ("2015 ASR") on April 28, 2015 to repurchase $70.0 million of our common stock. Under the</w:t>
      </w:r>
      <w:r>
        <w:rPr>
          <w:rFonts w:ascii="Arial" w:cs="Arial" w:eastAsia="Arial" w:hAnsi="Arial"/>
          <w:sz w:val="15"/>
          <w:szCs w:val="15"/>
          <w:color w:val="252525"/>
        </w:rPr>
        <w:t xml:space="preserve"> </w:t>
      </w:r>
      <w:r>
        <w:rPr>
          <w:rFonts w:ascii="Arial" w:cs="Arial" w:eastAsia="Arial" w:hAnsi="Arial"/>
          <w:sz w:val="15"/>
          <w:szCs w:val="15"/>
          <w:color w:val="000000"/>
        </w:rPr>
        <w:t>terms of the 2015 ASR, we agreed to repurchase in total $70.0 million of our common stock, with an initial delivery of approximately 0.8 million shares based on the then current market price. The 2015 ASR was completed on July 23, 2015 with a final delivery of approximately 0.3 million shares. Under the 2015 ASR, we received a total of approximately 1.2 million shares for an average purchase share price of $60.52. The final number of shares repurchased was based on our volume-weighted average stock price during the term of the transaction, less an agreed upon discount.</w:t>
      </w:r>
    </w:p>
    <w:p>
      <w:pPr>
        <w:spacing w:after="0" w:line="50" w:lineRule="exact"/>
        <w:rPr>
          <w:rFonts w:ascii="Arial" w:cs="Arial" w:eastAsia="Arial" w:hAnsi="Arial"/>
          <w:sz w:val="20"/>
          <w:szCs w:val="20"/>
          <w:color w:val="252525"/>
          <w:vertAlign w:val="superscript"/>
        </w:rPr>
      </w:pPr>
    </w:p>
    <w:p>
      <w:pPr>
        <w:ind w:left="380" w:hanging="372"/>
        <w:spacing w:after="0"/>
        <w:tabs>
          <w:tab w:leader="none" w:pos="3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All shares were repurchased pursuant to the publicly announced repurchase program described above.</w:t>
      </w:r>
    </w:p>
    <w:p>
      <w:pPr>
        <w:spacing w:after="0" w:line="38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4640" w:type="dxa"/>
            <w:vAlign w:val="bottom"/>
            <w:gridSpan w:val="2"/>
          </w:tcPr>
          <w:p>
            <w:pPr>
              <w:ind w:left="2200"/>
              <w:spacing w:after="0"/>
              <w:rPr>
                <w:sz w:val="20"/>
                <w:szCs w:val="20"/>
                <w:color w:val="auto"/>
              </w:rPr>
            </w:pPr>
            <w:r>
              <w:rPr>
                <w:rFonts w:ascii="Arial" w:cs="Arial" w:eastAsia="Arial" w:hAnsi="Arial"/>
                <w:sz w:val="18"/>
                <w:szCs w:val="18"/>
                <w:color w:val="auto"/>
              </w:rPr>
              <w:t>ALIGN TECHNOLOGY, INC.</w:t>
            </w:r>
          </w:p>
        </w:tc>
        <w:tc>
          <w:tcPr>
            <w:tcW w:w="3320" w:type="dxa"/>
            <w:vAlign w:val="bottom"/>
          </w:tcPr>
          <w:p>
            <w:pPr>
              <w:spacing w:after="0"/>
              <w:rPr>
                <w:sz w:val="20"/>
                <w:szCs w:val="20"/>
                <w:color w:val="auto"/>
              </w:rPr>
            </w:pP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October 29, 2015</w:t>
            </w:r>
          </w:p>
        </w:tc>
        <w:tc>
          <w:tcPr>
            <w:tcW w:w="2600" w:type="dxa"/>
            <w:vAlign w:val="bottom"/>
          </w:tcPr>
          <w:p>
            <w:pPr>
              <w:ind w:left="2320"/>
              <w:spacing w:after="0"/>
              <w:rPr>
                <w:sz w:val="20"/>
                <w:szCs w:val="20"/>
                <w:color w:val="auto"/>
              </w:rPr>
            </w:pPr>
            <w:r>
              <w:rPr>
                <w:rFonts w:ascii="Arial" w:cs="Arial" w:eastAsia="Arial" w:hAnsi="Arial"/>
                <w:sz w:val="18"/>
                <w:szCs w:val="18"/>
                <w:color w:val="auto"/>
                <w:w w:val="99"/>
              </w:rPr>
              <w:t>By:</w:t>
            </w:r>
          </w:p>
        </w:tc>
        <w:tc>
          <w:tcPr>
            <w:tcW w:w="2040" w:type="dxa"/>
            <w:vAlign w:val="bottom"/>
          </w:tcPr>
          <w:p>
            <w:pPr>
              <w:ind w:left="1700"/>
              <w:spacing w:after="0"/>
              <w:rPr>
                <w:sz w:val="20"/>
                <w:szCs w:val="20"/>
                <w:color w:val="auto"/>
              </w:rPr>
            </w:pPr>
            <w:r>
              <w:rPr>
                <w:rFonts w:ascii="Arial" w:cs="Arial" w:eastAsia="Arial" w:hAnsi="Arial"/>
                <w:sz w:val="18"/>
                <w:szCs w:val="18"/>
                <w:color w:val="auto"/>
              </w:rPr>
              <w:t>/S/</w:t>
            </w:r>
          </w:p>
        </w:tc>
        <w:tc>
          <w:tcPr>
            <w:tcW w:w="3320" w:type="dxa"/>
            <w:vAlign w:val="bottom"/>
          </w:tcPr>
          <w:p>
            <w:pPr>
              <w:jc w:val="center"/>
              <w:ind w:right="1579"/>
              <w:spacing w:after="0"/>
              <w:rPr>
                <w:sz w:val="20"/>
                <w:szCs w:val="20"/>
                <w:color w:val="auto"/>
              </w:rPr>
            </w:pPr>
            <w:r>
              <w:rPr>
                <w:rFonts w:ascii="Arial" w:cs="Arial" w:eastAsia="Arial" w:hAnsi="Arial"/>
                <w:sz w:val="18"/>
                <w:szCs w:val="18"/>
                <w:color w:val="auto"/>
                <w:w w:val="94"/>
              </w:rPr>
              <w:t>JOSEPH M. HOGAN</w:t>
            </w:r>
          </w:p>
        </w:tc>
      </w:tr>
      <w:tr>
        <w:trPr>
          <w:trHeight w:val="27"/>
        </w:trPr>
        <w:tc>
          <w:tcPr>
            <w:tcW w:w="34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6"/>
        </w:trPr>
        <w:tc>
          <w:tcPr>
            <w:tcW w:w="3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7" w:lineRule="exact"/>
              <w:rPr>
                <w:sz w:val="20"/>
                <w:szCs w:val="20"/>
                <w:color w:val="auto"/>
              </w:rPr>
            </w:pPr>
            <w:r>
              <w:rPr>
                <w:rFonts w:ascii="Arial" w:cs="Arial" w:eastAsia="Arial" w:hAnsi="Arial"/>
                <w:sz w:val="14"/>
                <w:szCs w:val="14"/>
                <w:b w:val="1"/>
                <w:bCs w:val="1"/>
                <w:color w:val="auto"/>
                <w:w w:val="93"/>
              </w:rPr>
              <w:t>Joseph M. Hogan</w:t>
            </w:r>
          </w:p>
        </w:tc>
      </w:tr>
      <w:tr>
        <w:trPr>
          <w:trHeight w:val="186"/>
        </w:trPr>
        <w:tc>
          <w:tcPr>
            <w:tcW w:w="3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r>
      <w:tr>
        <w:trPr>
          <w:trHeight w:val="579"/>
        </w:trPr>
        <w:tc>
          <w:tcPr>
            <w:tcW w:w="3420" w:type="dxa"/>
            <w:vAlign w:val="bottom"/>
          </w:tcPr>
          <w:p>
            <w:pPr>
              <w:spacing w:after="0"/>
              <w:rPr>
                <w:sz w:val="24"/>
                <w:szCs w:val="24"/>
                <w:color w:val="auto"/>
              </w:rPr>
            </w:pPr>
          </w:p>
        </w:tc>
        <w:tc>
          <w:tcPr>
            <w:tcW w:w="2600" w:type="dxa"/>
            <w:vAlign w:val="bottom"/>
          </w:tcPr>
          <w:p>
            <w:pPr>
              <w:ind w:left="2320"/>
              <w:spacing w:after="0"/>
              <w:rPr>
                <w:sz w:val="20"/>
                <w:szCs w:val="20"/>
                <w:color w:val="auto"/>
              </w:rPr>
            </w:pPr>
            <w:r>
              <w:rPr>
                <w:rFonts w:ascii="Arial" w:cs="Arial" w:eastAsia="Arial" w:hAnsi="Arial"/>
                <w:sz w:val="18"/>
                <w:szCs w:val="18"/>
                <w:color w:val="auto"/>
                <w:w w:val="99"/>
              </w:rPr>
              <w:t>By:</w:t>
            </w:r>
          </w:p>
        </w:tc>
        <w:tc>
          <w:tcPr>
            <w:tcW w:w="2040" w:type="dxa"/>
            <w:vAlign w:val="bottom"/>
          </w:tcPr>
          <w:p>
            <w:pPr>
              <w:ind w:left="1800"/>
              <w:spacing w:after="0"/>
              <w:rPr>
                <w:sz w:val="20"/>
                <w:szCs w:val="20"/>
                <w:color w:val="auto"/>
              </w:rPr>
            </w:pPr>
            <w:r>
              <w:rPr>
                <w:rFonts w:ascii="Arial" w:cs="Arial" w:eastAsia="Arial" w:hAnsi="Arial"/>
                <w:sz w:val="18"/>
                <w:szCs w:val="18"/>
                <w:color w:val="auto"/>
                <w:w w:val="99"/>
              </w:rPr>
              <w:t>/S/</w:t>
            </w:r>
          </w:p>
        </w:tc>
        <w:tc>
          <w:tcPr>
            <w:tcW w:w="3320" w:type="dxa"/>
            <w:vAlign w:val="bottom"/>
          </w:tcPr>
          <w:p>
            <w:pPr>
              <w:jc w:val="center"/>
              <w:ind w:right="1579"/>
              <w:spacing w:after="0"/>
              <w:rPr>
                <w:sz w:val="20"/>
                <w:szCs w:val="20"/>
                <w:color w:val="auto"/>
              </w:rPr>
            </w:pPr>
            <w:r>
              <w:rPr>
                <w:rFonts w:ascii="Arial" w:cs="Arial" w:eastAsia="Arial" w:hAnsi="Arial"/>
                <w:sz w:val="18"/>
                <w:szCs w:val="18"/>
                <w:color w:val="auto"/>
                <w:w w:val="99"/>
              </w:rPr>
              <w:t>DAVID L. WHITE</w:t>
            </w:r>
          </w:p>
        </w:tc>
      </w:tr>
      <w:tr>
        <w:trPr>
          <w:trHeight w:val="27"/>
        </w:trPr>
        <w:tc>
          <w:tcPr>
            <w:tcW w:w="34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6"/>
        </w:trPr>
        <w:tc>
          <w:tcPr>
            <w:tcW w:w="3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7" w:lineRule="exact"/>
              <w:rPr>
                <w:sz w:val="20"/>
                <w:szCs w:val="20"/>
                <w:color w:val="auto"/>
              </w:rPr>
            </w:pPr>
            <w:r>
              <w:rPr>
                <w:rFonts w:ascii="Arial" w:cs="Arial" w:eastAsia="Arial" w:hAnsi="Arial"/>
                <w:sz w:val="14"/>
                <w:szCs w:val="14"/>
                <w:b w:val="1"/>
                <w:bCs w:val="1"/>
                <w:color w:val="auto"/>
                <w:w w:val="99"/>
              </w:rPr>
              <w:t>David L. White</w:t>
            </w:r>
          </w:p>
        </w:tc>
      </w:tr>
      <w:tr>
        <w:trPr>
          <w:trHeight w:val="186"/>
        </w:trPr>
        <w:tc>
          <w:tcPr>
            <w:tcW w:w="3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Chief Financial Officer</w:t>
            </w:r>
          </w:p>
        </w:tc>
      </w:tr>
      <w:tr>
        <w:trPr>
          <w:trHeight w:val="687"/>
        </w:trPr>
        <w:tc>
          <w:tcPr>
            <w:tcW w:w="3420" w:type="dxa"/>
            <w:vAlign w:val="bottom"/>
          </w:tcPr>
          <w:p>
            <w:pPr>
              <w:spacing w:after="0"/>
              <w:rPr>
                <w:sz w:val="24"/>
                <w:szCs w:val="24"/>
                <w:color w:val="auto"/>
              </w:rPr>
            </w:pPr>
          </w:p>
        </w:tc>
        <w:tc>
          <w:tcPr>
            <w:tcW w:w="260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20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25"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L. White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Joseph M. Hogan, certify, pursuant to 18 U.S.C. Section 1350, as adopted pursuant to Section 906 of the Sarbanes-Oxley Act of 2002, that the Quarterly Report of Align Technology, Inc. on Form 10-Q for the quarter ended September 30, 2015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8"/>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2002, that the Quarterly Report of Align Technology, Inc. on Form 10-Q for the quarter ended September 30, 2015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9"/>
              </w:rPr>
              <w:t>/S/  DAVID L. WHITE</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5"/>
              </w:rPr>
              <w:t>David L. White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2019-12-29T14:51:45Z</dcterms:created>
  <dcterms:modified xsi:type="dcterms:W3CDTF">2019-12-29T14:51:45Z</dcterms:modified>
</cp:coreProperties>
</file>