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990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99059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Marree Jitse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18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ALIGN TECHNOLOGY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ALGN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410 N SCOTTSDALE ROAD</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1300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7"/>
                <w:szCs w:val="17"/>
                <w:color w:val="auto"/>
              </w:rPr>
            </w:pPr>
          </w:p>
        </w:tc>
      </w:tr>
      <w:tr>
        <w:trPr>
          <w:trHeight w:val="265"/>
        </w:trPr>
        <w:tc>
          <w:tcPr>
            <w:tcW w:w="170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7"/>
              </w:rPr>
              <w:t>TEMPEAZ</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85288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40" w:type="dxa"/>
            <w:vAlign w:val="bottom"/>
          </w:tcPr>
          <w:p>
            <w:pPr>
              <w:ind w:left="680"/>
              <w:spacing w:after="0"/>
              <w:rPr>
                <w:sz w:val="20"/>
                <w:szCs w:val="20"/>
                <w:color w:val="auto"/>
              </w:rPr>
            </w:pPr>
            <w:r>
              <w:rPr>
                <w:rFonts w:ascii="Times New Roman" w:cs="Times New Roman" w:eastAsia="Times New Roman" w:hAnsi="Times New Roman"/>
                <w:sz w:val="20"/>
                <w:szCs w:val="20"/>
                <w:color w:val="0000FF"/>
              </w:rPr>
              <w:t>2,106</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jc w:val="right"/>
              <w:ind w:right="274"/>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2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3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12"/>
              <w:spacing w:after="0"/>
              <w:rPr>
                <w:sz w:val="20"/>
                <w:szCs w:val="20"/>
                <w:color w:val="auto"/>
              </w:rPr>
            </w:pPr>
            <w:r>
              <w:rPr>
                <w:rFonts w:ascii="Times New Roman" w:cs="Times New Roman" w:eastAsia="Times New Roman" w:hAnsi="Times New Roman"/>
                <w:sz w:val="20"/>
                <w:szCs w:val="20"/>
                <w:color w:val="0000FF"/>
                <w:w w:val="99"/>
              </w:rPr>
              <w:t>226</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right"/>
              <w:ind w:right="74"/>
              <w:spacing w:after="0"/>
              <w:rPr>
                <w:sz w:val="20"/>
                <w:szCs w:val="20"/>
                <w:color w:val="auto"/>
              </w:rPr>
            </w:pPr>
            <w:r>
              <w:rPr>
                <w:rFonts w:ascii="Times New Roman" w:cs="Times New Roman" w:eastAsia="Times New Roman" w:hAnsi="Times New Roman"/>
                <w:sz w:val="20"/>
                <w:szCs w:val="20"/>
                <w:color w:val="0000FF"/>
              </w:rPr>
              <w:t>0.0001</w:t>
            </w:r>
            <w:r>
              <w:rPr>
                <w:rFonts w:ascii="Times New Roman" w:cs="Times New Roman" w:eastAsia="Times New Roman" w:hAnsi="Times New Roman"/>
                <w:sz w:val="25"/>
                <w:szCs w:val="25"/>
                <w:color w:val="008000"/>
                <w:vertAlign w:val="superscript"/>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3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12"/>
              <w:spacing w:after="0"/>
              <w:rPr>
                <w:sz w:val="20"/>
                <w:szCs w:val="20"/>
                <w:color w:val="auto"/>
              </w:rPr>
            </w:pPr>
            <w:r>
              <w:rPr>
                <w:rFonts w:ascii="Times New Roman" w:cs="Times New Roman" w:eastAsia="Times New Roman" w:hAnsi="Times New Roman"/>
                <w:sz w:val="20"/>
                <w:szCs w:val="20"/>
                <w:color w:val="0000FF"/>
                <w:w w:val="99"/>
              </w:rPr>
              <w:t>452</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right"/>
              <w:ind w:right="74"/>
              <w:spacing w:after="0"/>
              <w:rPr>
                <w:sz w:val="20"/>
                <w:szCs w:val="20"/>
                <w:color w:val="auto"/>
              </w:rPr>
            </w:pPr>
            <w:r>
              <w:rPr>
                <w:rFonts w:ascii="Times New Roman" w:cs="Times New Roman" w:eastAsia="Times New Roman" w:hAnsi="Times New Roman"/>
                <w:sz w:val="20"/>
                <w:szCs w:val="20"/>
                <w:color w:val="0000FF"/>
              </w:rPr>
              <w:t>0.0001</w:t>
            </w:r>
            <w:r>
              <w:rPr>
                <w:rFonts w:ascii="Times New Roman" w:cs="Times New Roman" w:eastAsia="Times New Roman" w:hAnsi="Times New Roman"/>
                <w:sz w:val="25"/>
                <w:szCs w:val="25"/>
                <w:color w:val="008000"/>
                <w:vertAlign w:val="superscript"/>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3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1,377</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right"/>
              <w:ind w:right="74"/>
              <w:spacing w:after="0"/>
              <w:rPr>
                <w:sz w:val="20"/>
                <w:szCs w:val="20"/>
                <w:color w:val="auto"/>
              </w:rPr>
            </w:pPr>
            <w:r>
              <w:rPr>
                <w:rFonts w:ascii="Times New Roman" w:cs="Times New Roman" w:eastAsia="Times New Roman" w:hAnsi="Times New Roman"/>
                <w:sz w:val="20"/>
                <w:szCs w:val="20"/>
                <w:color w:val="0000FF"/>
              </w:rPr>
              <w:t>0.0001</w:t>
            </w:r>
            <w:r>
              <w:rPr>
                <w:rFonts w:ascii="Times New Roman" w:cs="Times New Roman" w:eastAsia="Times New Roman" w:hAnsi="Times New Roman"/>
                <w:sz w:val="25"/>
                <w:szCs w:val="25"/>
                <w:color w:val="008000"/>
                <w:vertAlign w:val="superscript"/>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3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(5)</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2,774</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right"/>
              <w:ind w:right="74"/>
              <w:spacing w:after="0"/>
              <w:rPr>
                <w:sz w:val="20"/>
                <w:szCs w:val="20"/>
                <w:color w:val="auto"/>
              </w:rPr>
            </w:pPr>
            <w:r>
              <w:rPr>
                <w:rFonts w:ascii="Times New Roman" w:cs="Times New Roman" w:eastAsia="Times New Roman" w:hAnsi="Times New Roman"/>
                <w:sz w:val="20"/>
                <w:szCs w:val="20"/>
                <w:color w:val="0000FF"/>
              </w:rPr>
              <w:t>0.0001</w:t>
            </w:r>
            <w:r>
              <w:rPr>
                <w:rFonts w:ascii="Times New Roman" w:cs="Times New Roman" w:eastAsia="Times New Roman" w:hAnsi="Times New Roman"/>
                <w:sz w:val="25"/>
                <w:szCs w:val="25"/>
                <w:color w:val="008000"/>
                <w:vertAlign w:val="superscript"/>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Market Stock Units</w:t>
            </w:r>
          </w:p>
        </w:tc>
        <w:tc>
          <w:tcPr>
            <w:tcW w:w="13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(6)</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1,837</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right"/>
              <w:ind w:right="74"/>
              <w:spacing w:after="0"/>
              <w:rPr>
                <w:sz w:val="20"/>
                <w:szCs w:val="20"/>
                <w:color w:val="auto"/>
              </w:rPr>
            </w:pPr>
            <w:r>
              <w:rPr>
                <w:rFonts w:ascii="Times New Roman" w:cs="Times New Roman" w:eastAsia="Times New Roman" w:hAnsi="Times New Roman"/>
                <w:sz w:val="20"/>
                <w:szCs w:val="20"/>
                <w:color w:val="0000FF"/>
              </w:rPr>
              <w:t>0.0001</w:t>
            </w:r>
            <w:r>
              <w:rPr>
                <w:rFonts w:ascii="Times New Roman" w:cs="Times New Roman" w:eastAsia="Times New Roman" w:hAnsi="Times New Roman"/>
                <w:sz w:val="25"/>
                <w:szCs w:val="25"/>
                <w:color w:val="008000"/>
                <w:vertAlign w:val="superscript"/>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Market Stock Units</w:t>
            </w:r>
          </w:p>
        </w:tc>
        <w:tc>
          <w:tcPr>
            <w:tcW w:w="13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(7)</w:t>
            </w:r>
          </w:p>
        </w:tc>
        <w:tc>
          <w:tcPr>
            <w:tcW w:w="8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(7)</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20"/>
                <w:szCs w:val="20"/>
                <w:color w:val="0000FF"/>
                <w:w w:val="97"/>
              </w:rPr>
              <w:t>2,774</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right"/>
              <w:ind w:right="74"/>
              <w:spacing w:after="0"/>
              <w:rPr>
                <w:sz w:val="20"/>
                <w:szCs w:val="20"/>
                <w:color w:val="auto"/>
              </w:rPr>
            </w:pPr>
            <w:r>
              <w:rPr>
                <w:rFonts w:ascii="Times New Roman" w:cs="Times New Roman" w:eastAsia="Times New Roman" w:hAnsi="Times New Roman"/>
                <w:sz w:val="20"/>
                <w:szCs w:val="20"/>
                <w:color w:val="0000FF"/>
              </w:rPr>
              <w:t>0.0001</w:t>
            </w:r>
            <w:r>
              <w:rPr>
                <w:rFonts w:ascii="Times New Roman" w:cs="Times New Roman" w:eastAsia="Times New Roman" w:hAnsi="Times New Roman"/>
                <w:sz w:val="25"/>
                <w:szCs w:val="25"/>
                <w:color w:val="008000"/>
                <w:vertAlign w:val="superscript"/>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4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February 20, 2023, the reporting person received an award of 906 restricted stock units ("RSUs"), vesting 25% on each anniversary of the grant date. The remaining 226 unvested shares will vest in full on February 20, 2027, and shares will be delivered to the reporting person on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par value of ALGN common stock.</w:t>
      </w:r>
    </w:p>
    <w:p>
      <w:pPr>
        <w:spacing w:after="0" w:line="52" w:lineRule="exact"/>
        <w:rPr>
          <w:rFonts w:ascii="Times New Roman" w:cs="Times New Roman" w:eastAsia="Times New Roman" w:hAnsi="Times New Roman"/>
          <w:sz w:val="15"/>
          <w:szCs w:val="15"/>
          <w:color w:val="008000"/>
        </w:rPr>
      </w:pPr>
    </w:p>
    <w:p>
      <w:pPr>
        <w:ind w:left="40" w:right="22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February 20, 2024, the reporting person received an award of 905 RSUs, vesting 25% on each anniversary of the grant date. The remaining 452 unvested shares will vest in equal installments on February 20, 2027 and February 20, 2028, and shares will be delivered to the reporting person on each such vesting date.</w:t>
      </w:r>
    </w:p>
    <w:p>
      <w:pPr>
        <w:spacing w:after="0" w:line="17" w:lineRule="exact"/>
        <w:rPr>
          <w:rFonts w:ascii="Times New Roman" w:cs="Times New Roman" w:eastAsia="Times New Roman" w:hAnsi="Times New Roman"/>
          <w:sz w:val="15"/>
          <w:szCs w:val="15"/>
          <w:color w:val="008000"/>
        </w:rPr>
      </w:pPr>
    </w:p>
    <w:p>
      <w:pPr>
        <w:ind w:left="40" w:right="1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February 20, 2025, the reporting person received an award of 1,837 RSUs, vesting 25% on each anniversary of the grant date. The remaining 1,377 unvested shares will vest in equal installments on February 20, 2027, February 20, 2028, and February 20, 2029, and shares will be delivered to the reporting person on each such vesting date.</w:t>
      </w:r>
    </w:p>
    <w:p>
      <w:pPr>
        <w:spacing w:after="0" w:line="17"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February 20, 2026, the reporting person received an award of 2,774 RSUs, vesting 25% on each anniversary of the grant date, and shares will be delivered to the reporting person on each such vesting date.</w:t>
      </w:r>
    </w:p>
    <w:p>
      <w:pPr>
        <w:spacing w:after="0" w:line="17" w:lineRule="exact"/>
        <w:rPr>
          <w:rFonts w:ascii="Times New Roman" w:cs="Times New Roman" w:eastAsia="Times New Roman" w:hAnsi="Times New Roman"/>
          <w:sz w:val="15"/>
          <w:szCs w:val="15"/>
          <w:color w:val="008000"/>
        </w:rPr>
      </w:pPr>
    </w:p>
    <w:p>
      <w:pPr>
        <w:ind w:left="40" w:right="3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the number of shares which may be issued at target pursuant to the market stock units granted on February 20, 2025. If performance exceeds target, the maximum number of shares that may vest is 250% of the at target amount. Vesting, if any, of the market stock units occurs on the last day of the third year of the Performance Period (as defined in the market stock unit agreement).</w:t>
      </w:r>
    </w:p>
    <w:p>
      <w:pPr>
        <w:spacing w:after="0" w:line="29" w:lineRule="exact"/>
        <w:rPr>
          <w:rFonts w:ascii="Times New Roman" w:cs="Times New Roman" w:eastAsia="Times New Roman" w:hAnsi="Times New Roman"/>
          <w:sz w:val="15"/>
          <w:szCs w:val="15"/>
          <w:color w:val="008000"/>
        </w:rPr>
      </w:pPr>
    </w:p>
    <w:p>
      <w:pPr>
        <w:ind w:left="40" w:right="34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the number of shares which may be issued at target pursuant to the market stock units granted on February 20, 2026. If performance exceeds target, the maximum number of shares that may vest is 250% of the at target amount. Vesting, if any, of the market stock units occurs on the last day of the third year of the Performance Period (as defined in the market stock unit agreement).</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The reporting person is Executive Vice President, Global Operations. Exhibit List 24 - Limited Power of Attorney</w:t>
      </w:r>
    </w:p>
    <w:p>
      <w:pPr>
        <w:sectPr>
          <w:pgSz w:w="11900" w:h="16838" w:orient="portrait"/>
          <w:cols w:equalWidth="0" w:num="1">
            <w:col w:w="10940"/>
          </w:cols>
          <w:pgMar w:left="480" w:top="230" w:right="479" w:bottom="0" w:gutter="0" w:footer="0" w:header="0"/>
          <w:type w:val="continuous"/>
        </w:sectPr>
      </w:pP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/s/Julie Ann Coletti,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99441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94410" cy="9525"/>
                    </a:xfrm>
                    <a:prstGeom prst="rect">
                      <a:avLst/>
                    </a:prstGeom>
                    <a:noFill/>
                  </pic:spPr>
                </pic:pic>
              </a:graphicData>
            </a:graphic>
          </wp:anchor>
        </w:drawing>
      </w:r>
    </w:p>
    <w:p>
      <w:pPr>
        <w:spacing w:after="0" w:line="4" w:lineRule="exact"/>
        <w:rPr>
          <w:sz w:val="24"/>
          <w:szCs w:val="24"/>
          <w:color w:val="auto"/>
        </w:rPr>
      </w:pPr>
    </w:p>
    <w:p>
      <w:pPr>
        <w:ind w:left="6580"/>
        <w:spacing w:after="0"/>
        <w:tabs>
          <w:tab w:leader="none" w:pos="8740" w:val="left"/>
        </w:tabs>
        <w:rPr>
          <w:sz w:val="20"/>
          <w:szCs w:val="20"/>
          <w:color w:val="auto"/>
        </w:rPr>
      </w:pPr>
      <w:r>
        <w:rPr>
          <w:rFonts w:ascii="Times New Roman" w:cs="Times New Roman" w:eastAsia="Times New Roman" w:hAnsi="Times New Roman"/>
          <w:sz w:val="20"/>
          <w:szCs w:val="20"/>
          <w:color w:val="0000FF"/>
        </w:rPr>
        <w:t>Attorney-in-Fact for Jitse</w:t>
      </w:r>
      <w:r>
        <w:rPr>
          <w:sz w:val="20"/>
          <w:szCs w:val="20"/>
          <w:color w:val="auto"/>
        </w:rPr>
        <w:tab/>
      </w:r>
      <w:r>
        <w:rPr>
          <w:rFonts w:ascii="Times New Roman" w:cs="Times New Roman" w:eastAsia="Times New Roman" w:hAnsi="Times New Roman"/>
          <w:sz w:val="18"/>
          <w:szCs w:val="18"/>
          <w:color w:val="0000FF"/>
        </w:rPr>
        <w:t>05/11/2026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07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072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Marree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5750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57505" cy="952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bookmarkStart w:id="1" w:name="page2"/>
    <w:bookmarkEnd w:id="1"/>
    <w:p>
      <w:pPr>
        <w:ind w:left="6540"/>
        <w:spacing w:after="0"/>
        <w:rPr>
          <w:sz w:val="20"/>
          <w:szCs w:val="20"/>
          <w:color w:val="auto"/>
        </w:rPr>
      </w:pPr>
      <w:r>
        <w:rPr>
          <w:rFonts w:ascii="Arial" w:cs="Arial" w:eastAsia="Arial" w:hAnsi="Arial"/>
          <w:sz w:val="15"/>
          <w:szCs w:val="15"/>
          <w:color w:val="auto"/>
        </w:rPr>
        <w:t>** Signature of Reporting</w:t>
      </w:r>
    </w:p>
    <w:p>
      <w:pPr>
        <w:spacing w:after="0" w:line="6" w:lineRule="exact"/>
        <w:rPr>
          <w:sz w:val="20"/>
          <w:szCs w:val="20"/>
          <w:color w:val="auto"/>
        </w:rPr>
      </w:pPr>
    </w:p>
    <w:p>
      <w:pPr>
        <w:ind w:left="6540"/>
        <w:spacing w:after="0"/>
        <w:rPr>
          <w:sz w:val="20"/>
          <w:szCs w:val="20"/>
          <w:color w:val="auto"/>
        </w:rPr>
      </w:pPr>
      <w:r>
        <w:rPr>
          <w:rFonts w:ascii="Arial" w:cs="Arial" w:eastAsia="Arial" w:hAnsi="Arial"/>
          <w:sz w:val="15"/>
          <w:szCs w:val="15"/>
          <w:color w:val="auto"/>
        </w:rPr>
        <w:t>Person</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Date</w:t>
      </w:r>
    </w:p>
    <w:p>
      <w:pPr>
        <w:spacing w:after="0" w:line="667" w:lineRule="exact"/>
        <w:rPr>
          <w:sz w:val="20"/>
          <w:szCs w:val="20"/>
          <w:color w:val="auto"/>
        </w:rPr>
      </w:pPr>
    </w:p>
    <w:p>
      <w:pPr>
        <w:sectPr>
          <w:pgSz w:w="11900" w:h="16838" w:orient="portrait"/>
          <w:cols w:equalWidth="0" w:num="2">
            <w:col w:w="8200" w:space="520"/>
            <w:col w:w="2100"/>
          </w:cols>
          <w:pgMar w:left="520" w:top="125" w:right="559" w:bottom="1440" w:gutter="0" w:footer="0" w:header="0"/>
        </w:sect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L</w:t>
      </w:r>
      <w:r>
        <w:rPr>
          <w:rFonts w:ascii="Times New Roman" w:cs="Times New Roman" w:eastAsia="Times New Roman" w:hAnsi="Times New Roman"/>
          <w:sz w:val="16"/>
          <w:szCs w:val="16"/>
          <w:b w:val="1"/>
          <w:bCs w:val="1"/>
          <w:color w:val="auto"/>
        </w:rPr>
        <w:t>imited</w:t>
      </w:r>
      <w:r>
        <w:rPr>
          <w:rFonts w:ascii="Times New Roman" w:cs="Times New Roman" w:eastAsia="Times New Roman" w:hAnsi="Times New Roman"/>
          <w:sz w:val="24"/>
          <w:szCs w:val="24"/>
          <w:b w:val="1"/>
          <w:bCs w:val="1"/>
          <w:color w:val="auto"/>
        </w:rPr>
        <w:t xml:space="preserve"> P</w:t>
      </w:r>
      <w:r>
        <w:rPr>
          <w:rFonts w:ascii="Times New Roman" w:cs="Times New Roman" w:eastAsia="Times New Roman" w:hAnsi="Times New Roman"/>
          <w:sz w:val="16"/>
          <w:szCs w:val="16"/>
          <w:b w:val="1"/>
          <w:bCs w:val="1"/>
          <w:color w:val="auto"/>
        </w:rPr>
        <w:t>ower of</w:t>
      </w:r>
      <w:r>
        <w:rPr>
          <w:rFonts w:ascii="Times New Roman" w:cs="Times New Roman" w:eastAsia="Times New Roman" w:hAnsi="Times New Roman"/>
          <w:sz w:val="24"/>
          <w:szCs w:val="24"/>
          <w:b w:val="1"/>
          <w:bCs w:val="1"/>
          <w:color w:val="auto"/>
        </w:rPr>
        <w:t xml:space="preserve"> A</w:t>
      </w:r>
      <w:r>
        <w:rPr>
          <w:rFonts w:ascii="Times New Roman" w:cs="Times New Roman" w:eastAsia="Times New Roman" w:hAnsi="Times New Roman"/>
          <w:sz w:val="16"/>
          <w:szCs w:val="16"/>
          <w:b w:val="1"/>
          <w:bCs w:val="1"/>
          <w:color w:val="auto"/>
        </w:rPr>
        <w:t>ttorney</w:t>
      </w:r>
      <w:r>
        <w:rPr>
          <w:rFonts w:ascii="Times New Roman" w:cs="Times New Roman" w:eastAsia="Times New Roman" w:hAnsi="Times New Roman"/>
          <w:sz w:val="24"/>
          <w:szCs w:val="24"/>
          <w:b w:val="1"/>
          <w:bCs w:val="1"/>
          <w:color w:val="auto"/>
        </w:rPr>
        <w:t xml:space="preserve"> (S</w:t>
      </w:r>
      <w:r>
        <w:rPr>
          <w:rFonts w:ascii="Times New Roman" w:cs="Times New Roman" w:eastAsia="Times New Roman" w:hAnsi="Times New Roman"/>
          <w:sz w:val="16"/>
          <w:szCs w:val="16"/>
          <w:b w:val="1"/>
          <w:bCs w:val="1"/>
          <w:color w:val="auto"/>
        </w:rPr>
        <w:t>ecurities</w:t>
      </w:r>
      <w:r>
        <w:rPr>
          <w:rFonts w:ascii="Times New Roman" w:cs="Times New Roman" w:eastAsia="Times New Roman" w:hAnsi="Times New Roman"/>
          <w:sz w:val="24"/>
          <w:szCs w:val="24"/>
          <w:b w:val="1"/>
          <w:bCs w:val="1"/>
          <w:color w:val="auto"/>
        </w:rPr>
        <w:t xml:space="preserve"> L</w:t>
      </w:r>
      <w:r>
        <w:rPr>
          <w:rFonts w:ascii="Times New Roman" w:cs="Times New Roman" w:eastAsia="Times New Roman" w:hAnsi="Times New Roman"/>
          <w:sz w:val="16"/>
          <w:szCs w:val="16"/>
          <w:b w:val="1"/>
          <w:bCs w:val="1"/>
          <w:color w:val="auto"/>
        </w:rPr>
        <w:t>aw</w:t>
      </w:r>
      <w:r>
        <w:rPr>
          <w:rFonts w:ascii="Times New Roman" w:cs="Times New Roman" w:eastAsia="Times New Roman" w:hAnsi="Times New Roman"/>
          <w:sz w:val="24"/>
          <w:szCs w:val="24"/>
          <w:b w:val="1"/>
          <w:bCs w:val="1"/>
          <w:color w:val="auto"/>
        </w:rPr>
        <w:t xml:space="preserve"> C</w:t>
      </w:r>
      <w:r>
        <w:rPr>
          <w:rFonts w:ascii="Times New Roman" w:cs="Times New Roman" w:eastAsia="Times New Roman" w:hAnsi="Times New Roman"/>
          <w:sz w:val="16"/>
          <w:szCs w:val="16"/>
          <w:b w:val="1"/>
          <w:bCs w:val="1"/>
          <w:color w:val="auto"/>
        </w:rPr>
        <w:t>ompliance</w:t>
      </w:r>
      <w:r>
        <w:rPr>
          <w:rFonts w:ascii="Times New Roman" w:cs="Times New Roman" w:eastAsia="Times New Roman" w:hAnsi="Times New Roman"/>
          <w:sz w:val="24"/>
          <w:szCs w:val="24"/>
          <w:b w:val="1"/>
          <w:bCs w:val="1"/>
          <w:color w:val="auto"/>
        </w:rPr>
        <w:t>)</w:t>
      </w:r>
    </w:p>
    <w:p>
      <w:pPr>
        <w:spacing w:after="0" w:line="2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4"/>
          <w:szCs w:val="24"/>
          <w:color w:val="auto"/>
        </w:rPr>
        <w:t xml:space="preserve">The undersigned, as an officer of </w:t>
      </w:r>
      <w:r>
        <w:rPr>
          <w:rFonts w:ascii="Times New Roman" w:cs="Times New Roman" w:eastAsia="Times New Roman" w:hAnsi="Times New Roman"/>
          <w:sz w:val="24"/>
          <w:szCs w:val="24"/>
          <w:b w:val="1"/>
          <w:bCs w:val="1"/>
          <w:color w:val="auto"/>
        </w:rPr>
        <w:t>A</w:t>
      </w:r>
      <w:r>
        <w:rPr>
          <w:rFonts w:ascii="Times New Roman" w:cs="Times New Roman" w:eastAsia="Times New Roman" w:hAnsi="Times New Roman"/>
          <w:sz w:val="16"/>
          <w:szCs w:val="16"/>
          <w:b w:val="1"/>
          <w:bCs w:val="1"/>
          <w:color w:val="auto"/>
        </w:rPr>
        <w:t>lign</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T</w:t>
      </w:r>
      <w:r>
        <w:rPr>
          <w:rFonts w:ascii="Times New Roman" w:cs="Times New Roman" w:eastAsia="Times New Roman" w:hAnsi="Times New Roman"/>
          <w:sz w:val="16"/>
          <w:szCs w:val="16"/>
          <w:b w:val="1"/>
          <w:bCs w:val="1"/>
          <w:color w:val="auto"/>
        </w:rPr>
        <w:t>echnology</w:t>
      </w:r>
      <w:r>
        <w:rPr>
          <w:rFonts w:ascii="Times New Roman" w:cs="Times New Roman" w:eastAsia="Times New Roman" w:hAnsi="Times New Roman"/>
          <w:sz w:val="24"/>
          <w:szCs w:val="24"/>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4"/>
          <w:szCs w:val="24"/>
          <w:b w:val="1"/>
          <w:bCs w:val="1"/>
          <w:color w:val="auto"/>
        </w:rPr>
        <w:t>.</w:t>
      </w:r>
      <w:r>
        <w:rPr>
          <w:rFonts w:ascii="Times New Roman" w:cs="Times New Roman" w:eastAsia="Times New Roman" w:hAnsi="Times New Roman"/>
          <w:sz w:val="24"/>
          <w:szCs w:val="24"/>
          <w:color w:val="auto"/>
        </w:rPr>
        <w:t xml:space="preserve">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hereby constitutes and appoints John Morici, Julie Ann Coletti and Paul Katawicz, and each of them, the undersigned’s true and lawful attorney-in-fact and agent to complete and execute such Forms 144,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Company, and to do all acts necessary in order to file such forms with the Securities and Exchange Commission, any securities exchange or national association, the Company and such other person or agency as the attorney shall deem appropriate. The undersigned hereby ratifies and confirms all that said attorneys-in-fact and agents shall do or cause to be done by virtue hereof.</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4"/>
          <w:szCs w:val="24"/>
          <w:color w:val="auto"/>
        </w:rPr>
        <w:t>This Limited Power of Attorney shall remain in full force and effect until the undersigned is no longer required to file Forms 3, 4 and 5 with respect to the undersigned’s holdings of and transactions in securities issued by the Company unless earlier revoked by the undersigned in a writing delivered to the foregoing attorneys-in-fact.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This Limited Power of Attorney is executed at Tempe, Arizona, as of the date set forth below.</w:t>
      </w:r>
    </w:p>
    <w:p>
      <w:pPr>
        <w:spacing w:after="0" w:line="200" w:lineRule="exact"/>
        <w:rPr>
          <w:sz w:val="20"/>
          <w:szCs w:val="20"/>
          <w:color w:val="auto"/>
        </w:rPr>
      </w:pPr>
    </w:p>
    <w:p>
      <w:pPr>
        <w:spacing w:after="0" w:line="2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4"/>
          <w:szCs w:val="24"/>
          <w:color w:val="auto"/>
        </w:rPr>
        <w:t>/s/ Jitse Marree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3546475</wp:posOffset>
            </wp:positionH>
            <wp:positionV relativeFrom="paragraph">
              <wp:posOffset>-12700</wp:posOffset>
            </wp:positionV>
            <wp:extent cx="121983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9835" cy="9525"/>
                    </a:xfrm>
                    <a:prstGeom prst="rect">
                      <a:avLst/>
                    </a:prstGeom>
                    <a:noFill/>
                  </pic:spPr>
                </pic:pic>
              </a:graphicData>
            </a:graphic>
          </wp:anchor>
        </w:drawing>
      </w:r>
    </w:p>
    <w:p>
      <w:pPr>
        <w:ind w:left="5580"/>
        <w:spacing w:after="0"/>
        <w:rPr>
          <w:sz w:val="20"/>
          <w:szCs w:val="20"/>
          <w:color w:val="auto"/>
        </w:rPr>
      </w:pPr>
      <w:r>
        <w:rPr>
          <w:rFonts w:ascii="Times New Roman" w:cs="Times New Roman" w:eastAsia="Times New Roman" w:hAnsi="Times New Roman"/>
          <w:sz w:val="24"/>
          <w:szCs w:val="24"/>
          <w:color w:val="auto"/>
        </w:rPr>
        <w:t>Signature</w:t>
      </w:r>
    </w:p>
    <w:p>
      <w:pPr>
        <w:spacing w:after="0" w:line="2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4"/>
          <w:szCs w:val="24"/>
          <w:b w:val="1"/>
          <w:bCs w:val="1"/>
          <w:color w:val="auto"/>
        </w:rPr>
        <w:t>Jitse Marree</w:t>
      </w:r>
    </w:p>
    <w:p>
      <w:pPr>
        <w:spacing w:after="0" w:line="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4"/>
          <w:szCs w:val="24"/>
          <w:color w:val="auto"/>
        </w:rPr>
        <w:t>Type or Print Name</w:t>
      </w:r>
    </w:p>
    <w:p>
      <w:pPr>
        <w:spacing w:after="0" w:line="20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4"/>
          <w:szCs w:val="24"/>
          <w:color w:val="auto"/>
        </w:rPr>
        <w:t>Dated: May 5,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u w:val="single" w:color="auto"/>
          <w:color w:val="auto"/>
        </w:rPr>
        <w:t>Witness</w:t>
      </w:r>
      <w:r>
        <w:rPr>
          <w:rFonts w:ascii="Times New Roman" w:cs="Times New Roman" w:eastAsia="Times New Roman" w:hAnsi="Times New Roman"/>
          <w:sz w:val="24"/>
          <w:szCs w:val="24"/>
          <w:color w:val="auto"/>
        </w:rPr>
        <w: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 Michael Robert Duval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243967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39670" cy="9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4"/>
          <w:szCs w:val="24"/>
          <w:color w:val="auto"/>
        </w:rPr>
        <w:t>Signature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Michael Robert Duval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Type or Print Name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Dated: May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993775</wp:posOffset>
            </wp:positionV>
            <wp:extent cx="6972300" cy="44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2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2134103" TargetMode="External"/><Relationship Id="rId11" Type="http://schemas.openxmlformats.org/officeDocument/2006/relationships/hyperlink" Target="http://www.sec.gov/cgi-bin/browse-edgar?action=getcompany&amp;CIK=00010971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2026-05-11T18:34:44Z</dcterms:created>
  <dcterms:modified xsi:type="dcterms:W3CDTF">2026-05-11T18:34:44Z</dcterms:modified>
</cp:coreProperties>
</file>