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Align Technology,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Capital World Investors</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3,550,442.00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3,571,496.00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3,571,496.00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40"/>
        <w:gridCol w:w="8910"/>
        <w:gridCol w:w="155"/>
      </w:tblGrid>
      <w:tr>
        <w:trPr/>
        <w:tc>
          <w:tcPr>
            <w:tcW w:w="1140" w:type="dxa"/>
            <w:tcBorders/>
            <w:vAlign w:val="center"/>
          </w:tcPr>
          <w:p>
            <w:pPr>
              <w:pStyle w:val="TableContents"/>
              <w:bidi w:val="0"/>
              <w:spacing w:before="0" w:after="283"/>
              <w:jc w:val="left"/>
              <w:rPr/>
            </w:pPr>
            <w:r>
              <w:rPr/>
              <w:t>Item 1.</w:t>
            </w:r>
          </w:p>
        </w:tc>
        <w:tc>
          <w:tcPr>
            <w:tcW w:w="89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Name of issuer: </w:t>
            </w:r>
          </w:p>
          <w:p>
            <w:pPr>
              <w:pStyle w:val="TableContents"/>
              <w:bidi w:val="0"/>
              <w:spacing w:before="0" w:after="0"/>
              <w:jc w:val="left"/>
              <w:rPr/>
            </w:pPr>
            <w:r>
              <w:rPr/>
              <w:t>Align Technology, Inc.</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410 North Scottsdale Road, Suite 1300, Tempe, AZ 85288</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2.</w:t>
            </w:r>
          </w:p>
        </w:tc>
        <w:tc>
          <w:tcPr>
            <w:tcW w:w="89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Name of person filing: </w:t>
            </w:r>
          </w:p>
          <w:p>
            <w:pPr>
              <w:pStyle w:val="TableContents"/>
              <w:bidi w:val="0"/>
              <w:spacing w:before="0" w:after="0"/>
              <w:jc w:val="left"/>
              <w:rPr/>
            </w:pPr>
            <w:r>
              <w:rPr/>
              <w:t>Capital World Investors</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333 SOUTH HOPE STREET, 55TH FLOOR, LOS ANGELES, CALIFORNIA 90071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jc w:val="left"/>
              <w:rPr/>
            </w:pPr>
            <w:r>
              <w:rPr/>
              <w:t xml:space="preserve">Citizenship: </w:t>
            </w:r>
          </w:p>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(d)</w:t>
            </w:r>
          </w:p>
        </w:tc>
        <w:tc>
          <w:tcPr>
            <w:tcW w:w="891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(e)</w:t>
            </w:r>
          </w:p>
        </w:tc>
        <w:tc>
          <w:tcPr>
            <w:tcW w:w="891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3.</w:t>
            </w:r>
          </w:p>
        </w:tc>
        <w:tc>
          <w:tcPr>
            <w:tcW w:w="891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(d)</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(e)</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(f)</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(g)</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(h)</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(j)</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(k)</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9065" w:type="dxa"/>
            <w:gridSpan w:val="2"/>
            <w:tcBorders/>
            <w:vAlign w:val="center"/>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4.</w:t>
            </w:r>
          </w:p>
        </w:tc>
        <w:tc>
          <w:tcPr>
            <w:tcW w:w="891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3,571,496 ** **Capital World Investors ("CWI") is a division of Capital Research and Management Company ("CRMC"), as well as its investment management subsidiaries and affiliates Capital Bank and Trust Company, Capital International, Inc., Capital International Limited, Capital International Sarl, Capital International K.K., Capital Group Private Client Services, Inc., and Capital Group Investment Management Private Limited (together with CRMC, the "investment management entities"). CWI's divisions of each of the investment management entities collectively provide investment management services under the name "Capital World Investors." CWI is deemed to be the beneficial owner of 3,571,496 shares or 5.0% of the 71,618,127 shares believed to be outstanding.</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5.0  %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3,550,442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3,571,496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5.</w:t>
            </w:r>
          </w:p>
        </w:tc>
        <w:tc>
          <w:tcPr>
            <w:tcW w:w="891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6.</w:t>
            </w:r>
          </w:p>
        </w:tc>
        <w:tc>
          <w:tcPr>
            <w:tcW w:w="891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7.</w:t>
            </w:r>
          </w:p>
        </w:tc>
        <w:tc>
          <w:tcPr>
            <w:tcW w:w="891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8.</w:t>
            </w:r>
          </w:p>
        </w:tc>
        <w:tc>
          <w:tcPr>
            <w:tcW w:w="891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9.</w:t>
            </w:r>
          </w:p>
        </w:tc>
        <w:tc>
          <w:tcPr>
            <w:tcW w:w="891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38" w:type="dxa"/>
        <w:jc w:val="left"/>
        <w:tblInd w:w="0" w:type="dxa"/>
        <w:tblLayout w:type="fixed"/>
        <w:tblCellMar>
          <w:top w:w="28" w:type="dxa"/>
          <w:left w:w="28" w:type="dxa"/>
          <w:bottom w:w="28" w:type="dxa"/>
          <w:right w:w="28" w:type="dxa"/>
        </w:tblCellMar>
      </w:tblPr>
      <w:tblGrid>
        <w:gridCol w:w="2519"/>
        <w:gridCol w:w="2519"/>
      </w:tblGrid>
      <w:tr>
        <w:trPr/>
        <w:tc>
          <w:tcPr>
            <w:tcW w:w="2519" w:type="dxa"/>
            <w:tcBorders/>
            <w:vAlign w:val="center"/>
          </w:tcPr>
          <w:p>
            <w:pPr>
              <w:pStyle w:val="TableContents"/>
              <w:bidi w:val="0"/>
              <w:spacing w:before="0" w:after="0"/>
              <w:jc w:val="left"/>
              <w:rPr/>
            </w:pPr>
            <w:r>
              <w:rPr/>
              <w:t> </w:t>
            </w:r>
          </w:p>
          <w:tbl>
            <w:tblPr>
              <w:tblW w:w="2416" w:type="dxa"/>
              <w:jc w:val="left"/>
              <w:tblInd w:w="0" w:type="dxa"/>
              <w:tblLayout w:type="fixed"/>
              <w:tblCellMar>
                <w:top w:w="28" w:type="dxa"/>
                <w:left w:w="28" w:type="dxa"/>
                <w:bottom w:w="28" w:type="dxa"/>
                <w:right w:w="28" w:type="dxa"/>
              </w:tblCellMar>
            </w:tblPr>
            <w:tblGrid>
              <w:gridCol w:w="2416"/>
            </w:tblGrid>
            <w:tr>
              <w:trPr/>
              <w:tc>
                <w:tcPr>
                  <w:tcW w:w="2416" w:type="dxa"/>
                  <w:tcBorders/>
                  <w:vAlign w:val="center"/>
                </w:tcPr>
                <w:p>
                  <w:pPr>
                    <w:pStyle w:val="TableContents"/>
                    <w:bidi w:val="0"/>
                    <w:spacing w:before="0" w:after="0"/>
                    <w:jc w:val="left"/>
                    <w:rPr/>
                  </w:pPr>
                  <w:r>
                    <w:rPr/>
                    <w:t>Capital World Investors</w:t>
                  </w:r>
                </w:p>
              </w:tc>
            </w:tr>
          </w:tbl>
          <w:p>
            <w:pPr>
              <w:pStyle w:val="TableContents"/>
              <w:bidi w:val="0"/>
              <w:spacing w:before="0" w:after="283"/>
              <w:jc w:val="left"/>
              <w:rPr/>
            </w:pPr>
            <w:r>
              <w:rPr/>
            </w:r>
          </w:p>
        </w:tc>
        <w:tc>
          <w:tcPr>
            <w:tcW w:w="25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3"/>
        <w:gridCol w:w="4232"/>
      </w:tblGrid>
      <w:tr>
        <w:trPr/>
        <w:tc>
          <w:tcPr>
            <w:tcW w:w="59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Timothy J. Moon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Vice President and Senior Counsel, Capital Research and Management Company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23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840</Words>
  <Characters>4465</Characters>
  <CharactersWithSpaces>5301</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