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280" w:after="283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SCHEDULE 14A INFORMATION</w:t>
      </w:r>
    </w:p>
    <w:p>
      <w:pPr>
        <w:pStyle w:val="TextBody"/>
        <w:bidi w:val="0"/>
        <w:spacing w:lineRule="auto" w:line="288" w:before="28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 14(a) OF THE SECURITIES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EXCHANGE ACT OF 1934</w:t>
      </w:r>
    </w:p>
    <w:p>
      <w:pPr>
        <w:pStyle w:val="TextBody"/>
        <w:bidi w:val="0"/>
        <w:spacing w:lineRule="auto" w:line="288" w:before="36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288" w:before="10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100" w:after="283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☐    </w:t>
      </w:r>
      <w:r>
        <w:rPr>
          <w:rFonts w:ascii="Times New Roman;sans-serif" w:hAnsi="Times New Roman;sans-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☐    </w:t>
      </w:r>
      <w:r>
        <w:rPr>
          <w:rFonts w:ascii="Times New Roman;sans-serif" w:hAnsi="Times New Roman;sans-serif"/>
          <w:b w:val="false"/>
          <w:color w:val="000000"/>
          <w:sz w:val="20"/>
        </w:rPr>
        <w:t>Confidential, for Use of the Commission Only (as permitted by Rule 14a-6(e)(2))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☐    </w:t>
      </w:r>
      <w:r>
        <w:rPr>
          <w:rFonts w:ascii="Times New Roman;sans-serif" w:hAnsi="Times New Roman;sans-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☒    </w:t>
      </w:r>
      <w:r>
        <w:rPr>
          <w:rFonts w:ascii="Times New Roman;sans-serif" w:hAnsi="Times New Roman;sans-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☐    </w:t>
      </w:r>
      <w:r>
        <w:rPr>
          <w:rFonts w:ascii="Times New Roman;sans-serif" w:hAnsi="Times New Roman;sans-serif"/>
          <w:b w:val="false"/>
          <w:color w:val="000000"/>
          <w:sz w:val="20"/>
        </w:rPr>
        <w:t>Soliciting Material under §240.14a-12</w:t>
      </w:r>
    </w:p>
    <w:p>
      <w:pPr>
        <w:pStyle w:val="TextBody"/>
        <w:bidi w:val="0"/>
        <w:spacing w:lineRule="auto" w:line="288" w:before="360" w:after="283"/>
        <w:jc w:val="center"/>
        <w:rPr>
          <w:rFonts w:ascii="Times New Roman;sans-serif" w:hAnsi="Times New Roman;sans-serif"/>
          <w:b/>
          <w:color w:val="000000"/>
          <w:sz w:val="48"/>
        </w:rPr>
      </w:pPr>
      <w:r>
        <w:rPr>
          <w:rFonts w:ascii="Times New Roman;sans-serif" w:hAnsi="Times New Roman;sans-serif"/>
          <w:b/>
          <w:color w:val="000000"/>
          <w:sz w:val="48"/>
        </w:rPr>
        <w:t>ALIGN TECHNOLOGY, INC.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6"/>
        </w:rPr>
      </w:pPr>
      <w:r>
        <w:rPr>
          <w:rFonts w:ascii="Times New Roman;sans-serif" w:hAnsi="Times New Roman;sans-serif"/>
          <w:b/>
          <w:color w:val="000000"/>
          <w:sz w:val="16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360" w:after="283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☒    </w:t>
      </w:r>
      <w:r>
        <w:rPr>
          <w:rFonts w:ascii="Times New Roman;sans-serif" w:hAnsi="Times New Roman;sans-serif"/>
          <w:b w:val="false"/>
          <w:color w:val="000000"/>
          <w:sz w:val="20"/>
        </w:rPr>
        <w:t>No fee required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☐    </w:t>
      </w:r>
      <w:r>
        <w:rPr>
          <w:rFonts w:ascii="Times New Roman;sans-serif" w:hAnsi="Times New Roman;sans-serif"/>
          <w:b w:val="false"/>
          <w:color w:val="000000"/>
          <w:sz w:val="20"/>
        </w:rPr>
        <w:t>Fee paid previously with preliminary materials</w:t>
      </w:r>
    </w:p>
    <w:p>
      <w:pPr>
        <w:pStyle w:val="TextBody"/>
        <w:bidi w:val="0"/>
        <w:spacing w:lineRule="auto" w:line="288" w:before="100" w:after="283"/>
        <w:ind w:left="0" w:right="0" w:hanging="540"/>
        <w:jc w:val="left"/>
        <w:rPr/>
      </w:pPr>
      <w:r>
        <w:rPr>
          <w:color w:val="000000"/>
        </w:rPr>
        <w:t>☐    </w:t>
      </w:r>
      <w:r>
        <w:rPr>
          <w:rFonts w:ascii="Times New Roman;sans-serif" w:hAnsi="Times New Roman;sans-serif"/>
          <w:b w:val="false"/>
          <w:color w:val="000000"/>
          <w:sz w:val="20"/>
        </w:rPr>
        <w:t>Fee computed on table in exhibit required by Item 25(b) per Exchange Act Rules 14a-6(i)(1) and 0-11</w:t>
      </w:r>
    </w:p>
    <w:p>
      <w:pPr>
        <w:pStyle w:val="TextBody"/>
        <w:bidi w:val="0"/>
        <w:spacing w:before="100" w:after="283"/>
        <w:jc w:val="left"/>
        <w:rPr/>
      </w:pPr>
      <w:r>
        <w:rPr/>
      </w:r>
    </w:p>
    <w:p>
      <w:pPr>
        <w:pStyle w:val="TextBody"/>
        <w:bidi w:val="0"/>
        <w:spacing w:before="18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86" w:after="283"/>
        <w:jc w:val="center"/>
        <w:rPr/>
      </w:pPr>
      <w:r>
        <w:rPr/>
        <w:drawing>
          <wp:inline distT="0" distB="0" distL="0" distR="0">
            <wp:extent cx="5457825" cy="7286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66" w:before="99" w:after="283"/>
        <w:jc w:val="center"/>
        <w:rPr>
          <w:rFonts w:ascii="Arial;sans-serif" w:hAnsi="Arial;sans-serif"/>
          <w:b/>
          <w:color w:val="231F20"/>
          <w:sz w:val="28"/>
        </w:rPr>
      </w:pPr>
      <w:r>
        <w:rPr>
          <w:rFonts w:ascii="Arial;sans-serif" w:hAnsi="Arial;sans-serif"/>
          <w:b/>
          <w:color w:val="231F20"/>
          <w:sz w:val="28"/>
        </w:rPr>
        <w:t>ALIGN TECHNOLOGY, INC.</w:t>
      </w:r>
    </w:p>
    <w:p>
      <w:pPr>
        <w:pStyle w:val="TextBody"/>
        <w:bidi w:val="0"/>
        <w:spacing w:lineRule="auto" w:line="256" w:before="0" w:after="0"/>
        <w:jc w:val="center"/>
        <w:rPr>
          <w:rFonts w:ascii="Arial;sans-serif" w:hAnsi="Arial;sans-serif"/>
          <w:b w:val="false"/>
          <w:color w:val="231F20"/>
          <w:sz w:val="28"/>
        </w:rPr>
      </w:pPr>
      <w:r>
        <w:rPr>
          <w:rFonts w:ascii="Arial;sans-serif" w:hAnsi="Arial;sans-serif"/>
          <w:b w:val="false"/>
          <w:color w:val="231F20"/>
          <w:sz w:val="28"/>
        </w:rPr>
        <w:t>410 North Scottsdale Road, Suite 1300</w:t>
      </w:r>
    </w:p>
    <w:p>
      <w:pPr>
        <w:pStyle w:val="TextBody"/>
        <w:bidi w:val="0"/>
        <w:spacing w:lineRule="auto" w:line="266" w:before="0" w:after="0"/>
        <w:jc w:val="center"/>
        <w:rPr>
          <w:rFonts w:ascii="Arial;sans-serif" w:hAnsi="Arial;sans-serif"/>
          <w:b w:val="false"/>
          <w:color w:val="231F20"/>
          <w:sz w:val="28"/>
        </w:rPr>
      </w:pPr>
      <w:r>
        <w:rPr>
          <w:rFonts w:ascii="Arial;sans-serif" w:hAnsi="Arial;sans-serif"/>
          <w:b w:val="false"/>
          <w:color w:val="231F20"/>
          <w:sz w:val="28"/>
        </w:rPr>
        <w:t>Tempe, AZ 85288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231F20"/>
          <w:sz w:val="24"/>
          <w:u w:val="single"/>
        </w:rPr>
      </w:pPr>
      <w:r>
        <w:rPr>
          <w:rFonts w:ascii="Arial;sans-serif" w:hAnsi="Arial;sans-serif"/>
          <w:b/>
          <w:color w:val="231F20"/>
          <w:sz w:val="24"/>
          <w:u w:val="single"/>
        </w:rPr>
        <w:t>PROXY MATERIALS AVAILABLE TO VIEW OR RECEIVE</w:t>
      </w:r>
    </w:p>
    <w:p>
      <w:pPr>
        <w:pStyle w:val="TextBody"/>
        <w:bidi w:val="0"/>
        <w:spacing w:before="8" w:after="283"/>
        <w:jc w:val="left"/>
        <w:rPr/>
      </w:pPr>
      <w:r>
        <w:rPr/>
      </w:r>
    </w:p>
    <w:p>
      <w:pPr>
        <w:pStyle w:val="TextBody"/>
        <w:bidi w:val="0"/>
        <w:spacing w:lineRule="auto" w:line="280" w:before="0" w:after="0"/>
        <w:jc w:val="center"/>
        <w:rPr/>
      </w:pPr>
      <w:r>
        <w:rPr>
          <w:rFonts w:ascii="Arial;sans-serif" w:hAnsi="Arial;sans-serif"/>
          <w:b w:val="false"/>
          <w:color w:val="231F20"/>
          <w:sz w:val="24"/>
        </w:rPr>
        <w:t xml:space="preserve">The following proxy materials are available to you for review at: </w:t>
      </w:r>
      <w:r>
        <w:rPr>
          <w:rFonts w:ascii="Arial;sans-serif" w:hAnsi="Arial;sans-serif"/>
          <w:b w:val="false"/>
          <w:color w:val="231F20"/>
          <w:sz w:val="24"/>
          <w:u w:val="single"/>
        </w:rPr>
        <w:t>http://www.viewproxy.com/aligntech/2024</w:t>
      </w:r>
    </w:p>
    <w:p>
      <w:pPr>
        <w:pStyle w:val="TextBody"/>
        <w:bidi w:val="0"/>
        <w:spacing w:lineRule="auto" w:line="288" w:before="23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Proxy Statement and 2023 Annual Report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38" w:after="283"/>
        <w:jc w:val="center"/>
        <w:rPr>
          <w:rFonts w:ascii="Arial;sans-serif" w:hAnsi="Arial;sans-serif"/>
          <w:b/>
          <w:color w:val="231F20"/>
          <w:sz w:val="24"/>
          <w:u w:val="single"/>
        </w:rPr>
      </w:pPr>
      <w:r>
        <w:rPr>
          <w:rFonts w:ascii="Arial;sans-serif" w:hAnsi="Arial;sans-serif"/>
          <w:b/>
          <w:color w:val="231F20"/>
          <w:sz w:val="24"/>
          <w:u w:val="single"/>
        </w:rPr>
        <w:t>ACCESSING YOUR PROXY MATERIALS ONLINE</w:t>
      </w:r>
    </w:p>
    <w:p>
      <w:pPr>
        <w:pStyle w:val="TextBody"/>
        <w:bidi w:val="0"/>
        <w:spacing w:lineRule="auto" w:line="288" w:before="184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Have this notice available when you request a paper copy of the proxy materials or</w:t>
      </w:r>
    </w:p>
    <w:p>
      <w:pPr>
        <w:pStyle w:val="TextBody"/>
        <w:bidi w:val="0"/>
        <w:spacing w:lineRule="auto" w:line="280" w:before="4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to vote your proxy electronically. You must reference your Virtual Control Number to vote by Internet or request a paper copy of the proxy materials.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16" w:after="283"/>
        <w:jc w:val="center"/>
        <w:rPr>
          <w:rFonts w:ascii="Arial;sans-serif" w:hAnsi="Arial;sans-serif"/>
          <w:b/>
          <w:color w:val="231F20"/>
          <w:sz w:val="24"/>
        </w:rPr>
      </w:pPr>
      <w:r>
        <w:rPr>
          <w:rFonts w:ascii="Arial;sans-serif" w:hAnsi="Arial;sans-serif"/>
          <w:b/>
          <w:color w:val="231F20"/>
          <w:sz w:val="24"/>
        </w:rPr>
        <w:t>You May Vote Your Proxy When You View The Materials On The Internet.</w:t>
      </w:r>
    </w:p>
    <w:p>
      <w:pPr>
        <w:pStyle w:val="TextBody"/>
        <w:bidi w:val="0"/>
        <w:spacing w:lineRule="auto" w:line="288" w:before="24" w:after="283"/>
        <w:jc w:val="center"/>
        <w:rPr>
          <w:rFonts w:ascii="Arial;sans-serif" w:hAnsi="Arial;sans-serif"/>
          <w:b/>
          <w:color w:val="231F20"/>
          <w:sz w:val="24"/>
        </w:rPr>
      </w:pPr>
      <w:r>
        <w:rPr>
          <w:rFonts w:ascii="Arial;sans-serif" w:hAnsi="Arial;sans-serif"/>
          <w:b/>
          <w:color w:val="231F20"/>
          <w:sz w:val="24"/>
        </w:rPr>
        <w:t>You Will Be Asked To Follow The Prompts To Vote Your Shares.</w:t>
      </w:r>
    </w:p>
    <w:p>
      <w:pPr>
        <w:pStyle w:val="TextBody"/>
        <w:bidi w:val="0"/>
        <w:spacing w:lineRule="auto" w:line="280" w:before="144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Your electronic vote authorizes the named proxies to vote your shares in the same manner as if you marked, signed, dated and returned the proxy card.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97" w:after="283"/>
        <w:jc w:val="center"/>
        <w:rPr>
          <w:rFonts w:ascii="Arial;sans-serif" w:hAnsi="Arial;sans-serif"/>
          <w:b/>
          <w:color w:val="231F20"/>
          <w:sz w:val="24"/>
          <w:u w:val="single"/>
        </w:rPr>
      </w:pPr>
      <w:r>
        <w:rPr>
          <w:rFonts w:ascii="Arial;sans-serif" w:hAnsi="Arial;sans-serif"/>
          <w:b/>
          <w:color w:val="231F20"/>
          <w:sz w:val="24"/>
          <w:u w:val="single"/>
        </w:rPr>
        <w:t>REQUESTING A PAPER COPY OF THE PROXY MATERIALS</w:t>
      </w:r>
    </w:p>
    <w:p>
      <w:pPr>
        <w:pStyle w:val="TextBody"/>
        <w:bidi w:val="0"/>
        <w:spacing w:before="8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Arial;sans-serif" w:hAnsi="Arial;sans-serif"/>
          <w:b w:val="false"/>
          <w:color w:val="231F20"/>
          <w:sz w:val="24"/>
        </w:rPr>
        <w:t xml:space="preserve">By telephone please call </w:t>
      </w:r>
      <w:r>
        <w:rPr>
          <w:rFonts w:ascii="Arial;sans-serif" w:hAnsi="Arial;sans-serif"/>
          <w:b/>
          <w:color w:val="231F20"/>
          <w:sz w:val="24"/>
        </w:rPr>
        <w:t>1-877-777-2857</w:t>
      </w:r>
    </w:p>
    <w:p>
      <w:pPr>
        <w:pStyle w:val="TextBody"/>
        <w:bidi w:val="0"/>
        <w:spacing w:lineRule="auto" w:line="288" w:before="84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or</w:t>
      </w:r>
    </w:p>
    <w:p>
      <w:pPr>
        <w:pStyle w:val="TextBody"/>
        <w:bidi w:val="0"/>
        <w:spacing w:lineRule="auto" w:line="280" w:before="84" w:after="283"/>
        <w:jc w:val="center"/>
        <w:rPr/>
      </w:pPr>
      <w:r>
        <w:rPr>
          <w:rFonts w:ascii="Arial;sans-serif" w:hAnsi="Arial;sans-serif"/>
          <w:b w:val="false"/>
          <w:color w:val="231F20"/>
          <w:sz w:val="24"/>
        </w:rPr>
        <w:t xml:space="preserve">By logging onto </w:t>
      </w:r>
      <w:r>
        <w:rPr>
          <w:rFonts w:ascii="Arial;sans-serif" w:hAnsi="Arial;sans-serif"/>
          <w:b w:val="false"/>
          <w:color w:val="231F20"/>
          <w:sz w:val="24"/>
          <w:u w:val="single"/>
        </w:rPr>
        <w:t>http://www.viewproxy.com/aligntech/2024</w:t>
      </w:r>
    </w:p>
    <w:p>
      <w:pPr>
        <w:pStyle w:val="TextBody"/>
        <w:bidi w:val="0"/>
        <w:spacing w:lineRule="auto" w:line="288" w:before="83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or</w:t>
      </w:r>
    </w:p>
    <w:p>
      <w:pPr>
        <w:pStyle w:val="TextBody"/>
        <w:bidi w:val="0"/>
        <w:spacing w:lineRule="auto" w:line="288" w:before="4" w:after="283"/>
        <w:jc w:val="center"/>
        <w:rPr/>
      </w:pPr>
      <w:r>
        <w:rPr>
          <w:rFonts w:ascii="Arial;sans-serif" w:hAnsi="Arial;sans-serif"/>
          <w:b w:val="false"/>
          <w:color w:val="231F20"/>
          <w:sz w:val="24"/>
        </w:rPr>
        <w:t xml:space="preserve">By email at </w:t>
      </w:r>
      <w:r>
        <w:rPr>
          <w:rFonts w:ascii="Arial;sans-serif" w:hAnsi="Arial;sans-serif"/>
          <w:b w:val="false"/>
          <w:color w:val="231F20"/>
          <w:sz w:val="24"/>
          <w:u w:val="single"/>
        </w:rPr>
        <w:t>requests@viewproxy.com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42" w:after="283"/>
        <w:jc w:val="center"/>
        <w:rPr>
          <w:rFonts w:ascii="Arial;sans-serif" w:hAnsi="Arial;sans-serif"/>
          <w:b w:val="false"/>
          <w:color w:val="231F20"/>
          <w:sz w:val="24"/>
        </w:rPr>
      </w:pPr>
      <w:r>
        <w:rPr>
          <w:rFonts w:ascii="Arial;sans-serif" w:hAnsi="Arial;sans-serif"/>
          <w:b w:val="false"/>
          <w:color w:val="231F20"/>
          <w:sz w:val="24"/>
        </w:rPr>
        <w:t>Please include the company name and your Virtual Control Number in the e-mail subject line.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295</Words>
  <Characters>1584</Characters>
  <CharactersWithSpaces>1867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