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5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10-Q</w:t>
      </w:r>
    </w:p>
    <w:p>
      <w:pPr>
        <w:spacing w:after="0" w:line="42"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quarterly period ended March 31, 2013</w:t>
      </w:r>
    </w:p>
    <w:p>
      <w:pPr>
        <w:spacing w:after="0" w:line="11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OR</w:t>
      </w:r>
    </w:p>
    <w:p>
      <w:pPr>
        <w:spacing w:after="0" w:line="34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60"/>
          </w:cols>
          <w:pgMar w:left="240" w:top="233" w:right="399" w:bottom="1440" w:gutter="0" w:footer="0" w:header="0"/>
        </w:sectPr>
      </w:pPr>
    </w:p>
    <w:p>
      <w:pPr>
        <w:spacing w:after="0" w:line="234"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90" w:lineRule="exact"/>
        <w:rPr>
          <w:sz w:val="24"/>
          <w:szCs w:val="24"/>
          <w:color w:val="auto"/>
        </w:rPr>
      </w:pPr>
    </w:p>
    <w:p>
      <w:pPr>
        <w:sectPr>
          <w:pgSz w:w="11900" w:h="16838" w:orient="portrait"/>
          <w:cols w:equalWidth="0" w:num="2">
            <w:col w:w="6400" w:space="720"/>
            <w:col w:w="4140"/>
          </w:cols>
          <w:pgMar w:left="240" w:top="233" w:right="399" w:bottom="1440" w:gutter="0" w:footer="0" w:header="0"/>
          <w:type w:val="continuous"/>
        </w:sectPr>
      </w:pPr>
    </w:p>
    <w:p>
      <w:pPr>
        <w:ind w:left="4520"/>
        <w:spacing w:after="0"/>
        <w:rPr>
          <w:sz w:val="20"/>
          <w:szCs w:val="20"/>
          <w:color w:val="auto"/>
        </w:rPr>
      </w:pPr>
      <w:r>
        <w:rPr>
          <w:rFonts w:ascii="Arial" w:cs="Arial" w:eastAsia="Arial" w:hAnsi="Arial"/>
          <w:sz w:val="14"/>
          <w:szCs w:val="14"/>
          <w:b w:val="1"/>
          <w:bCs w:val="1"/>
          <w:color w:val="auto"/>
        </w:rPr>
        <w:t>Commission file number: 0-32259</w:t>
      </w:r>
    </w:p>
    <w:p>
      <w:pPr>
        <w:spacing w:after="0" w:line="46"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40"/>
          <w:szCs w:val="40"/>
          <w:b w:val="1"/>
          <w:bCs w:val="1"/>
          <w:color w:val="auto"/>
        </w:rPr>
        <w:t>ALIGN TECHNOLOGY, INC.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14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94-3267295</w:t>
      </w:r>
    </w:p>
    <w:p>
      <w:pPr>
        <w:spacing w:after="0" w:line="95" w:lineRule="exact"/>
        <w:rPr>
          <w:sz w:val="24"/>
          <w:szCs w:val="24"/>
          <w:color w:val="auto"/>
        </w:rPr>
      </w:pPr>
    </w:p>
    <w:p>
      <w:pPr>
        <w:sectPr>
          <w:pgSz w:w="11900" w:h="16838" w:orient="portrait"/>
          <w:cols w:equalWidth="0" w:num="2">
            <w:col w:w="7460" w:space="720"/>
            <w:col w:w="3080"/>
          </w:cols>
          <w:pgMar w:left="240" w:top="233" w:right="399" w:bottom="1440" w:gutter="0" w:footer="0" w:header="0"/>
          <w:type w:val="continuous"/>
        </w:sectPr>
      </w:pPr>
    </w:p>
    <w:p>
      <w:pPr>
        <w:ind w:left="1860"/>
        <w:spacing w:after="0"/>
        <w:rPr>
          <w:sz w:val="20"/>
          <w:szCs w:val="20"/>
          <w:color w:val="auto"/>
        </w:rPr>
      </w:pPr>
      <w:r>
        <w:rPr>
          <w:rFonts w:ascii="Arial" w:cs="Arial" w:eastAsia="Arial" w:hAnsi="Arial"/>
          <w:sz w:val="15"/>
          <w:szCs w:val="15"/>
          <w:b w:val="1"/>
          <w:bCs w:val="1"/>
          <w:color w:val="auto"/>
        </w:rPr>
        <w:t>(State or other jurisdiction of</w:t>
      </w:r>
    </w:p>
    <w:p>
      <w:pPr>
        <w:spacing w:after="0" w:line="38" w:lineRule="exact"/>
        <w:rPr>
          <w:sz w:val="24"/>
          <w:szCs w:val="24"/>
          <w:color w:val="auto"/>
        </w:rPr>
      </w:pPr>
    </w:p>
    <w:p>
      <w:pPr>
        <w:ind w:left="18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6"/>
          <w:szCs w:val="16"/>
          <w:b w:val="1"/>
          <w:bCs w:val="1"/>
          <w:color w:val="auto"/>
        </w:rPr>
        <w:t>(I.R.S. Employer</w:t>
      </w:r>
    </w:p>
    <w:p>
      <w:pPr>
        <w:spacing w:after="0" w:line="26" w:lineRule="exact"/>
        <w:rPr>
          <w:sz w:val="24"/>
          <w:szCs w:val="24"/>
          <w:color w:val="auto"/>
        </w:rPr>
      </w:pPr>
    </w:p>
    <w:p>
      <w:pPr>
        <w:jc w:val="center"/>
        <w:ind w:right="1880"/>
        <w:spacing w:after="0"/>
        <w:rPr>
          <w:sz w:val="20"/>
          <w:szCs w:val="20"/>
          <w:color w:val="auto"/>
        </w:rPr>
      </w:pPr>
      <w:r>
        <w:rPr>
          <w:rFonts w:ascii="Arial" w:cs="Arial" w:eastAsia="Arial" w:hAnsi="Arial"/>
          <w:sz w:val="15"/>
          <w:szCs w:val="15"/>
          <w:b w:val="1"/>
          <w:bCs w:val="1"/>
          <w:color w:val="auto"/>
        </w:rPr>
        <w:t>Identification Number)</w:t>
      </w:r>
    </w:p>
    <w:p>
      <w:pPr>
        <w:spacing w:after="0" w:line="130" w:lineRule="exact"/>
        <w:rPr>
          <w:sz w:val="24"/>
          <w:szCs w:val="24"/>
          <w:color w:val="auto"/>
        </w:rPr>
      </w:pPr>
    </w:p>
    <w:p>
      <w:pPr>
        <w:sectPr>
          <w:pgSz w:w="11900" w:h="16838" w:orient="portrait"/>
          <w:cols w:equalWidth="0" w:num="2">
            <w:col w:w="7040" w:space="720"/>
            <w:col w:w="3500"/>
          </w:cols>
          <w:pgMar w:left="240" w:top="233" w:right="399" w:bottom="1440" w:gutter="0" w:footer="0" w:header="0"/>
          <w:type w:val="continuous"/>
        </w:sectPr>
      </w:pPr>
    </w:p>
    <w:p>
      <w:pPr>
        <w:jc w:val="center"/>
        <w:ind w:right="-159"/>
        <w:spacing w:after="0"/>
        <w:rPr>
          <w:sz w:val="20"/>
          <w:szCs w:val="20"/>
          <w:color w:val="auto"/>
        </w:rPr>
      </w:pPr>
      <w:r>
        <w:rPr>
          <w:rFonts w:ascii="Arial" w:cs="Arial" w:eastAsia="Arial" w:hAnsi="Arial"/>
          <w:sz w:val="16"/>
          <w:szCs w:val="16"/>
          <w:b w:val="1"/>
          <w:bCs w:val="1"/>
          <w:color w:val="auto"/>
        </w:rPr>
        <w:t>2560 Orchard Parkway</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San Jose, California 95131</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14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(408) 470-1000</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2" w:lineRule="exact"/>
        <w:rPr>
          <w:sz w:val="24"/>
          <w:szCs w:val="24"/>
          <w:color w:val="auto"/>
        </w:rPr>
      </w:pPr>
    </w:p>
    <w:p>
      <w:pPr>
        <w:ind w:left="460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86" w:lineRule="exact"/>
        <w:rPr>
          <w:sz w:val="24"/>
          <w:szCs w:val="24"/>
          <w:color w:val="auto"/>
        </w:rPr>
      </w:pPr>
    </w:p>
    <w:p>
      <w:pPr>
        <w:ind w:right="26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24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firstLine="432"/>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260"/>
          </w:cols>
          <w:pgMar w:left="240" w:top="233" w:right="399" w:bottom="1440" w:gutter="0" w:footer="0" w:header="0"/>
          <w:type w:val="continuous"/>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480" w:space="50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4">
            <w:col w:w="1400" w:space="58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167" w:lineRule="exact"/>
        <w:rPr>
          <w:sz w:val="24"/>
          <w:szCs w:val="24"/>
          <w:color w:val="auto"/>
        </w:rPr>
      </w:pPr>
    </w:p>
    <w:p>
      <w:pPr>
        <w:sectPr>
          <w:pgSz w:w="11900" w:h="16838" w:orient="portrait"/>
          <w:cols w:equalWidth="0" w:num="4">
            <w:col w:w="7800" w:space="160"/>
            <w:col w:w="240" w:space="80"/>
            <w:col w:w="140" w:space="160"/>
            <w:col w:w="2680"/>
          </w:cols>
          <w:pgMar w:left="240" w:top="233" w:right="39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The number of shares outstanding of the registrant’s Common Stock, $0.0001 par value, as of April 26, 2013 was 81,557,143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920" w:type="dxa"/>
            <w:vAlign w:val="bottom"/>
            <w:gridSpan w:val="2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80" w:type="dxa"/>
            <w:vAlign w:val="bottom"/>
            <w:gridSpan w:val="2"/>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 (UNAUDITED):</w:t>
              </w:r>
            </w:hyperlink>
          </w:p>
        </w:tc>
        <w:tc>
          <w:tcPr>
            <w:tcW w:w="650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80" w:type="dxa"/>
            <w:vAlign w:val="bottom"/>
            <w:tcBorders>
              <w:bottom w:val="single" w:sz="8" w:color="0000FF"/>
            </w:tcBorders>
            <w:gridSpan w:val="17"/>
          </w:tcPr>
          <w:p>
            <w:pPr>
              <w:spacing w:after="0"/>
              <w:rPr>
                <w:rFonts w:ascii="Arial" w:cs="Arial" w:eastAsia="Arial" w:hAnsi="Arial"/>
                <w:sz w:val="18"/>
                <w:szCs w:val="18"/>
                <w:color w:val="0000FF"/>
                <w:w w:val="94"/>
              </w:rPr>
            </w:pPr>
            <w:hyperlink w:anchor="page3">
              <w:r>
                <w:rPr>
                  <w:rFonts w:ascii="Arial" w:cs="Arial" w:eastAsia="Arial" w:hAnsi="Arial"/>
                  <w:sz w:val="18"/>
                  <w:szCs w:val="18"/>
                  <w:color w:val="0000FF"/>
                  <w:w w:val="94"/>
                </w:rPr>
                <w:t>CONDENSED CONSOLIDATED STATEMENTS OF COMPREHENSIVE INCOME (LOSS)</w:t>
              </w:r>
            </w:hyperlink>
          </w:p>
        </w:tc>
        <w:tc>
          <w:tcPr>
            <w:tcW w:w="27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20">
              <w:r>
                <w:rPr>
                  <w:rFonts w:ascii="Arial" w:cs="Arial" w:eastAsia="Arial" w:hAnsi="Arial"/>
                  <w:sz w:val="18"/>
                  <w:szCs w:val="18"/>
                  <w:color w:val="0000FF"/>
                  <w:w w:val="91"/>
                </w:rPr>
                <w:t>OPERATIONS</w:t>
              </w:r>
            </w:hyperlink>
          </w:p>
        </w:tc>
        <w:tc>
          <w:tcPr>
            <w:tcW w:w="6660" w:type="dxa"/>
            <w:vAlign w:val="bottom"/>
            <w:tcBorders>
              <w:top w:val="single" w:sz="8" w:color="0000FF"/>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21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35">
              <w:r>
                <w:rPr>
                  <w:rFonts w:ascii="Arial" w:cs="Arial" w:eastAsia="Arial" w:hAnsi="Arial"/>
                  <w:sz w:val="18"/>
                  <w:szCs w:val="18"/>
                  <w:color w:val="0000FF"/>
                  <w:w w:val="98"/>
                </w:rPr>
                <w:t>QUANTITATIVE AND QUALITATIVE DISCLOSURES ABOUT MARKET RISK</w:t>
              </w:r>
            </w:hyperlink>
          </w:p>
        </w:tc>
        <w:tc>
          <w:tcPr>
            <w:tcW w:w="3780" w:type="dxa"/>
            <w:vAlign w:val="bottom"/>
            <w:gridSpan w:val="3"/>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35">
              <w:r>
                <w:rPr>
                  <w:rFonts w:ascii="Arial" w:cs="Arial" w:eastAsia="Arial" w:hAnsi="Arial"/>
                  <w:sz w:val="18"/>
                  <w:szCs w:val="18"/>
                  <w:color w:val="0000FF"/>
                  <w:w w:val="93"/>
                </w:rPr>
                <w:t>CONTROLS AND PROCEDURES</w:t>
              </w:r>
            </w:hyperlink>
          </w:p>
        </w:tc>
        <w:tc>
          <w:tcPr>
            <w:tcW w:w="7320" w:type="dxa"/>
            <w:vAlign w:val="bottom"/>
            <w:gridSpan w:val="11"/>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5">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20"/>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RISK FACTORS</w:t>
              </w:r>
            </w:hyperlink>
          </w:p>
        </w:tc>
        <w:tc>
          <w:tcPr>
            <w:tcW w:w="620" w:type="dxa"/>
            <w:vAlign w:val="bottom"/>
            <w:tcBorders>
              <w:top w:val="single" w:sz="8" w:color="0000FF"/>
            </w:tcBorders>
          </w:tcPr>
          <w:p>
            <w:pPr>
              <w:spacing w:after="0"/>
              <w:rPr>
                <w:sz w:val="21"/>
                <w:szCs w:val="21"/>
                <w:color w:val="auto"/>
              </w:rPr>
            </w:pPr>
          </w:p>
        </w:tc>
        <w:tc>
          <w:tcPr>
            <w:tcW w:w="8060" w:type="dxa"/>
            <w:vAlign w:val="bottom"/>
            <w:gridSpan w:val="1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49</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1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50">
              <w:r>
                <w:rPr>
                  <w:rFonts w:ascii="Arial" w:cs="Arial" w:eastAsia="Arial" w:hAnsi="Arial"/>
                  <w:sz w:val="18"/>
                  <w:szCs w:val="18"/>
                  <w:color w:val="0000FF"/>
                  <w:w w:val="93"/>
                </w:rPr>
                <w:t>DEFAULTS UPON SENIOR SECURITIES</w:t>
              </w:r>
            </w:hyperlink>
          </w:p>
        </w:tc>
        <w:tc>
          <w:tcPr>
            <w:tcW w:w="2880" w:type="dxa"/>
            <w:vAlign w:val="bottom"/>
            <w:tcBorders>
              <w:top w:val="single" w:sz="8" w:color="0000FF"/>
            </w:tcBorders>
            <w:gridSpan w:val="6"/>
          </w:tcPr>
          <w:p>
            <w:pPr>
              <w:spacing w:after="0"/>
              <w:rPr>
                <w:sz w:val="21"/>
                <w:szCs w:val="21"/>
                <w:color w:val="auto"/>
              </w:rPr>
            </w:pPr>
          </w:p>
        </w:tc>
        <w:tc>
          <w:tcPr>
            <w:tcW w:w="38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50">
              <w:r>
                <w:rPr>
                  <w:rFonts w:ascii="Arial" w:cs="Arial" w:eastAsia="Arial" w:hAnsi="Arial"/>
                  <w:sz w:val="18"/>
                  <w:szCs w:val="18"/>
                  <w:color w:val="0000FF"/>
                  <w:w w:val="95"/>
                </w:rPr>
                <w:t>MINE SAFETY DISCLOSURES</w:t>
              </w:r>
            </w:hyperlink>
          </w:p>
        </w:tc>
        <w:tc>
          <w:tcPr>
            <w:tcW w:w="748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50">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0"/>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50"/>
        </w:trPr>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SIGNATURES</w:t>
              </w:r>
            </w:hyperlink>
          </w:p>
        </w:tc>
        <w:tc>
          <w:tcPr>
            <w:tcW w:w="160" w:type="dxa"/>
            <w:vAlign w:val="bottom"/>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51</w:t>
              </w:r>
            </w:hyperlink>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Invisalign, Align, ClinCheck, Invisalign Assist, Invisalign Teen Vivera, SmartForce, SmartTrack, Power Ridges, iTero, Orthocad iCast and Orthocad iRecord amongst others, are trademarks belonging to Align Technology, Inc., and/or its subsidiaries and are pending or registered in the United States and other countries.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135,079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40,731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34,319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100,760</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38,717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30,348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23,511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Impairment of goodwill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40,693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150,924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72,754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28,006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27,194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income (loss)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81,248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79,235</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81,856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20,984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change in cumulative translation adjustment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unrealized gains (losses) on available-for-sale securities,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21,131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306,386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1,575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Marketable securities, short-term</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28,485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w w:val="93"/>
              </w:rPr>
              <w:t>Accounts receivable, net of allowance for doubtful accounts and returns of $1,247 and $2,484, respectively</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108,672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98,992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15,122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35,989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35,233</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527,331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485,793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Marketable securities, long-term</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21,252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58,543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99,236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28,417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21,609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3,454</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726,245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756,312</w:t>
            </w: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19,549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64,635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74,247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61,975</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143,855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155,771</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19,224</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165,127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174,995</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7)</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1"/>
              </w:rPr>
              <w:t>Common stock, $0.0001 par value (200,000 shares authorized; 81,725 and 80,611 issued and outstanding in</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380"/>
              <w:spacing w:after="0"/>
              <w:rPr>
                <w:sz w:val="20"/>
                <w:szCs w:val="20"/>
                <w:color w:val="auto"/>
              </w:rPr>
            </w:pPr>
            <w:r>
              <w:rPr>
                <w:rFonts w:ascii="Arial" w:cs="Arial" w:eastAsia="Arial" w:hAnsi="Arial"/>
                <w:sz w:val="18"/>
                <w:szCs w:val="18"/>
                <w:color w:val="auto"/>
              </w:rPr>
              <w:t>2013 and 2012, respectively)</w:t>
            </w:r>
          </w:p>
        </w:tc>
        <w:tc>
          <w:tcPr>
            <w:tcW w:w="26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694,334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670,732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net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(89,626)</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561,118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581,317</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726,245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756,312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24"/>
                <w:szCs w:val="24"/>
                <w:color w:val="auto"/>
              </w:rPr>
            </w:pPr>
          </w:p>
        </w:tc>
      </w:tr>
      <w:tr>
        <w:trPr>
          <w:trHeight w:val="263"/>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color w:val="auto"/>
              </w:rPr>
              <w:t>Revised*</w:t>
            </w:r>
          </w:p>
        </w:tc>
      </w:tr>
      <w:tr>
        <w:trPr>
          <w:trHeight w:val="256"/>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2,753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4,863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Impairment of goodwill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40,693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Recovery of doubtful accounts and returns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and other 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1,809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7,381</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Release of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(12,559)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(28,190)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Maturities of marketable securities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2,751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(37,995)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13,268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10,180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7,739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8,043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Employees’ taxes paid upon the vesting of restricted stock units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14,291</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(16,314)</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Cash and cash equivalents, beginning of the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306,386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240,675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and cash equivalents, end of the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328,745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224,361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 1 of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accompanying unaudited Condensed Consolidated Financial Statements have been prepared by Align Technology, Inc. (“we”, “our”, or “Align”) in accordance with the rules and regulations of the Securities and Exchange Commission (SEC) and contain all adjustments, including normal recurring adjustments, necessary to present fairly our results of operations for the three months ended March 31, 2013 and 2012, our comprehensive income (loss) for the three months ended March 31, 2013 and 2012, our financial position as of March 31, 2013 and our cash flows for the three months ended March 31, 2013 and 2012. The Condensed Consolidated Balance Sheet as of December 31, 2012 was derived from the December 31, 2012 audited financial statements.</w:t>
      </w:r>
    </w:p>
    <w:p>
      <w:pPr>
        <w:spacing w:after="0" w:line="15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results of operations for the three months ended March 31, 2013 are not necessarily indicative of the results that may be expected for the year ending December 31, 2013 or any other future period, and we make no representations related thereto. The information included in this Quarterly Report on</w:t>
      </w:r>
    </w:p>
    <w:p>
      <w:pPr>
        <w:ind w:right="20"/>
        <w:spacing w:after="0" w:line="255" w:lineRule="auto"/>
        <w:rPr>
          <w:sz w:val="20"/>
          <w:szCs w:val="20"/>
          <w:color w:val="auto"/>
        </w:rPr>
      </w:pPr>
      <w:r>
        <w:rPr>
          <w:rFonts w:ascii="Arial" w:cs="Arial" w:eastAsia="Arial" w:hAnsi="Arial"/>
          <w:sz w:val="18"/>
          <w:szCs w:val="18"/>
          <w:color w:val="auto"/>
        </w:rPr>
        <w:t>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in our Annual Report on Form 10-K for the year ended December 31, 2012.</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long-lived assets and goodwill, useful lives of intangible assets and property and equipment, stock-based compensation,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Revision of Prior Period Financial Statements</w:t>
      </w:r>
    </w:p>
    <w:p>
      <w:pPr>
        <w:spacing w:after="0" w:line="18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In connection with the preparation of our consolidated financial statements for the third quarter of 2012, we determined that we had not correctly recognized the excess tax benefits related to stock-based awards in the first quarter of 2012.</w:t>
      </w:r>
    </w:p>
    <w:p>
      <w:pPr>
        <w:spacing w:after="0" w:line="130"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In accordance with Staff Accounting Bulletin (SAB) No. 99, “Materiality”, and SAB No. 108, “Considering the Effects of Prior Year Misstatements when Quantifying Misstatements in Current Year Financial Statements”, we evaluated the materiality of the errors from qualitative and quantitative perspectives, and evaluated the quantified errors under both the iron curtain and the roll-over methods. We concluded that the errors were not material to the financial statements for the first quarter of 2012 and revised the presentation of the statement of cash flows for the first quarter of 2012.</w:t>
      </w:r>
    </w:p>
    <w:p>
      <w:pPr>
        <w:spacing w:after="0" w:line="11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tables summarize the effects of the revision on our Condensed Consolidated Statement of Cash Flows. The revision did not impact our Condensed Consolidated Statement of Operations for the first quarter of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flows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00" w:type="dxa"/>
            <w:vAlign w:val="bottom"/>
            <w:gridSpan w:val="7"/>
          </w:tcPr>
          <w:p>
            <w:pPr>
              <w:jc w:val="center"/>
              <w:ind w:left="917"/>
              <w:spacing w:after="0"/>
              <w:rPr>
                <w:sz w:val="20"/>
                <w:szCs w:val="20"/>
                <w:color w:val="auto"/>
              </w:rPr>
            </w:pPr>
            <w:r>
              <w:rPr>
                <w:rFonts w:ascii="Arial" w:cs="Arial" w:eastAsia="Arial" w:hAnsi="Arial"/>
                <w:sz w:val="14"/>
                <w:szCs w:val="14"/>
                <w:b w:val="1"/>
                <w:bCs w:val="1"/>
                <w:color w:val="auto"/>
                <w:w w:val="95"/>
              </w:rPr>
              <w:t>Three Months Ended March 31, 2012</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76"/>
        </w:trPr>
        <w:tc>
          <w:tcPr>
            <w:tcW w:w="6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center"/>
              <w:ind w:right="72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4"/>
        </w:trPr>
        <w:tc>
          <w:tcPr>
            <w:tcW w:w="6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tcPr>
          <w:p>
            <w:pPr>
              <w:jc w:val="right"/>
              <w:ind w:right="217"/>
              <w:spacing w:after="0"/>
              <w:rPr>
                <w:sz w:val="20"/>
                <w:szCs w:val="20"/>
                <w:color w:val="auto"/>
              </w:rPr>
            </w:pPr>
            <w:r>
              <w:rPr>
                <w:rFonts w:ascii="Arial" w:cs="Arial" w:eastAsia="Arial" w:hAnsi="Arial"/>
                <w:sz w:val="14"/>
                <w:szCs w:val="14"/>
                <w:b w:val="1"/>
                <w:bCs w:val="1"/>
                <w:color w:val="auto"/>
              </w:rPr>
              <w:t>Previously Reported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Adjustment</w:t>
            </w:r>
          </w:p>
        </w:tc>
        <w:tc>
          <w:tcPr>
            <w:tcW w:w="160" w:type="dxa"/>
            <w:vAlign w:val="bottom"/>
          </w:tcPr>
          <w:p>
            <w:pPr>
              <w:spacing w:after="0"/>
              <w:rPr>
                <w:sz w:val="22"/>
                <w:szCs w:val="22"/>
                <w:color w:val="auto"/>
              </w:rPr>
            </w:pPr>
          </w:p>
        </w:tc>
        <w:tc>
          <w:tcPr>
            <w:tcW w:w="1060" w:type="dxa"/>
            <w:vAlign w:val="bottom"/>
          </w:tcPr>
          <w:p>
            <w:pPr>
              <w:jc w:val="right"/>
              <w:ind w:right="214"/>
              <w:spacing w:after="0"/>
              <w:rPr>
                <w:sz w:val="20"/>
                <w:szCs w:val="20"/>
                <w:color w:val="auto"/>
              </w:rPr>
            </w:pPr>
            <w:r>
              <w:rPr>
                <w:rFonts w:ascii="Arial" w:cs="Arial" w:eastAsia="Arial" w:hAnsi="Arial"/>
                <w:sz w:val="14"/>
                <w:szCs w:val="14"/>
                <w:b w:val="1"/>
                <w:bCs w:val="1"/>
                <w:color w:val="auto"/>
                <w:w w:val="97"/>
              </w:rPr>
              <w:t>As Revised</w:t>
            </w: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Cash Flows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15,424</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(8,043)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7,381</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8,043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14,291</w:t>
            </w: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Pr>
          <w:p>
            <w:pPr>
              <w:spacing w:after="0"/>
              <w:rPr>
                <w:sz w:val="21"/>
                <w:szCs w:val="21"/>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(16,314)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(16,314)</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 February 2013, the FASB issued ASU 2013-02, “Reporting of Amounts Reclassified Out of Accumulated Other Comprehensive Income ("AOCI")” . This standard requires reporting, in one place, information about reclassifications out of AOCI by component. An entity is required to present, either on the face of the financial statements or in the notes, significant amounts reclassified out of AOCI by the respective line items of net income, but only if the amount is reclassified in its entirety in the same reporting period. For amounts that are not required to be reclassified to net income in their entirety, an entity is required to cross-reference to other currently required disclosures that provide additional detail about those amounts. The information required by this standard must be presented in one place, either parenthetically on the face of the financial statements by income statement line item or in a note. The adoption of this guidance during the period ended March 31, 2013 did not have a material affect to our condensed consolidated financial statements.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short-term and long-term marketable securities as of March 31, 2013 and December 31, 2012 are as follows (in thousands):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March 31, 2013</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27,164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8,052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37,946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37,975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2"/>
            <w:vMerge w:val="restart"/>
          </w:tcPr>
          <w:p>
            <w:pPr>
              <w:ind w:left="400"/>
              <w:spacing w:after="0"/>
              <w:rPr>
                <w:sz w:val="20"/>
                <w:szCs w:val="20"/>
                <w:color w:val="auto"/>
              </w:rPr>
            </w:pPr>
            <w:r>
              <w:rPr>
                <w:rFonts w:ascii="Arial" w:cs="Arial" w:eastAsia="Arial" w:hAnsi="Arial"/>
                <w:sz w:val="18"/>
                <w:szCs w:val="18"/>
                <w:b w:val="1"/>
                <w:bCs w:val="1"/>
                <w:i w:val="1"/>
                <w:iCs w:val="1"/>
                <w:color w:val="auto"/>
              </w:rPr>
              <w:t>Long-term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March 31, 2013</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7,590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10,681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10,680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816"/>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2012</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center"/>
              <w:ind w:right="19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18,767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18,770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4,646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5,060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28,473</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28,485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2"/>
            <w:vMerge w:val="restart"/>
          </w:tcPr>
          <w:p>
            <w:pPr>
              <w:ind w:left="400"/>
              <w:spacing w:after="0"/>
              <w:rPr>
                <w:sz w:val="20"/>
                <w:szCs w:val="20"/>
                <w:color w:val="auto"/>
              </w:rPr>
            </w:pPr>
            <w:r>
              <w:rPr>
                <w:rFonts w:ascii="Arial" w:cs="Arial" w:eastAsia="Arial" w:hAnsi="Arial"/>
                <w:sz w:val="18"/>
                <w:szCs w:val="18"/>
                <w:b w:val="1"/>
                <w:bCs w:val="1"/>
                <w:i w:val="1"/>
                <w:iCs w:val="1"/>
                <w:color w:val="auto"/>
              </w:rPr>
              <w:t>Long-term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2012</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75"/>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16,132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16,141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2,069</w:t>
            </w:r>
          </w:p>
        </w:tc>
        <w:tc>
          <w:tcPr>
            <w:tcW w:w="120" w:type="dxa"/>
            <w:vAlign w:val="bottom"/>
          </w:tcPr>
          <w:p>
            <w:pPr>
              <w:spacing w:after="0"/>
              <w:rPr>
                <w:sz w:val="21"/>
                <w:szCs w:val="21"/>
                <w:color w:val="auto"/>
              </w:rPr>
            </w:pPr>
          </w:p>
        </w:tc>
        <w:tc>
          <w:tcPr>
            <w:tcW w:w="1140" w:type="dxa"/>
            <w:vAlign w:val="bottom"/>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ind w:right="941"/>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3,038</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21,239</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21,252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20" w:firstLine="450"/>
        <w:spacing w:after="0" w:line="276" w:lineRule="auto"/>
        <w:rPr>
          <w:sz w:val="20"/>
          <w:szCs w:val="20"/>
          <w:color w:val="auto"/>
        </w:rPr>
      </w:pPr>
      <w:r>
        <w:rPr>
          <w:rFonts w:ascii="Arial" w:cs="Arial" w:eastAsia="Arial" w:hAnsi="Arial"/>
          <w:sz w:val="17"/>
          <w:szCs w:val="17"/>
          <w:color w:val="auto"/>
        </w:rPr>
        <w:t>For the three months ended March 31, 2013 and 2012, realized losses were immaterial. Unrealized gains and losses for our available for sale securities as of March 31, 2013 and December 31, 2012 were also immaterial. Cash and cash equivalents were not included in the table above as the gross unrealized gains and losses were not material. We have no material short-term or long-term investments that have been in a continuous unrealized loss position for greater than twelve months as of March 31, 2013 and December 31, 2012. Amounts reclassified to earnings from accumulated other comprehensive income related to unrealized gain or losses were immaterial for the three months ended March 31, 2013 and 2012.</w:t>
      </w:r>
    </w:p>
    <w:p>
      <w:pPr>
        <w:spacing w:after="0" w:line="173"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Our fixed-income securities investment portfolio consists of corporate bonds, U.S. government agency bonds, U.S. dollar dominated foreign corporate bonds and commercial paper that have a maximum maturity of two years. The corporate debt and government and agency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As of March 31, 2013 and December 31, 2012, these securities had a weighted average remaining duration of approximately 6 months and 10 months, respectively.</w:t>
      </w:r>
    </w:p>
    <w:p>
      <w:pPr>
        <w:spacing w:after="0" w:line="200" w:lineRule="exact"/>
        <w:rPr>
          <w:sz w:val="20"/>
          <w:szCs w:val="20"/>
          <w:color w:val="auto"/>
        </w:rPr>
      </w:pPr>
    </w:p>
    <w:p>
      <w:pPr>
        <w:spacing w:after="0" w:line="210"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6"/>
                <w:szCs w:val="16"/>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December 31,</w:t>
            </w:r>
          </w:p>
        </w:tc>
      </w:tr>
      <w:tr>
        <w:trPr>
          <w:trHeight w:val="270"/>
        </w:trPr>
        <w:tc>
          <w:tcPr>
            <w:tcW w:w="6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2012</w:t>
            </w:r>
          </w:p>
        </w:tc>
      </w:tr>
      <w:tr>
        <w:trPr>
          <w:trHeight w:val="276"/>
        </w:trPr>
        <w:tc>
          <w:tcPr>
            <w:tcW w:w="6920" w:type="dxa"/>
            <w:vAlign w:val="bottom"/>
          </w:tcPr>
          <w:p>
            <w:pPr>
              <w:spacing w:after="0"/>
              <w:rPr>
                <w:sz w:val="24"/>
                <w:szCs w:val="2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One year or less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37,975</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28,485</w:t>
            </w:r>
          </w:p>
        </w:tc>
      </w:tr>
      <w:tr>
        <w:trPr>
          <w:trHeight w:val="27"/>
        </w:trPr>
        <w:tc>
          <w:tcPr>
            <w:tcW w:w="6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One year through two years</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21,252</w:t>
            </w:r>
          </w:p>
        </w:tc>
      </w:tr>
      <w:tr>
        <w:trPr>
          <w:trHeight w:val="257"/>
        </w:trPr>
        <w:tc>
          <w:tcPr>
            <w:tcW w:w="6920" w:type="dxa"/>
            <w:vAlign w:val="bottom"/>
          </w:tcPr>
          <w:p>
            <w:pPr>
              <w:ind w:left="20"/>
              <w:spacing w:after="0"/>
              <w:rPr>
                <w:sz w:val="20"/>
                <w:szCs w:val="20"/>
                <w:color w:val="auto"/>
              </w:rPr>
            </w:pPr>
            <w:r>
              <w:rPr>
                <w:rFonts w:ascii="Arial" w:cs="Arial" w:eastAsia="Arial" w:hAnsi="Arial"/>
                <w:sz w:val="18"/>
                <w:szCs w:val="18"/>
                <w:color w:val="auto"/>
              </w:rPr>
              <w:t>Total available for sale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48,655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49,737</w:t>
            </w:r>
          </w:p>
        </w:tc>
      </w:tr>
      <w:tr>
        <w:trPr>
          <w:trHeight w:val="20"/>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We measure the fair value of our cash equivalents and marketable securities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(unadjusted) prices in active markets for identical assets or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Level 1 assets consist of money market funds. We did not hold any Level 1 liabilities as of March 31, 2013.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18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Level 2 assets consist of commercial paper, corporate bonds, foreign bonds, agency bonds, and our Israeli severance funds that are mainly invested in insurance policies. We obtain these fair values for level 2 investments from our asset manager for each of our portfolios.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Level 2 liabilities as of March 31, 2013.</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to the valuation methodology that are supported by little or no market activity and that are significant to the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Level 3 assets or liabilities as of March 31, 2013.</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During the first quarter 2013, we recorded an impairment charge to our long-lived assets and goodwill for $26.3 million and $40.7 million, respectively, related to our SCCS reporting unit as an event occurred or circumstances changed that led us to perform an impairment analysis between the annual test which required us to determine the fair value of the SCCS reporting unit (Refer to Note 4). These fair value measurements were calculated using unobservable inputs, using the income approach which is classified as Level 3 within the fair value hierarchy. Inputs for the income approach includes the amount and timing of future cash flows based on our most recent operational budgets, strategic plans, terminal growth rates assumptions and other estimates.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financial assets measured at fair value on a recurring basis as of March 31, 2013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2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Balance as of</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58"/>
        </w:trPr>
        <w:tc>
          <w:tcPr>
            <w:tcW w:w="468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March 31, 2013</w:t>
            </w:r>
          </w:p>
        </w:tc>
        <w:tc>
          <w:tcPr>
            <w:tcW w:w="200" w:type="dxa"/>
            <w:vAlign w:val="bottom"/>
          </w:tcPr>
          <w:p>
            <w:pPr>
              <w:spacing w:after="0"/>
              <w:rPr>
                <w:sz w:val="13"/>
                <w:szCs w:val="13"/>
                <w:color w:val="auto"/>
              </w:rPr>
            </w:pPr>
          </w:p>
        </w:tc>
        <w:tc>
          <w:tcPr>
            <w:tcW w:w="16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3"/>
                <w:szCs w:val="13"/>
                <w:color w:val="auto"/>
              </w:rPr>
            </w:pPr>
          </w:p>
        </w:tc>
        <w:tc>
          <w:tcPr>
            <w:tcW w:w="1520" w:type="dxa"/>
            <w:vAlign w:val="bottom"/>
          </w:tcPr>
          <w:p>
            <w:pPr>
              <w:jc w:val="center"/>
              <w:ind w:right="94"/>
              <w:spacing w:after="0" w:line="158" w:lineRule="exact"/>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Money market funds</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258,819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258,819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27,164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27,164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dollar dominated foreign corporate bonds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U.S. government agency bonds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dollar dominated foreign corporate bonds</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assets: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Israeli severance funds</w:t>
            </w:r>
          </w:p>
        </w:tc>
        <w:tc>
          <w:tcPr>
            <w:tcW w:w="13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310,239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258,819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51,420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vMerge w:val="restart"/>
          </w:tcPr>
          <w:p>
            <w:pPr>
              <w:jc w:val="right"/>
              <w:ind w:right="17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financial assets measured at fair value on a recurring basis as of December 31, 2012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Quoted Prices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right"/>
              <w:ind w:right="233"/>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Observable Inputs</w:t>
            </w:r>
          </w:p>
        </w:tc>
        <w:tc>
          <w:tcPr>
            <w:tcW w:w="0" w:type="dxa"/>
            <w:vAlign w:val="bottom"/>
          </w:tcPr>
          <w:p>
            <w:pPr>
              <w:spacing w:after="0"/>
              <w:rPr>
                <w:sz w:val="1"/>
                <w:szCs w:val="1"/>
                <w:color w:val="auto"/>
              </w:rPr>
            </w:pPr>
          </w:p>
        </w:tc>
      </w:tr>
      <w:tr>
        <w:trPr>
          <w:trHeight w:val="158"/>
        </w:trPr>
        <w:tc>
          <w:tcPr>
            <w:tcW w:w="60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December 31, 2012</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3"/>
          </w:tcPr>
          <w:p>
            <w:pPr>
              <w:jc w:val="center"/>
              <w:ind w:right="720"/>
              <w:spacing w:after="0" w:line="158" w:lineRule="exact"/>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493"/>
              <w:spacing w:after="0" w:line="158" w:lineRule="exact"/>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86,166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86,166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18,770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18,770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2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16,141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16,141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U.S. dollar denominated foreign 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Israeli severance funds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139,071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86,166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52,905</w:t>
            </w:r>
          </w:p>
        </w:tc>
        <w:tc>
          <w:tcPr>
            <w:tcW w:w="0" w:type="dxa"/>
            <w:vAlign w:val="bottom"/>
          </w:tcPr>
          <w:p>
            <w:pPr>
              <w:spacing w:after="0"/>
              <w:rPr>
                <w:sz w:val="1"/>
                <w:szCs w:val="1"/>
                <w:color w:val="auto"/>
              </w:rPr>
            </w:pPr>
          </w:p>
        </w:tc>
      </w:tr>
      <w:tr>
        <w:trPr>
          <w:trHeight w:val="27"/>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3. Balance Sheet Components</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6020" w:type="dxa"/>
            <w:vAlign w:val="bottom"/>
            <w:gridSpan w:val="2"/>
          </w:tcPr>
          <w:p>
            <w:pPr>
              <w:ind w:left="400"/>
              <w:spacing w:after="0"/>
              <w:rPr>
                <w:sz w:val="20"/>
                <w:szCs w:val="20"/>
                <w:color w:val="auto"/>
              </w:rPr>
            </w:pPr>
            <w:r>
              <w:rPr>
                <w:rFonts w:ascii="Arial" w:cs="Arial" w:eastAsia="Arial" w:hAnsi="Arial"/>
                <w:sz w:val="18"/>
                <w:szCs w:val="18"/>
                <w:b w:val="1"/>
                <w:bCs w:val="1"/>
                <w:i w:val="1"/>
                <w:iCs w:val="1"/>
                <w:color w:val="auto"/>
              </w:rPr>
              <w:t>Inventories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6020" w:type="dxa"/>
            <w:vAlign w:val="bottom"/>
            <w:gridSpan w:val="2"/>
          </w:tcPr>
          <w:p>
            <w:pPr>
              <w:ind w:left="400"/>
              <w:spacing w:after="0"/>
              <w:rPr>
                <w:sz w:val="20"/>
                <w:szCs w:val="20"/>
                <w:color w:val="auto"/>
              </w:rPr>
            </w:pPr>
            <w:r>
              <w:rPr>
                <w:rFonts w:ascii="Arial" w:cs="Arial" w:eastAsia="Arial" w:hAnsi="Arial"/>
                <w:sz w:val="18"/>
                <w:szCs w:val="18"/>
                <w:color w:val="auto"/>
              </w:rPr>
              <w:t>Inventories are comprised of (in thousands):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ind w:left="2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53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w w:val="88"/>
              </w:rPr>
              <w:t>7,381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7,629</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ind w:left="840"/>
              <w:spacing w:after="0"/>
              <w:rPr>
                <w:sz w:val="20"/>
                <w:szCs w:val="20"/>
                <w:color w:val="auto"/>
              </w:rPr>
            </w:pPr>
            <w:r>
              <w:rPr>
                <w:rFonts w:ascii="Arial" w:cs="Arial" w:eastAsia="Arial" w:hAnsi="Arial"/>
                <w:sz w:val="18"/>
                <w:szCs w:val="18"/>
                <w:color w:val="auto"/>
                <w:w w:val="88"/>
              </w:rPr>
              <w:t>3,196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w w:val="88"/>
              </w:rPr>
              <w:t>4,865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3"/>
          </w:tcPr>
          <w:p>
            <w:pPr>
              <w:ind w:left="760"/>
              <w:spacing w:after="0"/>
              <w:rPr>
                <w:sz w:val="20"/>
                <w:szCs w:val="20"/>
                <w:color w:val="auto"/>
              </w:rPr>
            </w:pPr>
            <w:r>
              <w:rPr>
                <w:rFonts w:ascii="Arial" w:cs="Arial" w:eastAsia="Arial" w:hAnsi="Arial"/>
                <w:sz w:val="18"/>
                <w:szCs w:val="18"/>
                <w:color w:val="auto"/>
                <w:w w:val="87"/>
              </w:rPr>
              <w:t>15,442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15,122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Work in process includes costs to produce our clear aligner and intra-oral scanner products. Finished goods primarily represent our intra-oral scanners and ancillary products that support our clear aligner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rebate</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8,996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8,333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tax and value added tax</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and marketing expenses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3,695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4,088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accounts payable</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2,866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distributor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2,349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Unclaimed merger consideration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income taxes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572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64,635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74,247</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Warranty</w:t>
      </w:r>
    </w:p>
    <w:p>
      <w:pPr>
        <w:spacing w:after="0" w:line="158"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We regularly review the accrued balances and update these balances based on historical warranty trends. Actual warranty costs incurred have not materially differed from those accrued. However, future actual warranty costs could differ from the estimated amounts.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warrant our Invisalign products against material defects until the Invisalign case is complete. We accrue for warranty costs in cost of net revenues upon shipment of products. The amount of accrued estimated warranty costs is primarily based on historical experience as to product failures as well as current information on replacement costs.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Scanners</w:t>
      </w:r>
    </w:p>
    <w:p>
      <w:pPr>
        <w:spacing w:after="0" w:line="158"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warrant our scanners for a period of one year from the date of training and installation. We accrue for these warranty costs which includes materials and labor based on estimated historical repair costs. Extended service packages may be purchased for additional fees.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reflects the change in our warranty accrual during the three months ended March 31, 2013 and 2012, respectively (in thousands):</w:t>
      </w:r>
    </w:p>
    <w:p>
      <w:pPr>
        <w:spacing w:after="0" w:line="37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Charged to cost of revenues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888</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Actual warranty expenditures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3,151</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Long-lived Assets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change in the carrying value of goodwill for the quarter ended March 31, 2013 by our reportable segments, which are also our reporting units, are as follows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Scanners and</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Clear Aligner</w:t>
            </w:r>
          </w:p>
        </w:tc>
        <w:tc>
          <w:tcPr>
            <w:tcW w:w="320" w:type="dxa"/>
            <w:vAlign w:val="bottom"/>
          </w:tcPr>
          <w:p>
            <w:pPr>
              <w:spacing w:after="0"/>
              <w:rPr>
                <w:sz w:val="12"/>
                <w:szCs w:val="12"/>
                <w:color w:val="auto"/>
              </w:rPr>
            </w:pPr>
          </w:p>
        </w:tc>
        <w:tc>
          <w:tcPr>
            <w:tcW w:w="16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CAD/CAM</w:t>
            </w:r>
          </w:p>
        </w:tc>
        <w:tc>
          <w:tcPr>
            <w:tcW w:w="440" w:type="dxa"/>
            <w:vAlign w:val="bottom"/>
          </w:tcPr>
          <w:p>
            <w:pPr>
              <w:spacing w:after="0"/>
              <w:rPr>
                <w:sz w:val="12"/>
                <w:szCs w:val="12"/>
                <w:color w:val="auto"/>
              </w:rPr>
            </w:pPr>
          </w:p>
        </w:tc>
        <w:tc>
          <w:tcPr>
            <w:tcW w:w="1380" w:type="dxa"/>
            <w:vAlign w:val="bottom"/>
            <w:vMerge w:val="restart"/>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Services</w:t>
            </w:r>
          </w:p>
        </w:tc>
        <w:tc>
          <w:tcPr>
            <w:tcW w:w="4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2012</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40,693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99,236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Impairment of goodwill</w:t>
            </w: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(40,693)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(40,693)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58,543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58,543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Impairment of Goodwill</w:t>
      </w:r>
    </w:p>
    <w:p>
      <w:pPr>
        <w:spacing w:after="0" w:line="17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test our goodwill balances for impairment annually on November 30th or more frequently if indicators are present or circumstances change that suggest it is more likely than not that the fair value of the reporting unit is less than the carrying amount. During March of 2013, changes in the competitive environment for intra-oral scanners, including announcements from our competitors of new low-priced scanners targeted at Orthodontist and GP Dentist in North America, that caused us to lower our expectations for growth and profitability for our Scanner and CAD/CAM Services (SCCS) reporting unit. As a result, we determined that goodwill for our SCCS reporting unit should be tested for impairment as of March 2013 due to these facts and circumstances which would more likely than not reduce the fair value of our SCCS reporting unit below its carrying amount.</w:t>
      </w:r>
    </w:p>
    <w:p>
      <w:pPr>
        <w:spacing w:after="0" w:line="12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performed a step one analysis for our SCCS reporting unit which consists of a comparison of the fair value of the SCCS reporting unit against its carrying amount, including the goodwill allocated to it. In deriving the fair value of the SCCS reporting unit, we utilized the income approach which is classified as Level 3 within the fair value hierarchy. This approach provides an estimated fair value based on discounted expected future cash flows, which are based on management's estimates of revenue growth rates and operating margins, taking into consideration industry and market conditions. The discount rate used is based on a weighted average cost of capital adjusted for the relevant risk associated with the characteristics of the business and the projected cash flows.</w:t>
      </w:r>
    </w:p>
    <w:p>
      <w:pPr>
        <w:spacing w:after="0" w:line="139"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As a result of our step one analysis, we concluded that the fair value of the SCCS reporting unit was less than its carrying value, therefore we proceeded to step two of the goodwill impairment analysis. Step two of the goodwill impairment analysis measures the impairment charge by allocating the reporting unit's fair value to all of the assets and liabilities of the reporting unit in a hypothetical analysis that calculates the implied fair value of goodwill in the same manner as if the reporting unit was being acquired in a business combination. This allocation process was performed only for the purposes of measuring the goodwill impairment, and not to adjust the carrying values of the recognized tangible assets and liabilities. Any excess of the carrying value of the reporting unit's goodwill over the implied fair value of the reporting unit's goodwill is recorded as an impairment loss. Based on our analysis, there was no implied goodwill for the SCCS reporting unit. We therefore recorded a goodwill impairment charge of $40.7 million which represents the remaining goodwill balance in the scanner and CAD/CAM services reporting unit. None of the goodwill impairment charge was deductible for tax purposes.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We amortize our intangible assets over their estimated useful lives. We evaluate long-lived assets, which includes plant and equipment and intangible assets, for impairment whenever events or changes in circumstances indicate the carrying value of an asset may not be recoverable. The carrying value is not recoverable if it exceeds the undiscounted cash flows resulting from the use of the asset and its eventual disposition.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the competitive environment in the intra-oral scanning business.</w:t>
      </w:r>
    </w:p>
    <w:p>
      <w:pPr>
        <w:spacing w:after="0" w:line="178"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During March of 2013, changes in the competitive environment for intra-oral scanners, including announcements of new low-priced scanners targeted at Orthodontists and GP Dentists in North America, caused us to lower our expectations for growth and profitability for our SCCS reporting unit. As a result, we determined that the carrying value of the long-lived assets was not recoverable as compared to the value of the undiscounted cash flows of our revised projections for the asset group. In order to determine the impairment amount of our long-lived assets, we fair valued each key component of our long-lived assets within the asset group, which involved the use of significant estimates and assumptions including replacement costs, revenue growth rates, operating margins, and plant and equipment cost trends. We determined our long-lived asset group within the SCCS reporting unit to be primarily finite-lived intangible assets, plant and equipment. Upon completion of this analysis, we recorded a total impairment charge of $26.3 million of which $19.3 million represented the impairment related to our SCCS intangible assets and $7.0 million related to plant and equipment.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Intangible assets arising either as a direct result from the Cadent acquisition or individually acquired are being amortized as follows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26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2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2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26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Period (in years)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March 31, 2013</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Impairment Loss</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March 31, 2013</w:t>
            </w: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260" w:type="dxa"/>
            <w:vAlign w:val="bottom"/>
            <w:tcBorders>
              <w:top w:val="single" w:sz="8" w:color="auto"/>
              <w:bottom w:val="single" w:sz="8" w:color="CCEEFF"/>
            </w:tcBorders>
            <w:shd w:val="clear" w:color="auto" w:fill="CCEEFF"/>
          </w:tcPr>
          <w:p>
            <w:pPr>
              <w:jc w:val="center"/>
              <w:ind w:right="39"/>
              <w:spacing w:after="0"/>
              <w:rPr>
                <w:sz w:val="20"/>
                <w:szCs w:val="20"/>
                <w:color w:val="auto"/>
              </w:rPr>
            </w:pPr>
            <w:r>
              <w:rPr>
                <w:rFonts w:ascii="Arial" w:cs="Arial" w:eastAsia="Arial" w:hAnsi="Arial"/>
                <w:sz w:val="18"/>
                <w:szCs w:val="18"/>
                <w:color w:val="auto"/>
                <w:w w:val="89"/>
              </w:rPr>
              <w:t>15</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260" w:type="dxa"/>
            <w:vAlign w:val="bottom"/>
          </w:tcPr>
          <w:p>
            <w:pPr>
              <w:jc w:val="center"/>
              <w:ind w:right="39"/>
              <w:spacing w:after="0"/>
              <w:rPr>
                <w:sz w:val="20"/>
                <w:szCs w:val="20"/>
                <w:color w:val="auto"/>
              </w:rPr>
            </w:pPr>
            <w:r>
              <w:rPr>
                <w:rFonts w:ascii="Arial" w:cs="Arial" w:eastAsia="Arial" w:hAnsi="Arial"/>
                <w:sz w:val="18"/>
                <w:szCs w:val="18"/>
                <w:color w:val="auto"/>
                <w:w w:val="89"/>
              </w:rPr>
              <w:t>13</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6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8"/>
                <w:szCs w:val="18"/>
                <w:color w:val="auto"/>
                <w:w w:val="89"/>
              </w:rPr>
              <w:t>11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Pr>
          <w:p>
            <w:pPr>
              <w:jc w:val="center"/>
              <w:ind w:right="39"/>
              <w:spacing w:after="0"/>
              <w:rPr>
                <w:sz w:val="20"/>
                <w:szCs w:val="20"/>
                <w:color w:val="auto"/>
              </w:rPr>
            </w:pPr>
            <w:r>
              <w:rPr>
                <w:rFonts w:ascii="Arial" w:cs="Arial" w:eastAsia="Arial" w:hAnsi="Arial"/>
                <w:sz w:val="18"/>
                <w:szCs w:val="18"/>
                <w:color w:val="auto"/>
                <w:w w:val="99"/>
              </w:rPr>
              <w:t>7</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53,325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25,429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estimated annual future amortization expense for these acquired intangible assets as of March 31, 2013 is as follows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jc w:val="right"/>
              <w:ind w:right="8552"/>
              <w:spacing w:after="0"/>
              <w:rPr>
                <w:sz w:val="20"/>
                <w:szCs w:val="20"/>
                <w:color w:val="auto"/>
              </w:rPr>
            </w:pPr>
            <w:r>
              <w:rPr>
                <w:rFonts w:ascii="Arial" w:cs="Arial" w:eastAsia="Arial" w:hAnsi="Arial"/>
                <w:sz w:val="14"/>
                <w:szCs w:val="14"/>
                <w:b w:val="1"/>
                <w:bCs w:val="1"/>
                <w:color w:val="auto"/>
                <w:w w:val="94"/>
              </w:rPr>
              <w:t>Fiscal Year</w:t>
            </w: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6"/>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2013 (remaining nine months)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w:t>
            </w:r>
          </w:p>
        </w:tc>
      </w:tr>
      <w:tr>
        <w:trPr>
          <w:trHeight w:val="243"/>
        </w:trPr>
        <w:tc>
          <w:tcPr>
            <w:tcW w:w="9360" w:type="dxa"/>
            <w:vAlign w:val="bottom"/>
          </w:tcPr>
          <w:p>
            <w:pPr>
              <w:jc w:val="right"/>
              <w:ind w:right="8552"/>
              <w:spacing w:after="0"/>
              <w:rPr>
                <w:sz w:val="20"/>
                <w:szCs w:val="20"/>
                <w:color w:val="auto"/>
              </w:rPr>
            </w:pPr>
            <w:r>
              <w:rPr>
                <w:rFonts w:ascii="Arial" w:cs="Arial" w:eastAsia="Arial" w:hAnsi="Arial"/>
                <w:sz w:val="18"/>
                <w:szCs w:val="18"/>
                <w:color w:val="auto"/>
              </w:rPr>
              <w:t>2014</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2,616</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jc w:val="right"/>
              <w:ind w:right="8552"/>
              <w:spacing w:after="0"/>
              <w:rPr>
                <w:sz w:val="20"/>
                <w:szCs w:val="20"/>
                <w:color w:val="auto"/>
              </w:rPr>
            </w:pPr>
            <w:r>
              <w:rPr>
                <w:rFonts w:ascii="Arial" w:cs="Arial" w:eastAsia="Arial" w:hAnsi="Arial"/>
                <w:sz w:val="18"/>
                <w:szCs w:val="18"/>
                <w:color w:val="auto"/>
              </w:rPr>
              <w:t>2015</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w:t>
            </w:r>
          </w:p>
        </w:tc>
      </w:tr>
      <w:tr>
        <w:trPr>
          <w:trHeight w:val="243"/>
        </w:trPr>
        <w:tc>
          <w:tcPr>
            <w:tcW w:w="9360" w:type="dxa"/>
            <w:vAlign w:val="bottom"/>
          </w:tcPr>
          <w:p>
            <w:pPr>
              <w:jc w:val="right"/>
              <w:ind w:right="8552"/>
              <w:spacing w:after="0"/>
              <w:rPr>
                <w:sz w:val="20"/>
                <w:szCs w:val="20"/>
                <w:color w:val="auto"/>
              </w:rPr>
            </w:pPr>
            <w:r>
              <w:rPr>
                <w:rFonts w:ascii="Arial" w:cs="Arial" w:eastAsia="Arial" w:hAnsi="Arial"/>
                <w:sz w:val="18"/>
                <w:szCs w:val="18"/>
                <w:color w:val="auto"/>
              </w:rPr>
              <w:t>2016</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2,610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jc w:val="right"/>
              <w:ind w:right="8552"/>
              <w:spacing w:after="0"/>
              <w:rPr>
                <w:sz w:val="20"/>
                <w:szCs w:val="20"/>
                <w:color w:val="auto"/>
              </w:rPr>
            </w:pPr>
            <w:r>
              <w:rPr>
                <w:rFonts w:ascii="Arial" w:cs="Arial" w:eastAsia="Arial" w:hAnsi="Arial"/>
                <w:sz w:val="18"/>
                <w:szCs w:val="18"/>
                <w:color w:val="auto"/>
              </w:rPr>
              <w:t>2017</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13,012</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25,429</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Credit Facilities</w:t>
      </w:r>
    </w:p>
    <w:p>
      <w:pPr>
        <w:spacing w:after="0" w:line="16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On March 22, 2013, we entered into a credit facility with Wells Fargo Bank. The credit facility provides for a $50.0 million revolving credit line of credit, with a $10.0 million letter of credit sublimit, with a maturity date on March 22, 2016. The credit facility also requires us to maintain a minimum unrestricted cash balance of $50.0 million and comply with specific financial conditions and performance. The loans bear interest, at our option, at a fluctuating rate per annum equal to the daily one-month adjusted LIBOR rate plus a spread of 1.75% or an adjusted LIBOR rate (based on one, three, six or twelve-month interest periods) plus a spread of 1.75%. As of March 31, 2013, we had no outstanding borrowings under this credit facility and were in compliance with the conditions and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President and Chief Executive Officer, and Kenneth B. Arola (“Mr. Arola”), Align's former Vice President, Finance and Chief Financial Officer, in the United States District Court for the Northern District of California on behalf of a purported class of purchasers of our common stock between April 23, 2012 and October 17, 2012 ( the "Securities Action"). The complaint alleges that Align, Mr. Prescott and Mr. Arola violated Section 10(b) of the Securities Exchange Act of 1934 and Rule 10b-5 promulgated thereunder, and that Mr. Prescott and Mr. Arola violated Section 20(a) of the Securities Exchange Act of 1934. Specifically, the complaint alleges that during the purported class period our reported income and earnings were materially overstated because of a failure to timely write down goodwill related to the April 29, 2011 acquisition of Cadent Holdings, Inc., and that defendants made allegedly false statements concerning our forecasts. The complaint seeks monetary damages in an unspecified amount, costs and attorney's fees. The hearing on the motion for appointment of lead plaintiff is currently scheduled for May 30th, 2013. Align intends to vigorously defend itself against these allegations. Align is currently unable to predict the outcome of this complaint and therefore cannot determine the likelihood of loss nor estimate a range of possible loss.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Shareholder Derivative Lawsuit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allegations in the complaint are similar to those presented in the Securities Action, but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Align intends to vigorously defend itself against these allegations. Align is currently unable to predict the outcome of this complaint and therefore cannot determine the likelihood of loss nor estimate a range of possible losses.</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2013, minimum future lease payments for non-cancelable leases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4"/>
                <w:szCs w:val="14"/>
                <w:color w:val="auto"/>
              </w:rPr>
            </w:pPr>
          </w:p>
        </w:tc>
        <w:tc>
          <w:tcPr>
            <w:tcW w:w="1560" w:type="dxa"/>
            <w:vAlign w:val="bottom"/>
          </w:tcPr>
          <w:p>
            <w:pPr>
              <w:jc w:val="right"/>
              <w:ind w:right="313"/>
              <w:spacing w:after="0"/>
              <w:rPr>
                <w:sz w:val="20"/>
                <w:szCs w:val="20"/>
                <w:color w:val="auto"/>
              </w:rPr>
            </w:pPr>
            <w:r>
              <w:rPr>
                <w:rFonts w:ascii="Arial" w:cs="Arial" w:eastAsia="Arial" w:hAnsi="Arial"/>
                <w:sz w:val="14"/>
                <w:szCs w:val="14"/>
                <w:b w:val="1"/>
                <w:bCs w:val="1"/>
                <w:color w:val="auto"/>
              </w:rPr>
              <w:t>Operating leases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8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9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2013 (remaining nine months)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5,231</w:t>
            </w:r>
          </w:p>
        </w:tc>
      </w:tr>
      <w:tr>
        <w:trPr>
          <w:trHeight w:val="243"/>
        </w:trPr>
        <w:tc>
          <w:tcPr>
            <w:tcW w:w="9600" w:type="dxa"/>
            <w:vAlign w:val="bottom"/>
            <w:gridSpan w:val="3"/>
          </w:tcPr>
          <w:p>
            <w:pPr>
              <w:ind w:left="38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6,421</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2015</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5,139</w:t>
            </w:r>
          </w:p>
        </w:tc>
      </w:tr>
      <w:tr>
        <w:trPr>
          <w:trHeight w:val="243"/>
        </w:trPr>
        <w:tc>
          <w:tcPr>
            <w:tcW w:w="9600" w:type="dxa"/>
            <w:vAlign w:val="bottom"/>
            <w:gridSpan w:val="3"/>
          </w:tcPr>
          <w:p>
            <w:pPr>
              <w:ind w:left="38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4,779</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6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2,245</w:t>
            </w:r>
          </w:p>
        </w:tc>
      </w:tr>
      <w:tr>
        <w:trPr>
          <w:trHeight w:val="237"/>
        </w:trPr>
        <w:tc>
          <w:tcPr>
            <w:tcW w:w="40" w:type="dxa"/>
            <w:vAlign w:val="bottom"/>
          </w:tcPr>
          <w:p>
            <w:pPr>
              <w:spacing w:after="0"/>
              <w:rPr>
                <w:sz w:val="20"/>
                <w:szCs w:val="20"/>
                <w:color w:val="auto"/>
              </w:rPr>
            </w:pPr>
          </w:p>
        </w:tc>
        <w:tc>
          <w:tcPr>
            <w:tcW w:w="9560" w:type="dxa"/>
            <w:vAlign w:val="bottom"/>
            <w:gridSpan w:val="2"/>
          </w:tcPr>
          <w:p>
            <w:pPr>
              <w:ind w:left="340"/>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23,815</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420" w:firstLine="243"/>
        <w:spacing w:after="0" w:line="277" w:lineRule="auto"/>
        <w:rPr>
          <w:sz w:val="20"/>
          <w:szCs w:val="20"/>
          <w:color w:val="auto"/>
        </w:rPr>
      </w:pPr>
      <w:r>
        <w:rPr>
          <w:rFonts w:ascii="Arial" w:cs="Arial" w:eastAsia="Arial" w:hAnsi="Arial"/>
          <w:sz w:val="18"/>
          <w:szCs w:val="18"/>
          <w:color w:val="auto"/>
        </w:rPr>
        <w:t>As of March 31, 2013, we had no off-balance sheet arrangements that have, or are reasonably likely to have, a current or future material effect on our consolidated financial condition, results of operations, liquidity, capital expenditures or capital resources.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jc w:val="both"/>
        <w:ind w:right="40" w:firstLine="243"/>
        <w:spacing w:after="0" w:line="276" w:lineRule="auto"/>
        <w:rPr>
          <w:sz w:val="20"/>
          <w:szCs w:val="20"/>
          <w:color w:val="auto"/>
        </w:rPr>
      </w:pPr>
      <w:r>
        <w:rPr>
          <w:rFonts w:ascii="Arial" w:cs="Arial" w:eastAsia="Arial" w:hAnsi="Arial"/>
          <w:sz w:val="17"/>
          <w:szCs w:val="17"/>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19"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March 31, 2013,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Summary of stock-based compensation expense</w:t>
      </w:r>
    </w:p>
    <w:p>
      <w:pPr>
        <w:spacing w:after="0" w:line="158"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On May 19, 2011 the Shareholders approved an increase of 3,000,000 shares to the 2005 Incentive Plan (as amended) for a total reserve of 16,283,379 shares for issuance, plus up to an aggregate of 5,000,000 shares that would have been returned to our 2001 Stock Incentive Plan as a result of termination of options on or after March 28, 2005.</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Stock-based compensation expense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expense related to all of our stock-based awards and employee stock purchases for the three months ended March 31, 2013 and 2012 are as follows (in thousands):</w:t>
      </w:r>
    </w:p>
    <w:p>
      <w:pPr>
        <w:spacing w:after="0" w:line="314"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13335</wp:posOffset>
            </wp:positionV>
            <wp:extent cx="1372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1,171</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800</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4,863</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Options</w:t>
      </w:r>
    </w:p>
    <w:p>
      <w:pPr>
        <w:spacing w:after="0" w:line="15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Activity for the three month period ended March 31, 2013 under the stock option plans are set forth below (in thousands, except years and per share amounts):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 Options</w:t>
            </w:r>
          </w:p>
        </w:tc>
        <w:tc>
          <w:tcPr>
            <w:tcW w:w="220" w:type="dxa"/>
            <w:vAlign w:val="bottom"/>
          </w:tcPr>
          <w:p>
            <w:pPr>
              <w:spacing w:after="0"/>
              <w:rPr>
                <w:sz w:val="14"/>
                <w:szCs w:val="14"/>
                <w:color w:val="auto"/>
              </w:rPr>
            </w:pP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Weighted</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vMerge w:val="restart"/>
          </w:tcPr>
          <w:p>
            <w:pPr>
              <w:jc w:val="center"/>
              <w:ind w:right="21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02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89"/>
              </w:rPr>
              <w:t>Shares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300" w:type="dxa"/>
            <w:vAlign w:val="bottom"/>
          </w:tcPr>
          <w:p>
            <w:pPr>
              <w:spacing w:after="0"/>
              <w:rPr>
                <w:sz w:val="12"/>
                <w:szCs w:val="12"/>
                <w:color w:val="auto"/>
              </w:rPr>
            </w:pPr>
          </w:p>
        </w:tc>
        <w:tc>
          <w:tcPr>
            <w:tcW w:w="12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 Options</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 per Share</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 )</w:t>
            </w:r>
          </w:p>
        </w:tc>
        <w:tc>
          <w:tcPr>
            <w:tcW w:w="300" w:type="dxa"/>
            <w:vAlign w:val="bottom"/>
          </w:tcPr>
          <w:p>
            <w:pPr>
              <w:spacing w:after="0"/>
              <w:rPr>
                <w:sz w:val="16"/>
                <w:szCs w:val="16"/>
                <w:color w:val="auto"/>
              </w:rPr>
            </w:pPr>
          </w:p>
        </w:tc>
        <w:tc>
          <w:tcPr>
            <w:tcW w:w="1280" w:type="dxa"/>
            <w:vAlign w:val="bottom"/>
          </w:tcPr>
          <w:p>
            <w:pPr>
              <w:jc w:val="center"/>
              <w:ind w:right="2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2012</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3,276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gridSpan w:val="2"/>
          </w:tcPr>
          <w:p>
            <w:pPr>
              <w:ind w:left="380"/>
              <w:spacing w:after="0"/>
              <w:rPr>
                <w:sz w:val="20"/>
                <w:szCs w:val="20"/>
                <w:color w:val="auto"/>
              </w:rPr>
            </w:pPr>
            <w:r>
              <w:rPr>
                <w:rFonts w:ascii="Arial" w:cs="Arial" w:eastAsia="Arial" w:hAnsi="Arial"/>
                <w:sz w:val="18"/>
                <w:szCs w:val="18"/>
                <w:color w:val="auto"/>
              </w:rPr>
              <w:t>Cancelled or expired</w:t>
            </w: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March 31, 2013</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2,551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15.46</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46,054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expected to vest at March 31, 2013</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2,535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0"/>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45,826</w:t>
            </w:r>
          </w:p>
        </w:tc>
        <w:tc>
          <w:tcPr>
            <w:tcW w:w="0" w:type="dxa"/>
            <w:vAlign w:val="bottom"/>
          </w:tcPr>
          <w:p>
            <w:pPr>
              <w:spacing w:after="0"/>
              <w:rPr>
                <w:sz w:val="1"/>
                <w:szCs w:val="1"/>
                <w:color w:val="auto"/>
              </w:rPr>
            </w:pPr>
          </w:p>
        </w:tc>
      </w:tr>
      <w:tr>
        <w:trPr>
          <w:trHeight w:val="67"/>
        </w:trPr>
        <w:tc>
          <w:tcPr>
            <w:tcW w:w="466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March 31, 2013</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14.85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40,263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were no stock options granted during the three months ended March 31, 2013 and 2012.</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March 31, 2013, the total unamortized compensation cost related to stock options, net of estimated forfeitures, is $3.9 million, which we expect to recognize over a weighted average period of 1.3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nonvested shares for the three months ended March 31, 2013 is as follows (in thousands, except years):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94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 of Shares</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 Remaining</w:t>
            </w:r>
          </w:p>
        </w:tc>
        <w:tc>
          <w:tcPr>
            <w:tcW w:w="280" w:type="dxa"/>
            <w:vAlign w:val="bottom"/>
          </w:tcPr>
          <w:p>
            <w:pPr>
              <w:spacing w:after="0"/>
              <w:rPr>
                <w:sz w:val="14"/>
                <w:szCs w:val="14"/>
                <w:color w:val="auto"/>
              </w:rPr>
            </w:pPr>
          </w:p>
        </w:tc>
        <w:tc>
          <w:tcPr>
            <w:tcW w:w="1540" w:type="dxa"/>
            <w:vAlign w:val="bottom"/>
          </w:tcPr>
          <w:p>
            <w:pPr>
              <w:jc w:val="center"/>
              <w:ind w:right="202"/>
              <w:spacing w:after="0"/>
              <w:rPr>
                <w:sz w:val="20"/>
                <w:szCs w:val="20"/>
                <w:color w:val="auto"/>
              </w:rPr>
            </w:pPr>
            <w:r>
              <w:rPr>
                <w:rFonts w:ascii="Arial" w:cs="Arial" w:eastAsia="Arial" w:hAnsi="Arial"/>
                <w:sz w:val="14"/>
                <w:szCs w:val="14"/>
                <w:b w:val="1"/>
                <w:bCs w:val="1"/>
                <w:color w:val="auto"/>
                <w:w w:val="89"/>
              </w:rPr>
              <w:t>Aggregate</w:t>
            </w:r>
          </w:p>
        </w:tc>
      </w:tr>
      <w:tr>
        <w:trPr>
          <w:trHeight w:val="192"/>
        </w:trPr>
        <w:tc>
          <w:tcPr>
            <w:tcW w:w="5720" w:type="dxa"/>
            <w:vAlign w:val="bottom"/>
          </w:tcPr>
          <w:p>
            <w:pPr>
              <w:spacing w:after="0"/>
              <w:rPr>
                <w:sz w:val="16"/>
                <w:szCs w:val="16"/>
                <w:color w:val="auto"/>
              </w:rPr>
            </w:pPr>
          </w:p>
        </w:tc>
        <w:tc>
          <w:tcPr>
            <w:tcW w:w="1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Underlying RSUs</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Vesting Period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3"/>
              </w:rPr>
              <w:t>Intrinsic Value</w:t>
            </w:r>
          </w:p>
        </w:tc>
      </w:tr>
      <w:tr>
        <w:trPr>
          <w:trHeight w:val="250"/>
        </w:trPr>
        <w:tc>
          <w:tcPr>
            <w:tcW w:w="57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2012</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5"/>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2013</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1,906</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63,882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of March 31, 2013 the total unamortized compensation cost related to restricted stock units, net of estimated forfeitures, was $44.2 million, which we expect to recognize over a weighted average period of 3.0 years.</w:t>
      </w:r>
    </w:p>
    <w:p>
      <w:pPr>
        <w:spacing w:after="0" w:line="17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On February 20, 2013 and 2012, we granted market-performance based restricted stock units (“MSUs”) to our executive officers. Each MSU represents the right to one share of Align’s common stock and will be issued through our amended 2005 Incentive Plan. The actual number of MSUs which will be eligible to vest will be based on the performance of Align’s stock price relative to the performance of the NASDAQ Composite Index over the vesting period, generally two to three years, up to 150% of the MSUs initially granted.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MSU performance for the three months ended March 31, 2013 (in thousands, except years):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9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Number of Shares</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4"/>
                <w:szCs w:val="14"/>
                <w:color w:val="auto"/>
              </w:rPr>
            </w:pPr>
          </w:p>
        </w:tc>
        <w:tc>
          <w:tcPr>
            <w:tcW w:w="154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Underlying MSUs</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Vesting Period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 )</w:t>
            </w:r>
          </w:p>
        </w:tc>
        <w:tc>
          <w:tcPr>
            <w:tcW w:w="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2012</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5"/>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2013</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12,553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As of March 31, 2013, we expect to recognize $8.8 million of total unamortized compensation cost, net of estimated forfeitures, related to MSU over a weighted average period of 2.0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5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May 2010, our shareholders approved the 2010 Employee Stock Purchase Plan (the “2010 Purchase Plan”) to replace the 2001 Purchase Plan. The terms and features of the 2010 Purchase Plan are substantially the same as the 2001 Purchase Plan and will continue until terminated by either the Board or its administrator. The maximum number of shares available for purchase under the 2010 Purchase Plan is 2,400,000 shares. As of March 31, 2013, there remains 1,738,963 shares available for purchase under the 2010 Purchase Plan.</w:t>
      </w:r>
    </w:p>
    <w:p>
      <w:pPr>
        <w:spacing w:after="0" w:line="18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fair value of the option component of the Purchase Plan shares was estimated at the grant date using the Black-Scholes option pricing model with the following weighted average assumptions: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2012</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Purchase Plan: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340" w:type="dxa"/>
            <w:vAlign w:val="bottom"/>
          </w:tcPr>
          <w:p>
            <w:pPr>
              <w:spacing w:after="0"/>
              <w:rPr>
                <w:sz w:val="21"/>
                <w:szCs w:val="21"/>
                <w:color w:val="auto"/>
              </w:rPr>
            </w:pP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1.2</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Weighted average fair value at grant date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9.08</w:t>
            </w:r>
          </w:p>
        </w:tc>
      </w:tr>
    </w:tbl>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As of March 31, 2013, we expect to recognize $3.4 million of the total unamortized compensation cost related to employee purchases over a weighted average period of 1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Common Stock Repurchase Program</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October 27, 2011, we announced that our Board of Directors approved a stock repurchase program pursuant to which we may repurchase up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$150.0 million of common stock. Purchases under the stock repurchase program may be made from time to time in the open market. During the first quarter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2013, we repurchased approximately 0.1 million shares of common stock at an average price of $32.47 per share for an aggregate purchase price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$2.4 million including commissions. The common stock repurchases reduced additional paid-in capital by approximately $0.7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increased accumulated deficit by $1.7 million. All repurchased shares were retired. As of March 31, 2013, there remains approximately $92.6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available under our existing stock repurchase authorization.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Accounting for Income Taxes</w:t>
      </w:r>
    </w:p>
    <w:p>
      <w:pPr>
        <w:spacing w:after="0" w:line="22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For the three months ended March 31, 2013 and 2012, the Company's tax expense was $2.9 million and $6.2 million, respectively, representing effective tax rates of (7.5)% and 22.8%. The effective tax rate decreased primarily due to a jurisdictional shift in forecasted earnings from the U.S. to lower-tax non-U.S. jurisdictions, as well as the impact of the impairment of goodwill and long-lived assets for the three months ended March 31, 2013.</w:t>
      </w:r>
    </w:p>
    <w:p>
      <w:pPr>
        <w:spacing w:after="0" w:line="22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the first quarter of fiscal 2013, the amount of gross unrecognized tax benefits increased by approximately $1.4 million primarily due to current period exposures. The total amount of unrecognized tax benefits was $22.1 million as of March 31, 2013, all of which would impact our effective tax rate if recognized. We have elected to recognize interest and penalties related to unrecognized tax benefits as a component of income taxes. The change in accrued interest and penalties during the first quarter of fiscal year 2013 was not material. We do not expect any significant changes to the amount of unrecognized tax benefit within the next twelve months.</w:t>
      </w:r>
    </w:p>
    <w:p>
      <w:pPr>
        <w:spacing w:after="0" w:line="269"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are subject to taxation in the U.S., and various states and foreign jurisdictions. All of our tax years will be open to examination by the U.S. federal and most state tax authorities due to our net operating loss and overall credit carryforward position. With few exceptions, we are no longer subject to examination by foreign tax authorities for years before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Income (Loss) Per Share</w:t>
      </w:r>
    </w:p>
    <w:p>
      <w:pPr>
        <w:spacing w:after="0" w:line="229" w:lineRule="exact"/>
        <w:rPr>
          <w:sz w:val="20"/>
          <w:szCs w:val="20"/>
          <w:color w:val="auto"/>
        </w:rPr>
      </w:pPr>
    </w:p>
    <w:p>
      <w:pPr>
        <w:ind w:right="460" w:firstLine="432"/>
        <w:spacing w:after="0" w:line="291"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during the period. Diluted net income per share is computed using the weighted average number of shares of common stock, adjusted for the dilutive effect of potential common</w:t>
      </w:r>
    </w:p>
    <w:p>
      <w:pPr>
        <w:spacing w:after="0"/>
        <w:rPr>
          <w:sz w:val="20"/>
          <w:szCs w:val="20"/>
          <w:color w:val="auto"/>
        </w:rPr>
      </w:pPr>
      <w:r>
        <w:rPr>
          <w:rFonts w:ascii="Arial" w:cs="Arial" w:eastAsia="Arial" w:hAnsi="Arial"/>
          <w:sz w:val="16"/>
          <w:szCs w:val="16"/>
          <w:color w:val="auto"/>
        </w:rPr>
        <w:t>stock. Potential common stock, computed using the treasury stock method, includes options, RSUs, MSUs and our employee stock purchase plan ("ESPP").</w:t>
      </w:r>
    </w:p>
    <w:p>
      <w:pPr>
        <w:spacing w:after="0" w:line="23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 (in thousands, except per share amounts):</w:t>
      </w:r>
    </w:p>
    <w:p>
      <w:pPr>
        <w:spacing w:after="0" w:line="297"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(41,983)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20,984</w:t>
            </w:r>
          </w:p>
        </w:tc>
        <w:tc>
          <w:tcPr>
            <w:tcW w:w="0" w:type="dxa"/>
            <w:vAlign w:val="bottom"/>
          </w:tcPr>
          <w:p>
            <w:pPr>
              <w:spacing w:after="0"/>
              <w:rPr>
                <w:sz w:val="1"/>
                <w:szCs w:val="1"/>
                <w:color w:val="auto"/>
              </w:rPr>
            </w:pPr>
          </w:p>
        </w:tc>
      </w:tr>
      <w:tr>
        <w:trPr>
          <w:trHeight w:val="67"/>
        </w:trPr>
        <w:tc>
          <w:tcPr>
            <w:tcW w:w="90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90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 basic</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81,248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79,235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37"/>
        </w:trPr>
        <w:tc>
          <w:tcPr>
            <w:tcW w:w="9020" w:type="dxa"/>
            <w:vAlign w:val="bottom"/>
          </w:tcPr>
          <w:p>
            <w:pPr>
              <w:ind w:left="720"/>
              <w:spacing w:after="0"/>
              <w:rPr>
                <w:sz w:val="20"/>
                <w:szCs w:val="20"/>
                <w:color w:val="auto"/>
              </w:rPr>
            </w:pPr>
            <w:r>
              <w:rPr>
                <w:rFonts w:ascii="Arial" w:cs="Arial" w:eastAsia="Arial" w:hAnsi="Arial"/>
                <w:sz w:val="18"/>
                <w:szCs w:val="18"/>
                <w:color w:val="auto"/>
              </w:rPr>
              <w:t>Total shares, diluted</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81,248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81,856</w:t>
            </w:r>
          </w:p>
        </w:tc>
        <w:tc>
          <w:tcPr>
            <w:tcW w:w="0" w:type="dxa"/>
            <w:vAlign w:val="bottom"/>
          </w:tcPr>
          <w:p>
            <w:pPr>
              <w:spacing w:after="0"/>
              <w:rPr>
                <w:sz w:val="1"/>
                <w:szCs w:val="1"/>
                <w:color w:val="auto"/>
              </w:rPr>
            </w:pPr>
          </w:p>
        </w:tc>
      </w:tr>
      <w:tr>
        <w:trPr>
          <w:trHeight w:val="67"/>
        </w:trPr>
        <w:tc>
          <w:tcPr>
            <w:tcW w:w="90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9020" w:type="dxa"/>
            <w:vAlign w:val="bottom"/>
            <w:tcBorders>
              <w:bottom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Net income (loss) per share,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Net income (loss) per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2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For the three months ended March 31 ,2013, stock options, RSUs, MSUs and ESPP totaling 1.8 million of potentially dilutive shares have been excluded from the total diluted shares because there was a net loss for the period.</w:t>
      </w:r>
    </w:p>
    <w:p>
      <w:pPr>
        <w:spacing w:after="0" w:line="170"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For the three months ended March 31, 2012, stock options, RSUs and MSUs totaling 0.8 million were excluded from diluted net income per share because of their anti-dilutive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Segments and Geographical Information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and gross profit.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grouped our operations into two reportable segments which are also our reporting units: Clear Aligner segment and SCCS segment.</w:t>
      </w:r>
    </w:p>
    <w:p>
      <w:pPr>
        <w:spacing w:after="0" w:line="237" w:lineRule="exact"/>
        <w:rPr>
          <w:sz w:val="20"/>
          <w:szCs w:val="20"/>
          <w:color w:val="auto"/>
        </w:rPr>
      </w:pPr>
    </w:p>
    <w:p>
      <w:pPr>
        <w:ind w:left="980" w:right="160" w:hanging="48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Express/Lite, Teen, Assist, Vivera retainers, along with our training and ancillary products for treating malocclusion.</w:t>
      </w:r>
    </w:p>
    <w:p>
      <w:pPr>
        <w:spacing w:after="0" w:line="116"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SCCS segment consists of intra-oral scanning systems and additional services available with the intra-oral scanners that provide digital alternatives to the traditional cast models. This segment includes our iTero scanner and OrthoCAD services.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These reportable operating segments are based on how our CODM views and evaluates our operations as well as allocation of resources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rPr>
              <w:t>For the Three Months March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Revenue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Clear Aligner</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8"/>
                <w:szCs w:val="18"/>
                <w:color w:val="auto"/>
              </w:rPr>
              <w:t>Invisalign Full</w:t>
            </w:r>
          </w:p>
        </w:tc>
        <w:tc>
          <w:tcPr>
            <w:tcW w:w="1100" w:type="dxa"/>
            <w:vAlign w:val="bottom"/>
          </w:tcPr>
          <w:p>
            <w:pPr>
              <w:jc w:val="right"/>
              <w:ind w:right="897"/>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85,914</w:t>
            </w:r>
          </w:p>
        </w:tc>
        <w:tc>
          <w:tcPr>
            <w:tcW w:w="12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82,424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Invisalign Express/Lite</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11,806</w:t>
            </w:r>
          </w:p>
        </w:tc>
        <w:tc>
          <w:tcPr>
            <w:tcW w:w="0" w:type="dxa"/>
            <w:vAlign w:val="bottom"/>
          </w:tcPr>
          <w:p>
            <w:pPr>
              <w:spacing w:after="0"/>
              <w:rPr>
                <w:sz w:val="1"/>
                <w:szCs w:val="1"/>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8"/>
                <w:szCs w:val="18"/>
                <w:color w:val="auto"/>
              </w:rPr>
              <w:t>Invisalign Teen</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18,573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15,148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Invisalign Assist</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7,193</w:t>
            </w:r>
          </w:p>
        </w:tc>
        <w:tc>
          <w:tcPr>
            <w:tcW w:w="0" w:type="dxa"/>
            <w:vAlign w:val="bottom"/>
          </w:tcPr>
          <w:p>
            <w:pPr>
              <w:spacing w:after="0"/>
              <w:rPr>
                <w:sz w:val="1"/>
                <w:szCs w:val="1"/>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8"/>
                <w:szCs w:val="18"/>
                <w:color w:val="auto"/>
              </w:rPr>
              <w:t>Invisalign non-case revenues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12,709</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6,757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Scanners and CAD/CAM Services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00"/>
              <w:spacing w:after="0"/>
              <w:rPr>
                <w:sz w:val="20"/>
                <w:szCs w:val="20"/>
                <w:color w:val="auto"/>
              </w:rPr>
            </w:pPr>
            <w:r>
              <w:rPr>
                <w:rFonts w:ascii="Arial" w:cs="Arial" w:eastAsia="Arial" w:hAnsi="Arial"/>
                <w:sz w:val="18"/>
                <w:szCs w:val="18"/>
                <w:color w:val="auto"/>
              </w:rPr>
              <w:t>Scanners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6,625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5,361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CAD/CAM Services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5,383</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tcPr>
          <w:p>
            <w:pPr>
              <w:jc w:val="right"/>
              <w:ind w:right="897"/>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153,580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135,079</w:t>
            </w:r>
          </w:p>
        </w:tc>
        <w:tc>
          <w:tcPr>
            <w:tcW w:w="0" w:type="dxa"/>
            <w:vAlign w:val="bottom"/>
          </w:tcPr>
          <w:p>
            <w:pPr>
              <w:spacing w:after="0"/>
              <w:rPr>
                <w:sz w:val="1"/>
                <w:szCs w:val="1"/>
                <w:color w:val="auto"/>
              </w:rPr>
            </w:pPr>
          </w:p>
        </w:tc>
      </w:tr>
      <w:tr>
        <w:trPr>
          <w:trHeight w:val="67"/>
        </w:trPr>
        <w:tc>
          <w:tcPr>
            <w:tcW w:w="766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Gross profit</w:t>
            </w:r>
          </w:p>
        </w:tc>
        <w:tc>
          <w:tcPr>
            <w:tcW w:w="1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Clear Aligner</w:t>
            </w:r>
          </w:p>
        </w:tc>
        <w:tc>
          <w:tcPr>
            <w:tcW w:w="1100" w:type="dxa"/>
            <w:vAlign w:val="bottom"/>
          </w:tcPr>
          <w:p>
            <w:pPr>
              <w:jc w:val="right"/>
              <w:ind w:right="897"/>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109,327</w:t>
            </w:r>
          </w:p>
        </w:tc>
        <w:tc>
          <w:tcPr>
            <w:tcW w:w="12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97,389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Scanners and CAD/CAM Services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3,522</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tcPr>
          <w:p>
            <w:pPr>
              <w:jc w:val="right"/>
              <w:ind w:right="897"/>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112,849</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100,760</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180"/>
              <w:spacing w:after="0"/>
              <w:rPr>
                <w:sz w:val="20"/>
                <w:szCs w:val="20"/>
                <w:color w:val="auto"/>
              </w:rPr>
            </w:pPr>
            <w:r>
              <w:rPr>
                <w:rFonts w:ascii="Arial" w:cs="Arial" w:eastAsia="Arial" w:hAnsi="Arial"/>
                <w:sz w:val="18"/>
                <w:szCs w:val="18"/>
                <w:b w:val="1"/>
                <w:bCs w:val="1"/>
                <w:i w:val="1"/>
                <w:iCs w:val="1"/>
                <w:color w:val="auto"/>
              </w:rPr>
              <w:t>Geographical Information</w:t>
            </w: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660" w:type="dxa"/>
            <w:vAlign w:val="bottom"/>
          </w:tcPr>
          <w:p>
            <w:pPr>
              <w:ind w:left="440"/>
              <w:spacing w:after="0"/>
              <w:rPr>
                <w:sz w:val="20"/>
                <w:szCs w:val="20"/>
                <w:color w:val="auto"/>
              </w:rPr>
            </w:pPr>
            <w:r>
              <w:rPr>
                <w:rFonts w:ascii="Arial" w:cs="Arial" w:eastAsia="Arial" w:hAnsi="Arial"/>
                <w:sz w:val="18"/>
                <w:szCs w:val="18"/>
                <w:color w:val="auto"/>
                <w:w w:val="98"/>
              </w:rPr>
              <w:t>Net revenues and long-lived assets are presented below by geographic area (in thousands):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7660" w:type="dxa"/>
            <w:vAlign w:val="bottom"/>
          </w:tcPr>
          <w:p>
            <w:pPr>
              <w:spacing w:after="0"/>
              <w:rPr>
                <w:sz w:val="24"/>
                <w:szCs w:val="24"/>
                <w:color w:val="auto"/>
              </w:rPr>
            </w:pPr>
          </w:p>
        </w:tc>
        <w:tc>
          <w:tcPr>
            <w:tcW w:w="376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 (1):</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897"/>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119,840</w:t>
            </w:r>
          </w:p>
        </w:tc>
        <w:tc>
          <w:tcPr>
            <w:tcW w:w="12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103,258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 Netherlands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31,095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29,447</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 international</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2,645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1100" w:type="dxa"/>
            <w:vAlign w:val="bottom"/>
            <w:tcBorders>
              <w:bottom w:val="single" w:sz="8" w:color="CCEEFF"/>
            </w:tcBorders>
            <w:shd w:val="clear" w:color="auto" w:fill="CCEEFF"/>
          </w:tcPr>
          <w:p>
            <w:pPr>
              <w:jc w:val="right"/>
              <w:ind w:right="897"/>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153,580</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135,079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19</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6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of March 31,</w:t>
            </w:r>
          </w:p>
        </w:tc>
        <w:tc>
          <w:tcPr>
            <w:tcW w:w="220" w:type="dxa"/>
            <w:vAlign w:val="bottom"/>
          </w:tcPr>
          <w:p>
            <w:pPr>
              <w:spacing w:after="0"/>
              <w:rPr>
                <w:sz w:val="16"/>
                <w:szCs w:val="16"/>
                <w:color w:val="auto"/>
              </w:rPr>
            </w:pPr>
          </w:p>
        </w:tc>
        <w:tc>
          <w:tcPr>
            <w:tcW w:w="160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As of December 31,</w:t>
            </w:r>
          </w:p>
        </w:tc>
      </w:tr>
      <w:tr>
        <w:trPr>
          <w:trHeight w:val="276"/>
        </w:trPr>
        <w:tc>
          <w:tcPr>
            <w:tcW w:w="76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2012</w:t>
            </w: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58,898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60,098</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Mexico</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6,473</w:t>
            </w:r>
          </w:p>
        </w:tc>
      </w:tr>
      <w:tr>
        <w:trPr>
          <w:trHeight w:val="243"/>
        </w:trPr>
        <w:tc>
          <w:tcPr>
            <w:tcW w:w="7600" w:type="dxa"/>
            <w:vAlign w:val="bottom"/>
          </w:tcPr>
          <w:p>
            <w:pPr>
              <w:ind w:left="380"/>
              <w:spacing w:after="0"/>
              <w:rPr>
                <w:sz w:val="20"/>
                <w:szCs w:val="20"/>
                <w:color w:val="auto"/>
              </w:rPr>
            </w:pPr>
            <w:r>
              <w:rPr>
                <w:rFonts w:ascii="Arial" w:cs="Arial" w:eastAsia="Arial" w:hAnsi="Arial"/>
                <w:sz w:val="18"/>
                <w:szCs w:val="18"/>
                <w:color w:val="auto"/>
              </w:rPr>
              <w:t>the Netherlands</w:t>
            </w:r>
          </w:p>
        </w:tc>
        <w:tc>
          <w:tcPr>
            <w:tcW w:w="26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4,794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4,707</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7,913</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Total long-lived assets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72,672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79,191</w:t>
            </w:r>
          </w:p>
        </w:tc>
      </w:tr>
      <w:tr>
        <w:trPr>
          <w:trHeight w:val="27"/>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Revenues are attributed to countries based on location of where revenue is recognized.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April 30, 2013, we acquired ICA Holdings Pty Limited ("ICA") upon the expiration of the term of the distribution agreement between certain subsidiaries of ICA and Align Technology B.V., for a total of approximately $7.0 million, which is comprised of $3.0 million cash consideration paid on April 30, 2013, and a preliminary estimate of net assets acquired. We expect to complete the acquisition and finalize the purchase price for net assets in the second quarter of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43"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our expectations regarding the anticipated impact that our new products and product enhancements will have on doctor utilization and our market share, our expectations regarding product mix and product adoption, our expectations regarding the existence and impact of seasonality, our expectations regarding the financial and strategic benefits of the Cadent Holdings, Inc. (“Cadent”) acquisition, our expectations to increase our investment in manufacturing capacity, our expectations regarding the continued expansion of our international markets, the anticipated number of new doctors trained and their impact on volumes, our expectations regarding the International Scanner and CAD/CAM Services revenues, the impact of the termination of our Asia Pacific distributor relationship and reverting to a direct sales model in that region, the level of our operating expenses and gross margins,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spacing w:after="0" w:line="172"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our Condensed Consolidated Financial Statements and related notes included elsewhere in this Quarterly Report on Form 10-Q.</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Align Technology, Inc. is a global medical device company that pioneered the invisible orthodontics market with the introduction of the Invisalign system in 1999. Today, we are focused on designing, manufacturing and marketing innovative, technology-rich products to help dental professionals achieve the clinical results they expect and deliver effective, convenient cutting-edge dental treatment options to their patients. Align Technology was founded in March 1997 and is headquartered in San Jose, California with offices worldwide. Our international headquarters are located in Amsterdam, the Netherlands. We have two operating segments: (1) Clear Aligner, known as the Invisalign system; and (2) Scanner and CAD/CAM Services ("SCCS"), known as the iTero intra-oral scanners and OrthoCAD services.</w:t>
      </w:r>
    </w:p>
    <w:p>
      <w:pPr>
        <w:spacing w:after="0" w:line="220"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We received FDA clearance in 1998 and began our first commercial sales of Invisalign to U.S. Orthodontists in 1999 followed by U.S General Practitioner Dentists (GPs) in 2002. Over the next decade, we introduced Invisalign to the European market and Japan, added distribution partners in Asia-Pacific, Latin America, and EMEA, and introduced a full range of treatment options including Invisalign Express 10, Invisalign Teen, Invisalign Assist, and Vivera retainers. By 2011, we launched Invisalign G3 and Invisalign G4, which include significant new aligner and software features across all Invisalign products that make it easier for doctors to use Invisalign on more complex cases, and introduced Invisalign in the People’s Republic of China. Most recently, we launched SmartTrack, the next generation of Invisalign clear aligner material which became the new standard aligner material for Invisalign clear aligner products in North America and Europe beginning January 21, 2013 and for other international markets where we received regulatory approval.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ind w:right="20" w:firstLine="405"/>
        <w:spacing w:after="0" w:line="287" w:lineRule="auto"/>
        <w:rPr>
          <w:sz w:val="20"/>
          <w:szCs w:val="20"/>
          <w:color w:val="auto"/>
        </w:rPr>
      </w:pPr>
      <w:r>
        <w:rPr>
          <w:rFonts w:ascii="Arial" w:cs="Arial" w:eastAsia="Arial" w:hAnsi="Arial"/>
          <w:sz w:val="16"/>
          <w:szCs w:val="16"/>
          <w:color w:val="auto"/>
        </w:rPr>
        <w:t>In 2011, we acquired Cadent Holdings, Inc., a leading provider of 3D digital scanning solutions for orthodontics and dentistry, and makers of the iTero intra-oral scanner and OrthoCAD services. We believe that the combination of Align’s and Cadent’s technologies and capabilities creates greater growth opportunities for Align by bringing innovative new Invisalign treatment tools to customers and by extending the value of intra-oral scanning in dental practices. Intra-oral scanners provide a dental “chair-side” platform for accessing valuable digital diagnosis and treatment tools, with potential for enhancing accuracy of records, treatment efficiency, and the overall patient experience. We believe there are numerous benefits for customers and the opportunity to accelerate the adoption of Invisalign through interoperability with our intra-oral scanners. The use of digital technologies such as CAD/CAM for restorative dentistry or in-office restorations has been growing rapidly and intra-oral scanning is a critical part of enabling these new digital technologies and procedures in dental practices. Since the acquisition, we have launched significant product options and software enhancements to the scanner product line. In late 2012, we commercially launched the Invisalign Outcome Simulator, the first Invisalign chair-side application powered by the iTero scanner. The interactive application provides dentists and orthodontists an enhanced platform for patient education and is designed to increase treatment acceptance by helping patients visualize the benefits possible with Invisalign treatment. The new iTero scanner was available in North America beginning in February 2013 and will be available soon thereafter in select international markets as a single hardware platform with software options for restorative or orthodontic procedures.</w:t>
      </w:r>
    </w:p>
    <w:p>
      <w:pPr>
        <w:spacing w:after="0" w:line="19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Invisalign system is offered in more than 45 countries and has been used to treat more than 2.0 million patients. Our iTero intra-oral scanner is available in over 25 countries and provide dental professionals with an open choice to send digital impressions to any laboratory-based CAD/CAM system or to any of the more than 1,800 dental labs worldwide.</w:t>
      </w:r>
    </w:p>
    <w:p>
      <w:pPr>
        <w:spacing w:after="0" w:line="18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goal is to establish the Invisalign system as the standard method for treating malocclusion and to establish our intra-oral scanning platform as the preferred scanning protocol for 3D digital scans, ultimately driving increased product adoption by dental professionals. We intend to achieve this by focusing on the key strategic initiatives set forth in our Annual Report on Form 10-K.</w:t>
      </w:r>
    </w:p>
    <w:p>
      <w:pPr>
        <w:spacing w:after="0" w:line="18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In addition to the successful execution of our business strategy, there are a number of other factors which may affect our results in 2013 and beyond, which are updated below:</w:t>
      </w:r>
    </w:p>
    <w:p>
      <w:pPr>
        <w:spacing w:after="0" w:line="170" w:lineRule="exact"/>
        <w:rPr>
          <w:sz w:val="20"/>
          <w:szCs w:val="20"/>
          <w:color w:val="auto"/>
        </w:rPr>
      </w:pPr>
    </w:p>
    <w:p>
      <w:pPr>
        <w:ind w:left="980" w:hanging="486"/>
        <w:spacing w:after="0" w:line="289"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Product innovation and clinical effectiveness</w:t>
      </w:r>
      <w:r>
        <w:rPr>
          <w:rFonts w:ascii="Arial" w:cs="Arial" w:eastAsia="Arial" w:hAnsi="Arial"/>
          <w:sz w:val="16"/>
          <w:szCs w:val="16"/>
          <w:color w:val="auto"/>
        </w:rPr>
        <w:t>. We recently announced the introduction of SmartTrack, a proprietary, custom engineered aligner</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designed to deliver gentle, more constant force to improve control of tooth movements with Invisalign clear aligner treatment will build on the success we have seen with Invisalign G3/G4 and encourage even greater confidence and adoption in our customers’ practices. Although the introduction of SmartTrack will result in higher cost of goods sold and reduction in gross margins in our clear aligner segment in 2013 due to higher material costs, we believe these innovations are important contributors to increase utilization across our channels worldwide. Additionally, we recently introduced the new iTero scanner, which is a single hardware platform with software options for restorative or orthodontic procedures, Invisalign interoperability, as well as the Invisalign Outcome Simulator, our first chair-side application powered by our iTero scanner. We believe that over the long-term these types of product and clinical innovations will increase adoption of Invisalign and increase sales of our intra-oral scanners. However, it is difficult to predict the rate of adoption, which may vary by region and channel.</w:t>
      </w:r>
    </w:p>
    <w:p>
      <w:pPr>
        <w:spacing w:after="0" w:line="112" w:lineRule="exact"/>
        <w:rPr>
          <w:rFonts w:ascii="Arial" w:cs="Arial" w:eastAsia="Arial" w:hAnsi="Arial"/>
          <w:sz w:val="16"/>
          <w:szCs w:val="16"/>
          <w:color w:val="auto"/>
        </w:rPr>
      </w:pPr>
    </w:p>
    <w:p>
      <w:pPr>
        <w:ind w:left="980" w:right="140" w:hanging="486"/>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Invisalign Utilization rates. </w:t>
      </w:r>
      <w:r>
        <w:rPr>
          <w:rFonts w:ascii="Arial" w:cs="Arial" w:eastAsia="Arial" w:hAnsi="Arial"/>
          <w:sz w:val="18"/>
          <w:szCs w:val="18"/>
          <w:color w:val="auto"/>
        </w:rPr>
        <w:t>Our goal is to establish Invisalign as the treatment of choice for treating malocclusion ultimately driving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adoption and frequency of use by dental professionals, or utilization. Our quarterly utilization rates for the previous 9 quarters are as follows: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611" w:right="27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1478280</wp:posOffset>
            </wp:positionH>
            <wp:positionV relativeFrom="page">
              <wp:posOffset>243205</wp:posOffset>
            </wp:positionV>
            <wp:extent cx="5231130" cy="2958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231130"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*Invisalign Utilization rates = # of cases shipped divided by # of doctors cases were shipped to</w:t>
      </w:r>
    </w:p>
    <w:p>
      <w:pPr>
        <w:spacing w:after="0" w:line="225" w:lineRule="exact"/>
        <w:rPr>
          <w:sz w:val="20"/>
          <w:szCs w:val="20"/>
          <w:color w:val="auto"/>
        </w:rPr>
      </w:pPr>
    </w:p>
    <w:p>
      <w:pPr>
        <w:ind w:left="540" w:right="200"/>
        <w:spacing w:after="0" w:line="255" w:lineRule="auto"/>
        <w:rPr>
          <w:sz w:val="20"/>
          <w:szCs w:val="20"/>
          <w:color w:val="auto"/>
        </w:rPr>
      </w:pPr>
      <w:r>
        <w:rPr>
          <w:rFonts w:ascii="Arial" w:cs="Arial" w:eastAsia="Arial" w:hAnsi="Arial"/>
          <w:sz w:val="18"/>
          <w:szCs w:val="18"/>
          <w:color w:val="auto"/>
        </w:rPr>
        <w:t>Total utilization in the first quarter of 2013 increased slightly to 4.3 cases per doctor compared to 4.1 cases in the first quarter of 2012 driven primarily by North American Orthodontists. Utilization among our North American orthodontist customers increased from 7.2 in the first quarter of 2012 to 8.0 cases per doctor, reflecting continued adoption of our Invisalign products driven by ongoing product improvements and feature launches. Utilization among our North American General Practitioner ("GP") and International doctors increased slightly. As doctors increase their utilization, we anticipate higher participation in our volume rebate program which may result in lower average selling prices of our products.</w:t>
      </w:r>
    </w:p>
    <w:p>
      <w:pPr>
        <w:spacing w:after="0" w:line="193" w:lineRule="exact"/>
        <w:rPr>
          <w:sz w:val="20"/>
          <w:szCs w:val="20"/>
          <w:color w:val="auto"/>
        </w:rPr>
      </w:pPr>
    </w:p>
    <w:p>
      <w:pPr>
        <w:ind w:left="540" w:hanging="486"/>
        <w:spacing w:after="0" w:line="279"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Number of new Invisalign doctors trained. </w:t>
      </w:r>
      <w:r>
        <w:rPr>
          <w:rFonts w:ascii="Arial" w:cs="Arial" w:eastAsia="Arial" w:hAnsi="Arial"/>
          <w:sz w:val="17"/>
          <w:szCs w:val="17"/>
          <w:color w:val="auto"/>
        </w:rPr>
        <w:t>We continue to expand our Invisalign customer base by training new doctors. In 2012, Invisalign</w:t>
      </w:r>
      <w:r>
        <w:rPr>
          <w:rFonts w:ascii="Arial" w:cs="Arial" w:eastAsia="Arial" w:hAnsi="Arial"/>
          <w:sz w:val="17"/>
          <w:szCs w:val="17"/>
          <w:i w:val="1"/>
          <w:iCs w:val="1"/>
          <w:color w:val="auto"/>
        </w:rPr>
        <w:t xml:space="preserve"> </w:t>
      </w:r>
      <w:r>
        <w:rPr>
          <w:rFonts w:ascii="Arial" w:cs="Arial" w:eastAsia="Arial" w:hAnsi="Arial"/>
          <w:sz w:val="17"/>
          <w:szCs w:val="17"/>
          <w:color w:val="auto"/>
        </w:rPr>
        <w:t>growth was driven primarily by the continued expansion of our customer base as we trained a total of 6,845 new orthodontists and GPs in North America and internationally. We expect to train approximately 7,220 doctors in 2013. In the first quarter of 2013, we trained a total of 1,660 new Invisalign doctors, adding 65 North American Orthodontists, 690 North American GPs and 905 International doctors.</w:t>
      </w:r>
    </w:p>
    <w:p>
      <w:pPr>
        <w:spacing w:after="0" w:line="117" w:lineRule="exact"/>
        <w:rPr>
          <w:rFonts w:ascii="Arial" w:cs="Arial" w:eastAsia="Arial" w:hAnsi="Arial"/>
          <w:sz w:val="17"/>
          <w:szCs w:val="17"/>
          <w:color w:val="auto"/>
        </w:rPr>
      </w:pPr>
    </w:p>
    <w:p>
      <w:pPr>
        <w:ind w:left="540" w:right="120" w:hanging="486"/>
        <w:spacing w:after="0" w:line="269"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Clear Aligner. </w:t>
      </w:r>
      <w:r>
        <w:rPr>
          <w:rFonts w:ascii="Arial" w:cs="Arial" w:eastAsia="Arial" w:hAnsi="Arial"/>
          <w:sz w:val="17"/>
          <w:szCs w:val="17"/>
          <w:color w:val="auto"/>
        </w:rPr>
        <w:t>We will continue to focus our efforts towards increasing adoption of our products by dental professionals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core European markets as well as expanding into new markets. On a year over year basis, international volume increased 17% compared to the first quarter of 2012, reflecting growth in our direct business in Europe as well as by our distribution partners. Based on the continued progress in the Asia-Pacific region, we did not renew our distribution agreement for this region when it expired on April 30, 2013, and we transitioned back to a direct sales model on May 1, 2013. Now four of the largest indirect country markets of Australia, New Zealand, Hong Kong and Singapore are direct sales regions and we began to recognize direct sales of Invisalign products sold in that region at our full average selling price ("ASP") rather than at the discounted average sales price under the distribution agreement. In 2012, this distributor accounted for approximately 3% of worldwide revenues, and we expect them to become an even more meaningful contributor to revenue growth in 2013. In the near term, however, the assumption of the direct operating costs will offset the uplift to ASPs. Although we expect volumes and revenues will increase, we may experience difficulties in achieving the anticipated financial benefits. We expect the remaining eight indirect country markets in Brunei, Indonesia, Macau, Malaysia, Philippines, South Korea, Taiwan, Thailand and Vietnam as well as the EMEA and Latin America regions will continue under a distribution model.</w:t>
      </w:r>
    </w:p>
    <w:p>
      <w:pPr>
        <w:spacing w:after="0" w:line="36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680" w:top="1440" w:right="259" w:bottom="1440" w:gutter="0" w:footer="0" w:header="0"/>
        </w:sectPr>
      </w:pPr>
    </w:p>
    <w:bookmarkStart w:id="23" w:name="page24"/>
    <w:bookmarkEnd w:id="23"/>
    <w:p>
      <w:pPr>
        <w:ind w:left="486" w:right="60" w:hanging="486"/>
        <w:spacing w:after="0" w:line="276" w:lineRule="auto"/>
        <w:tabs>
          <w:tab w:leader="none" w:pos="48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Increased Sales Force Coverage. </w:t>
      </w:r>
      <w:r>
        <w:rPr>
          <w:rFonts w:ascii="Arial" w:cs="Arial" w:eastAsia="Arial" w:hAnsi="Arial"/>
          <w:sz w:val="17"/>
          <w:szCs w:val="17"/>
          <w:color w:val="auto"/>
        </w:rPr>
        <w:t>Our direct sales organization in North America is comprised of a team of territory managers and to a lesser</w:t>
      </w:r>
      <w:r>
        <w:rPr>
          <w:rFonts w:ascii="Arial" w:cs="Arial" w:eastAsia="Arial" w:hAnsi="Arial"/>
          <w:sz w:val="17"/>
          <w:szCs w:val="17"/>
          <w:i w:val="1"/>
          <w:iCs w:val="1"/>
          <w:color w:val="auto"/>
        </w:rPr>
        <w:t xml:space="preserve"> </w:t>
      </w:r>
      <w:r>
        <w:rPr>
          <w:rFonts w:ascii="Arial" w:cs="Arial" w:eastAsia="Arial" w:hAnsi="Arial"/>
          <w:sz w:val="17"/>
          <w:szCs w:val="17"/>
          <w:color w:val="auto"/>
        </w:rPr>
        <w:t>extent, territory specialists. These territory specialists are used to enhance coverage in larger territories, especially with our lower volume GP customers. Due to the success of this sales coverage model, we expect to add approximately 20 sales representatives in 2013, predominantly in North America. In addition, with the transition of our Asia-Pacific distributor to a direct sales model in May 2013, we acquired approximately 15 additional sales representatives in that region.</w:t>
      </w:r>
    </w:p>
    <w:p>
      <w:pPr>
        <w:spacing w:after="0" w:line="118" w:lineRule="exact"/>
        <w:rPr>
          <w:rFonts w:ascii="Arial" w:cs="Arial" w:eastAsia="Arial" w:hAnsi="Arial"/>
          <w:sz w:val="17"/>
          <w:szCs w:val="17"/>
          <w:color w:val="auto"/>
        </w:rPr>
      </w:pPr>
    </w:p>
    <w:p>
      <w:pPr>
        <w:ind w:left="486" w:right="20" w:hanging="486"/>
        <w:spacing w:after="0" w:line="257" w:lineRule="auto"/>
        <w:tabs>
          <w:tab w:leader="none" w:pos="486"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Vivera Retainer Shipment Consolidation in North America. </w:t>
      </w:r>
      <w:r>
        <w:rPr>
          <w:rFonts w:ascii="Arial" w:cs="Arial" w:eastAsia="Arial" w:hAnsi="Arial"/>
          <w:sz w:val="18"/>
          <w:szCs w:val="18"/>
          <w:color w:val="auto"/>
        </w:rPr>
        <w:t>In the first quarter of 2013, we began consolidating Vivera retainer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shipments into one shipment per year rather than four shipments per year as had been our practice. As a result, our first quarter results reflected approximately $4.4 million benefit to revenue associated with our Vivera product as we recognized nine additional months of the subscription revenue in the first quarter instead of recognizing it ratably every quarter for one year. In addition, we will also begin to reduce freight costs as we make this change.</w:t>
      </w:r>
    </w:p>
    <w:p>
      <w:pPr>
        <w:spacing w:after="0" w:line="134" w:lineRule="exact"/>
        <w:rPr>
          <w:rFonts w:ascii="Arial" w:cs="Arial" w:eastAsia="Arial" w:hAnsi="Arial"/>
          <w:sz w:val="18"/>
          <w:szCs w:val="18"/>
          <w:color w:val="auto"/>
        </w:rPr>
      </w:pPr>
    </w:p>
    <w:p>
      <w:pPr>
        <w:ind w:left="486" w:right="60" w:hanging="486"/>
        <w:spacing w:after="0" w:line="289" w:lineRule="auto"/>
        <w:tabs>
          <w:tab w:leader="none" w:pos="486"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Change to Mid-Course Correction Policy. </w:t>
      </w:r>
      <w:r>
        <w:rPr>
          <w:rFonts w:ascii="Arial" w:cs="Arial" w:eastAsia="Arial" w:hAnsi="Arial"/>
          <w:sz w:val="16"/>
          <w:szCs w:val="16"/>
          <w:color w:val="auto"/>
        </w:rPr>
        <w:t>We seek to continually evaluate and improve our products, our customer support processes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policies to support those goals. Based on customer feedback, beginning June 15, 2013, we will no longer charge a fee associated with our mid-course correction orders. Mid-course correction provides our customers with the option of requesting a treatment correction during active treatment if the case is not tracking to the original treatment plan or goals. Beginning June 15, 2013, we will include up to three mid-course correction orders per case free of charge in our list prices for Invisalign Full and Invisalign Teen. As a result of this change, Invisalign clear aligner revenues for the first quarter of 2013 were decreased by $2.7 million, representing the revenue deferred to provide free mid-course corrections for open cases that we expect to be eligible when this new policy takes effect. Based on an historical usage rate, we will defer approximately $10 per case, which will be recognized when mid-course corrections orders are shipped. In addition, because we will no longer charge and bill customers for mid-course correction orders, we anticipate a reduction of revenues of approximately $700,000 per quarter.</w:t>
      </w:r>
    </w:p>
    <w:p>
      <w:pPr>
        <w:spacing w:after="0" w:line="112" w:lineRule="exact"/>
        <w:rPr>
          <w:rFonts w:ascii="Arial" w:cs="Arial" w:eastAsia="Arial" w:hAnsi="Arial"/>
          <w:sz w:val="16"/>
          <w:szCs w:val="16"/>
          <w:color w:val="auto"/>
        </w:rPr>
      </w:pPr>
    </w:p>
    <w:p>
      <w:pPr>
        <w:ind w:left="486" w:right="60" w:hanging="486"/>
        <w:spacing w:after="0" w:line="291" w:lineRule="auto"/>
        <w:tabs>
          <w:tab w:leader="none" w:pos="486"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International Scanner and CAD/CAM Services.</w:t>
      </w:r>
      <w:r>
        <w:rPr>
          <w:rFonts w:ascii="Arial" w:cs="Arial" w:eastAsia="Arial" w:hAnsi="Arial"/>
          <w:sz w:val="16"/>
          <w:szCs w:val="16"/>
          <w:color w:val="auto"/>
        </w:rPr>
        <w:t>In October 2012, we reached a mutual agreement to terminate the exclusive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with Straumann for iTero intra-oral scanners in Europe, as well as the non-exclusive distribution agreement for iTero intra-oral scanners in North America effective December 31, 2012. The global market for restorative dentistry is far more fragmented and complex than for orthodontics, involving hundreds of thousands of labs, suppliers, general dentists and specialists. In Europe, adoption of digital restorative technology has been slowed due to challenging economic conditions and reluctance to invest in capital equipment. In view of these conditions, we expect to have very few scanner sales internationally in the near term as we determine the most effective way to re-stage growth in this market. Our direct sales model remains unchanged in North America where most of the scanner and CAD/CAM services revenue is generated.</w:t>
      </w:r>
    </w:p>
    <w:p>
      <w:pPr>
        <w:spacing w:after="0" w:line="113" w:lineRule="exact"/>
        <w:rPr>
          <w:rFonts w:ascii="Arial" w:cs="Arial" w:eastAsia="Arial" w:hAnsi="Arial"/>
          <w:sz w:val="16"/>
          <w:szCs w:val="16"/>
          <w:i w:val="1"/>
          <w:iCs w:val="1"/>
          <w:color w:val="auto"/>
        </w:rPr>
      </w:pPr>
    </w:p>
    <w:p>
      <w:pPr>
        <w:ind w:left="486" w:hanging="486"/>
        <w:spacing w:after="0" w:line="289" w:lineRule="auto"/>
        <w:tabs>
          <w:tab w:leader="none" w:pos="486"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Increase in Invisalign Selling Price</w:t>
      </w:r>
      <w:r>
        <w:rPr>
          <w:rFonts w:ascii="Arial" w:cs="Arial" w:eastAsia="Arial" w:hAnsi="Arial"/>
          <w:sz w:val="16"/>
          <w:szCs w:val="16"/>
          <w:color w:val="auto"/>
        </w:rPr>
        <w:t>. In recent years, we have significantly increased investment in research and development resulting in</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innovations, such as Invisalign G3, Invisalign G4 and SmartTrack clear aligner material. We have also continued to increase our consumer advertising spending to drive more patient demand. In addition, beginning January 1, 2013, the Federal Government imposed a new excise tax on medical device manufacturers, and Invisalign clear aligners are considered a taxable medical device. As a result of this new tax and our continued investments in research and development and consumer advertising, we increased our Invisalign pricing by adding $26.00 to $50.00 per case compared to 2012 prices, effective January 1, 2013. For 2013, we expect that the impact on our average sales price from this price increase will be offset somewhat by an expected increases in our rebate program due to the anticipated increase in utilization by our customers, increased volume from our lower price products, including Invisalign Express 5 and Invisalign i7, as well as slightly higher material costs for the SmartTrack clear aligner material. The prices for Invisalign Teen, Invisalign retainers and Vivera retainers will remain unchanged.</w:t>
      </w:r>
    </w:p>
    <w:p>
      <w:pPr>
        <w:spacing w:after="0" w:line="112" w:lineRule="exact"/>
        <w:rPr>
          <w:rFonts w:ascii="Arial" w:cs="Arial" w:eastAsia="Arial" w:hAnsi="Arial"/>
          <w:sz w:val="16"/>
          <w:szCs w:val="16"/>
          <w:color w:val="auto"/>
        </w:rPr>
      </w:pPr>
    </w:p>
    <w:p>
      <w:pPr>
        <w:ind w:left="486" w:right="160" w:hanging="486"/>
        <w:spacing w:after="0" w:line="264" w:lineRule="auto"/>
        <w:tabs>
          <w:tab w:leader="none" w:pos="486"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2013 Operating expenses. </w:t>
      </w:r>
      <w:r>
        <w:rPr>
          <w:rFonts w:ascii="Arial" w:cs="Arial" w:eastAsia="Arial" w:hAnsi="Arial"/>
          <w:sz w:val="18"/>
          <w:szCs w:val="18"/>
          <w:color w:val="auto"/>
        </w:rPr>
        <w:t>We expect operating expenses to increase in 2013 compared to 2012 due to the increase in North American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force coverage, the acquisition of the direct sales force in Asia-Pacific, and the inclusion of the medical device excise tax, which was enacted into law as part of the comprehensive healthcare reform legislation in March 2010.</w:t>
      </w:r>
    </w:p>
    <w:p>
      <w:pPr>
        <w:spacing w:after="0" w:line="370"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26"/>
          </w:cols>
          <w:pgMar w:left="734" w:top="368" w:right="339" w:bottom="1440" w:gutter="0" w:footer="0" w:header="0"/>
        </w:sectPr>
      </w:pPr>
    </w:p>
    <w:bookmarkStart w:id="24" w:name="page25"/>
    <w:bookmarkEnd w:id="24"/>
    <w:p>
      <w:pPr>
        <w:ind w:left="980" w:hanging="486"/>
        <w:spacing w:after="0" w:line="255"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rates. </w:t>
      </w:r>
      <w:r>
        <w:rPr>
          <w:rFonts w:ascii="Arial" w:cs="Arial" w:eastAsia="Arial" w:hAnsi="Arial"/>
          <w:sz w:val="18"/>
          <w:szCs w:val="18"/>
          <w:color w:val="auto"/>
        </w:rPr>
        <w:t>Although the U.S. dollar is our reporting currency, a portion of our net revenues and income are generated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Net revenues and income generated by subsidiaries operating outside of the U.S. are translated into U.S. dollars using exchange rates effective during the respective period and as a result are affected by changes in exchange rates. We have generally accepted the exposure to exchange rate movements without using derivative financial instruments to manage this risk. Therefore, both positive and negative movements in currency exchange rates against the U.S. dollar will continue to affect the reported amount of net revenues and income in our consolidated financial statements.</w:t>
      </w:r>
    </w:p>
    <w:p>
      <w:pPr>
        <w:spacing w:after="0" w:line="139" w:lineRule="exact"/>
        <w:rPr>
          <w:rFonts w:ascii="Arial" w:cs="Arial" w:eastAsia="Arial" w:hAnsi="Arial"/>
          <w:sz w:val="18"/>
          <w:szCs w:val="18"/>
          <w:color w:val="auto"/>
        </w:rPr>
      </w:pPr>
    </w:p>
    <w:p>
      <w:pPr>
        <w:ind w:left="980" w:right="20" w:hanging="486"/>
        <w:spacing w:after="0" w:line="291"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Goodwill and Long Lived Asset Impairments. </w:t>
      </w:r>
      <w:r>
        <w:rPr>
          <w:rFonts w:ascii="Arial" w:cs="Arial" w:eastAsia="Arial" w:hAnsi="Arial"/>
          <w:sz w:val="16"/>
          <w:szCs w:val="16"/>
          <w:color w:val="auto"/>
        </w:rPr>
        <w:t>Recent changes in the competitive environment, including announcements in March 2013 of new</w:t>
      </w:r>
      <w:r>
        <w:rPr>
          <w:rFonts w:ascii="Arial" w:cs="Arial" w:eastAsia="Arial" w:hAnsi="Arial"/>
          <w:sz w:val="16"/>
          <w:szCs w:val="16"/>
          <w:i w:val="1"/>
          <w:iCs w:val="1"/>
          <w:color w:val="auto"/>
        </w:rPr>
        <w:t xml:space="preserve"> </w:t>
      </w:r>
      <w:r>
        <w:rPr>
          <w:rFonts w:ascii="Arial" w:cs="Arial" w:eastAsia="Arial" w:hAnsi="Arial"/>
          <w:sz w:val="16"/>
          <w:szCs w:val="16"/>
          <w:color w:val="auto"/>
        </w:rPr>
        <w:t>lower-priced scanners targeted at Orthodontists and GPs in North America caused us to lower our expectations for growth and profitability for our scanner and CAD/CAM services business. As a result, we conducted an impairment analysis of long-lived assets and goodwill related to the SCCS reporting unit. Based on these analyses, we recorded a $26.3 million impairment of our long-lived assets and $40.7 million impairment of goodwill. The $40.7 million represents the remaining goodwill balance in the SCCS reporting unit. More information regarding the impairment of our goodwill and long lived assets, including a description of steps one and two of the analysis, and the approaches taken in the analysis of goodwill, can be found in Note 4 of the Condensed Consolidated Financial Statements included in Part I of this Form 10-Q.</w:t>
      </w:r>
    </w:p>
    <w:p>
      <w:pPr>
        <w:spacing w:after="0" w:line="113" w:lineRule="exact"/>
        <w:rPr>
          <w:rFonts w:ascii="Arial" w:cs="Arial" w:eastAsia="Arial" w:hAnsi="Arial"/>
          <w:sz w:val="16"/>
          <w:szCs w:val="16"/>
          <w:color w:val="auto"/>
        </w:rPr>
      </w:pPr>
    </w:p>
    <w:p>
      <w:pPr>
        <w:ind w:left="980" w:right="220" w:hanging="486"/>
        <w:spacing w:after="0" w:line="297" w:lineRule="auto"/>
        <w:tabs>
          <w:tab w:leader="none" w:pos="98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Acquired Intangible Asset Amortization. </w:t>
      </w:r>
      <w:r>
        <w:rPr>
          <w:rFonts w:ascii="Arial" w:cs="Arial" w:eastAsia="Arial" w:hAnsi="Arial"/>
          <w:sz w:val="16"/>
          <w:szCs w:val="16"/>
          <w:color w:val="auto"/>
        </w:rPr>
        <w:t>The total impairment charge of our long-lived assets of $26.3 million consisted of $19.3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related to our acquired SCCS intangible assets and $7.0 million related to plant and equipment. Prior to impairment, the quarterly amortization expense of acquired intangible assets was approximately $1.1 million. Going forward, the amortization expense of acquired intangible assets will be around $0.7 million per quarter. More information regarding estimated annual future amortization expense for these acquired intangible assets can be found in Note 4 of the Condensed Consolidated Financial Statements included in Part I of this Form 10-Q.</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group our operations into two reportable segments: Clear Aligner segment and Scanners and CAD/CAM Services segment.</w:t>
      </w:r>
    </w:p>
    <w:p>
      <w:pPr>
        <w:spacing w:after="0" w:line="225" w:lineRule="exact"/>
        <w:rPr>
          <w:sz w:val="20"/>
          <w:szCs w:val="20"/>
          <w:color w:val="auto"/>
        </w:rPr>
      </w:pPr>
    </w:p>
    <w:p>
      <w:pPr>
        <w:ind w:left="980" w:right="14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Express/Lite, Teen, Assist, Vivera retainers, along with our training and ancillary products for treating malocclusion.</w:t>
      </w:r>
    </w:p>
    <w:p>
      <w:pPr>
        <w:spacing w:after="0" w:line="170" w:lineRule="exact"/>
        <w:rPr>
          <w:rFonts w:ascii="Arial" w:cs="Arial" w:eastAsia="Arial" w:hAnsi="Arial"/>
          <w:sz w:val="18"/>
          <w:szCs w:val="18"/>
          <w:color w:val="auto"/>
        </w:rPr>
      </w:pPr>
    </w:p>
    <w:p>
      <w:pPr>
        <w:ind w:left="980" w:right="60" w:hanging="486"/>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Scanners and CAD/CAM Services segment consists of intra-oral scanning systems and additional services available with the intra-oral scanners that provide digital alternatives to the traditional cast models. This segment includes our iTero scanners, iOC scanners, and OrthoCAD services.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68"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below represents net revenues for our Clear Aligner segment by region, channel, and product and our Scanner and CAD/CAM Services segment by region and product for the three months ended March 31, 2013 and 2012 as follows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Clear Aligner:</w:t>
            </w:r>
          </w:p>
        </w:tc>
        <w:tc>
          <w:tcPr>
            <w:tcW w:w="220" w:type="dxa"/>
            <w:vAlign w:val="bottom"/>
          </w:tcPr>
          <w:p>
            <w:pPr>
              <w:spacing w:after="0"/>
              <w:rPr>
                <w:sz w:val="13"/>
                <w:szCs w:val="13"/>
                <w:color w:val="auto"/>
              </w:rPr>
            </w:pPr>
          </w:p>
        </w:tc>
        <w:tc>
          <w:tcPr>
            <w:tcW w:w="7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Net</w:t>
            </w:r>
          </w:p>
        </w:tc>
        <w:tc>
          <w:tcPr>
            <w:tcW w:w="900" w:type="dxa"/>
            <w:vAlign w:val="bottom"/>
          </w:tcPr>
          <w:p>
            <w:pPr>
              <w:jc w:val="right"/>
              <w:ind w:right="372"/>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3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Change</w:t>
            </w:r>
          </w:p>
        </w:tc>
        <w:tc>
          <w:tcPr>
            <w:tcW w:w="900" w:type="dxa"/>
            <w:vAlign w:val="bottom"/>
          </w:tcPr>
          <w:p>
            <w:pPr>
              <w:jc w:val="right"/>
              <w:ind w:right="2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Region and Channel</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Ortho</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43"/>
        </w:trPr>
        <w:tc>
          <w:tcPr>
            <w:tcW w:w="7320" w:type="dxa"/>
            <w:vAlign w:val="bottom"/>
          </w:tcPr>
          <w:p>
            <w:pPr>
              <w:ind w:left="720"/>
              <w:spacing w:after="0"/>
              <w:rPr>
                <w:sz w:val="20"/>
                <w:szCs w:val="20"/>
                <w:color w:val="auto"/>
              </w:rPr>
            </w:pPr>
            <w:r>
              <w:rPr>
                <w:rFonts w:ascii="Arial" w:cs="Arial" w:eastAsia="Arial" w:hAnsi="Arial"/>
                <w:sz w:val="18"/>
                <w:szCs w:val="18"/>
                <w:color w:val="auto"/>
              </w:rPr>
              <w:t>GP</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North America</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Invisalign non-case revenues</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86.8 %</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67"/>
        </w:trPr>
        <w:tc>
          <w:tcPr>
            <w:tcW w:w="73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Product</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Invisalign Full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Invisalign Express/Lite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Invisalign Teen</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Invisalign Assist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Invisalign non-case revenues</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86.8 %</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Scanners and CAD/CAM Services: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Region</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67"/>
        </w:trPr>
        <w:tc>
          <w:tcPr>
            <w:tcW w:w="73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Product</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Scanners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CAD/CAM Services</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67"/>
        </w:trPr>
        <w:tc>
          <w:tcPr>
            <w:tcW w:w="73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13.7 %</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Case Volume by Channel and Product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Case volume data which represents Invisalign case shipments by channel and product, for the three months ended March 31, 2013 and 2012 is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Three Months Ended 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Region and Channel</w:t>
            </w:r>
          </w:p>
        </w:tc>
        <w:tc>
          <w:tcPr>
            <w:tcW w:w="9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9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Net</w:t>
            </w:r>
          </w:p>
        </w:tc>
        <w:tc>
          <w:tcPr>
            <w:tcW w:w="98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4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Change</w:t>
            </w:r>
          </w:p>
        </w:tc>
        <w:tc>
          <w:tcPr>
            <w:tcW w:w="980" w:type="dxa"/>
            <w:vAlign w:val="bottom"/>
          </w:tcPr>
          <w:p>
            <w:pPr>
              <w:jc w:val="right"/>
              <w:ind w:right="1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Ortho</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GP</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Total North American Invisalign</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Invisalign</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Total Invisalign case volume</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67"/>
        </w:trPr>
        <w:tc>
          <w:tcPr>
            <w:tcW w:w="740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Invisalign Full</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Invisalign Express/Lite</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Invisalign Teen</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Invisalign Assist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Total Invisalign case volume</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Total net revenues increased by $18.5 million for the three months ended March 31, 2013 as compared to the same period in 2012 primarily as a result of worldwide volume growth across all Clear Aligner customer channels and products and an increase in Invisalign non-case revenue.</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the three months ended March 31, 2013, Clear Aligner North America net revenues increased by 11.7% compared to the same period in 2012. The growth was primarily driven by volume growth across all products and customer channels partially offset by lower ASPs, largely as a result of a product mix shift towards lower priced Express products and a revenue deferral to provide for free mid-course correction for open cases that we expect to be eligible when this new policy takes effect in June 2013.</w:t>
      </w:r>
    </w:p>
    <w:p>
      <w:pPr>
        <w:spacing w:after="0" w:line="187"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In the three months ended March 31, 2013, Clear Aligner International net revenues increased by 7.4% compared to the same period in 2012, driven primarily by volume growth across all products, partially offset by lower ASPs due to an increase in discounts, distributor mix and a product mix shift towards lower priced Lite products.</w:t>
      </w:r>
    </w:p>
    <w:p>
      <w:pPr>
        <w:spacing w:after="0" w:line="181"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Other non-case revenues, consisting of training fees and sales of ancillary products, increased 86.6% for the three months ended March 31, 2013 compared to the same period in 2012 primarily due to the consolidation of Vivera from four shipments per year down to one shipment per year in North America.</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Scanner and CAD/CAM Services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SCCS revenue remained consistent for the three months ended March 31, 2013 compared to the same period in 2012. The scanner revenue increased for the three months ended March 31, 2013 primarily due to the release of revenue previously reserved for the new iTero scanner upgrade program, which was available through the end of the first quarter. CAD/CAM Services decreased for the three months ended March 31, 2013 primarily due to the discontinuation of OrthoCAD iQ services during the fourth quarter of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jc w:val="right"/>
              <w:ind w:right="63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53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189"/>
        </w:trPr>
        <w:tc>
          <w:tcPr>
            <w:tcW w:w="796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Clear Aligner</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auto"/>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53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color w:val="auto"/>
              </w:rPr>
              <w:t>Cost of 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6.3</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 of net segment 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11.9</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03"/>
        </w:trPr>
        <w:tc>
          <w:tcPr>
            <w:tcW w:w="79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Scanner and CAD/CAM Services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5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7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color w:val="auto"/>
              </w:rPr>
              <w:t>% of net segment revenues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3"/>
        </w:trPr>
        <w:tc>
          <w:tcPr>
            <w:tcW w:w="79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Total cost of net revenues</w:t>
            </w:r>
          </w:p>
        </w:tc>
        <w:tc>
          <w:tcPr>
            <w:tcW w:w="2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6.4</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3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Cost of net revenues for our Clear Aligner and SCCS includes salaries for staff involved in the production process, the cost of materials, packaging, shipping costs, depreciation on capital equipment used in the production process, amortization of acquired intangible assets from Cadent, training costs and stock-based compensation expense.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Gross margin decreased slightly for the three months ended March 31, 2013 compared to the same period in 2012 reflecting higher inventory reserves and lower ASPs. The additional inventory reserve was for the prior aligner material as we transitioned to our new SmartTrack material in February 2013.</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Scanner and CAD/CAM Services</w:t>
      </w:r>
    </w:p>
    <w:p>
      <w:pPr>
        <w:spacing w:after="0" w:line="158" w:lineRule="exact"/>
        <w:rPr>
          <w:sz w:val="20"/>
          <w:szCs w:val="20"/>
          <w:color w:val="auto"/>
        </w:rPr>
      </w:pPr>
    </w:p>
    <w:p>
      <w:pPr>
        <w:ind w:right="580" w:firstLine="405"/>
        <w:spacing w:after="0" w:line="264" w:lineRule="auto"/>
        <w:rPr>
          <w:sz w:val="20"/>
          <w:szCs w:val="20"/>
          <w:color w:val="auto"/>
        </w:rPr>
      </w:pPr>
      <w:r>
        <w:rPr>
          <w:rFonts w:ascii="Arial" w:cs="Arial" w:eastAsia="Arial" w:hAnsi="Arial"/>
          <w:sz w:val="18"/>
          <w:szCs w:val="18"/>
          <w:color w:val="auto"/>
        </w:rPr>
        <w:t>Gross margin increased for the three months ended March 31, 2013 compared to the same period in 2012 largely due to the release of revenue previously reserved for the new iTero scanner upgrade program. This was partially offset by unabsorbed manufacturing spend due to lower production volumes and increased warranty cost.</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Sales and marketing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60" w:type="dxa"/>
            <w:vAlign w:val="bottom"/>
          </w:tcPr>
          <w:p>
            <w:pPr>
              <w:ind w:left="340"/>
              <w:spacing w:after="0"/>
              <w:rPr>
                <w:sz w:val="20"/>
                <w:szCs w:val="20"/>
                <w:color w:val="auto"/>
              </w:rPr>
            </w:pPr>
            <w:r>
              <w:rPr>
                <w:rFonts w:ascii="Arial" w:cs="Arial" w:eastAsia="Arial" w:hAnsi="Arial"/>
                <w:sz w:val="18"/>
                <w:szCs w:val="18"/>
                <w:color w:val="auto"/>
                <w:w w:val="97"/>
              </w:rPr>
              <w:t>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28.7%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ind w:right="760" w:firstLine="432"/>
        <w:spacing w:after="0" w:line="308" w:lineRule="auto"/>
        <w:rPr>
          <w:sz w:val="20"/>
          <w:szCs w:val="20"/>
          <w:color w:val="auto"/>
        </w:rPr>
      </w:pPr>
      <w:r>
        <w:rPr>
          <w:rFonts w:ascii="Arial" w:cs="Arial" w:eastAsia="Arial" w:hAnsi="Arial"/>
          <w:sz w:val="17"/>
          <w:szCs w:val="17"/>
          <w:color w:val="auto"/>
        </w:rPr>
        <w:t>Sales and marketing expense includes sales force and marketing compensation (including travel-related costs), media and advertising, clinical education, expenses for trade shows and industry events, product marketing and stock-based compensation expense.</w:t>
      </w:r>
    </w:p>
    <w:p>
      <w:pPr>
        <w:spacing w:after="0" w:line="14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sales and marketing expense for the three months ended March 31, 2013 increased compared to the same period in 2012 primarily due to higher advertising, product marketing, and sales event costs of approximately $3.0 million. We also incurred additional transition costs of approximately $1.0 million related to the conversion of our Asia-Pacific distributor back into a direct sales model effective on May 1, 2013. These costs were partially offset by lower media spend of approximately $0.4 million.</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(in millions):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19.8%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w w:val="93"/>
              </w:rPr>
              <w:t>17.4%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General and administrative expense includes salaries for administrative personnel, outside consulting services, legal expenses and stock-based compensation expense.</w:t>
      </w:r>
    </w:p>
    <w:p>
      <w:pPr>
        <w:spacing w:after="0" w:line="17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General and administrative expense increased for the three months ended March 31, 2013 compared to the same period in 2012 largely due to higher payroll expense of $3.0 million resulting from annual compensation adjustments and an increase in headcount; higher legal fees of approximately $2.4 million; and a $1.5 million increase in Medical Device Excise Tax.</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jc w:val="right"/>
              <w:ind w:right="639"/>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0.8</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175" w:lineRule="exact"/>
        <w:rPr>
          <w:sz w:val="20"/>
          <w:szCs w:val="20"/>
          <w:color w:val="auto"/>
        </w:rPr>
      </w:pPr>
    </w:p>
    <w:p>
      <w:pPr>
        <w:jc w:val="both"/>
        <w:ind w:right="100" w:firstLine="432"/>
        <w:spacing w:after="0" w:line="381" w:lineRule="auto"/>
        <w:rPr>
          <w:sz w:val="20"/>
          <w:szCs w:val="20"/>
          <w:color w:val="auto"/>
        </w:rPr>
      </w:pPr>
      <w:r>
        <w:rPr>
          <w:rFonts w:ascii="Arial" w:cs="Arial" w:eastAsia="Arial" w:hAnsi="Arial"/>
          <w:sz w:val="15"/>
          <w:szCs w:val="15"/>
          <w:color w:val="auto"/>
        </w:rPr>
        <w:t>Research and development expense includes the personnel-related costs and outside consulting expenses associated with the research and development of new products and enhancements to existing products, corporate allocations, facility and facility related costs and stock-based compensation expense.</w:t>
      </w:r>
    </w:p>
    <w:p>
      <w:pPr>
        <w:spacing w:after="0" w:line="10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Research and development expense increased during the three months ended March 31, 2013, compared to the same period in 2012 mostly due to higher payroll costs of approximately $0.6 million resulting from annual compensation adjustments as well as higher headcount, outside consulting, facility, and depreciation related expenses of approximately $0.2 million.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goodwill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40.7</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60" w:type="dxa"/>
            <w:vAlign w:val="bottom"/>
          </w:tcPr>
          <w:p>
            <w:pPr>
              <w:ind w:left="340"/>
              <w:spacing w:after="0"/>
              <w:rPr>
                <w:sz w:val="20"/>
                <w:szCs w:val="20"/>
                <w:color w:val="auto"/>
              </w:rPr>
            </w:pPr>
            <w:r>
              <w:rPr>
                <w:rFonts w:ascii="Arial" w:cs="Arial" w:eastAsia="Arial" w:hAnsi="Arial"/>
                <w:sz w:val="18"/>
                <w:szCs w:val="18"/>
                <w:color w:val="auto"/>
                <w:w w:val="97"/>
              </w:rPr>
              <w:t>26.5%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first quarter of 2013, we determined that the goodwill for our SCCS reporting unit should be tested for impairment between annual tests since an event occurred or circumstances changed that would more likely than not reduce the fair value of our SCCS reporting unit below its carrying amount. As a result of our analysis, we recorded goodwill impairment charge during of $40.7 million. None of the goodwill impairment charge was deductible for tax purposes. Refer to Note 4 for details of the impairment analysis.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long-lived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long-lived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26.3</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60" w:type="dxa"/>
            <w:vAlign w:val="bottom"/>
          </w:tcPr>
          <w:p>
            <w:pPr>
              <w:ind w:left="340"/>
              <w:spacing w:after="0"/>
              <w:rPr>
                <w:sz w:val="20"/>
                <w:szCs w:val="20"/>
                <w:color w:val="auto"/>
              </w:rPr>
            </w:pPr>
            <w:r>
              <w:rPr>
                <w:rFonts w:ascii="Arial" w:cs="Arial" w:eastAsia="Arial" w:hAnsi="Arial"/>
                <w:sz w:val="18"/>
                <w:szCs w:val="18"/>
                <w:color w:val="auto"/>
                <w:w w:val="97"/>
              </w:rPr>
              <w:t>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impairment of our long-lived assets was the result of changes in the competitive environment for intra-oral scanners which included announcements of new low-priced scanners targeted at Orthodontist and GP Dentist in North America that caused us to lower our expectations for growth and profitability for our SCCS reporting unit. As a result, we determined that the carrying value of the long-lived assets was not recoverable and therefore recorded an impairment charge of $26.3 million. Refer to Note 4 for details of the impairment analysis.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and other income (expense), net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right"/>
              <w:ind w:right="57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income and other expense,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Interest and other income (expense), net, includes interest income earned on cash and investment balances, foreign currency translation gains and losses, and other miscellaneous charges.</w:t>
      </w:r>
    </w:p>
    <w:p>
      <w:pPr>
        <w:spacing w:after="0" w:line="170"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Interest income for the three months ended March 31, 2013 were relatively consistent compared to the same periods in 2012. Other expense for the three months ended March 31, 2013 compared to the same periods in 2012 increased reflecting higher foreign exchange losses.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r>
      <w:tr>
        <w:trPr>
          <w:trHeight w:val="264"/>
        </w:trPr>
        <w:tc>
          <w:tcPr>
            <w:tcW w:w="79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85"/>
              </w:rPr>
              <w:t>Change</w:t>
            </w:r>
          </w:p>
        </w:tc>
      </w:tr>
      <w:tr>
        <w:trPr>
          <w:trHeight w:val="27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7920" w:type="dxa"/>
            <w:vAlign w:val="bottom"/>
          </w:tcPr>
          <w:p>
            <w:pPr>
              <w:ind w:left="40"/>
              <w:spacing w:after="0"/>
              <w:rPr>
                <w:sz w:val="20"/>
                <w:szCs w:val="20"/>
                <w:color w:val="auto"/>
              </w:rPr>
            </w:pPr>
            <w:r>
              <w:rPr>
                <w:rFonts w:ascii="Arial" w:cs="Arial" w:eastAsia="Arial" w:hAnsi="Arial"/>
                <w:sz w:val="18"/>
                <w:szCs w:val="18"/>
                <w:color w:val="auto"/>
              </w:rPr>
              <w:t>Effective tax rates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bl>
    <w:p>
      <w:pPr>
        <w:spacing w:after="0" w:line="22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For the three months ended March 31, 2013 and 2012, the Company's tax expense was $2.9 million and $6.2 million, respectively, representing effective tax rates of (7.5%) and 22.8%. The effective tax rate decreased primarily due to a jurisdictional shift in forecasted earnings from the U.S. to lower-tax non-U.S. jurisdictions, as well as the impact of the impairment of goodwill and long-lived assets for the three months ended March 31, 2013.</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tax expense of $2.9 million for the three months ended March 31, 2013 is comprised primarily of a benefit related to a pre-tax loss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the period offset by income tax expense of $5.8 million related to the impairment of goodwill and long-lived assets. The $5.8 million is comprised of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$9.7 million tax expense due to a non-deductible goodwill impairment charge offset by a $3.9 million tax benefit associated with the impairment of long-lived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1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January 2, 2013, the American Taxpayer Relief Act of 2012 (H.R. 8, as amended) was signed into law. This Act extends the federal research and development credit through December 31, 2013. The federal research and development credit was reinstated retroactively to January 1, 2012. The tax benefit of the federal research and development credit for the twelve months ended December 31, 2012 resulted in a discrete tax benefit of $0.5 million in the first quarter of fiscal year 2013, the period in which the reinstatement was enacted into law.</w:t>
      </w:r>
    </w:p>
    <w:p>
      <w:pPr>
        <w:spacing w:after="0" w:line="1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As of March 31, 2013, we maintain a valuation allowance of $30.0 million against deferred tax assets primarily related to foreign net operating loss carryforwards. These net operating loss carryovers would result in an income tax benefit if we were to conclude it is more likely than not that the related deferred tax assets will be realized.</w:t>
      </w:r>
    </w:p>
    <w:p>
      <w:pPr>
        <w:spacing w:after="0" w:line="26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During the first quarter of fiscal year 2013, the amount of gross unrecognized tax benefits increased by approximately $1.4 million primarily due to current period exposures. The total amount of gross unrecognized tax benefits was $22.1 million as of March 31, 2013, all of which would impact our effective tax rate if realized. We have elected to recognize interest and penalties related to unrecognized tax benefits as a component of income taxes. The change in accrued interest and penalties during the first quarter of fiscal year 2013 was not material. We do not expect any significant changes to the amount of unrecognized tax benefit within the next twelve months.</w:t>
      </w:r>
    </w:p>
    <w:p>
      <w:pPr>
        <w:spacing w:after="0" w:line="26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are subject to taxation in the U.S., and various states and foreign jurisdictions. All of our tax years will be open to examination by the U.S. federal and most state tax authorities due to our net operating loss and overall credit carryforward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position. With few exceptions, we are no longer subject to examination by foreign tax authorities for years before 2006. Our subsidiaries in Israel and Germany are under audit by the local tax authorities for calendar years 2006 through 2011 and 2007 through 2011,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Prior Period Financial Statements</w:t>
      </w:r>
    </w:p>
    <w:p>
      <w:pPr>
        <w:spacing w:after="0" w:line="18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In connection with the preparation of our consolidated financial statements for the third quarter of 2012, we determined that we had not correctly recognized the excess tax benefits related to stock-based awards in the first quarter of 2012.</w:t>
      </w:r>
    </w:p>
    <w:p>
      <w:pPr>
        <w:spacing w:after="0" w:line="130"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In accordance with Staff Accounting Bulletin (SAB) No. 99, “Materiality”, and SAB No. 108, “Considering the Effects of Prior Year Misstatements when Quantifying Misstatements in Current Year Financial Statements”, we evaluated the materiality of the errors from qualitative and quantitative perspectives, and evaluated the quantified errors under both the iron curtain and the roll-over methods. We concluded that the errors were not material to the financial statements for the first quarter of 2012 and revised the presentation of the statement of cash flows for the first quarter of 2012.</w:t>
      </w:r>
    </w:p>
    <w:p>
      <w:pPr>
        <w:spacing w:after="0" w:line="11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tables summarize the effects of the revision on our Condensed Consolidated Statement of Cash Flows. The revision did not impact our Condensed Consolidated Statement of Operations for the first quarter of 2012.</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7"/>
          </w:tcPr>
          <w:p>
            <w:pPr>
              <w:jc w:val="center"/>
              <w:ind w:left="697"/>
              <w:spacing w:after="0"/>
              <w:rPr>
                <w:sz w:val="20"/>
                <w:szCs w:val="20"/>
                <w:color w:val="auto"/>
              </w:rPr>
            </w:pPr>
            <w:r>
              <w:rPr>
                <w:rFonts w:ascii="Arial" w:cs="Arial" w:eastAsia="Arial" w:hAnsi="Arial"/>
                <w:sz w:val="14"/>
                <w:szCs w:val="14"/>
                <w:b w:val="1"/>
                <w:bCs w:val="1"/>
                <w:color w:val="auto"/>
                <w:w w:val="95"/>
              </w:rPr>
              <w:t>Three Months Ended March 31, 2012</w:t>
            </w:r>
          </w:p>
        </w:tc>
        <w:tc>
          <w:tcPr>
            <w:tcW w:w="960" w:type="dxa"/>
            <w:vAlign w:val="bottom"/>
          </w:tcPr>
          <w:p>
            <w:pPr>
              <w:spacing w:after="0"/>
              <w:rPr>
                <w:sz w:val="16"/>
                <w:szCs w:val="16"/>
                <w:color w:val="auto"/>
              </w:rPr>
            </w:pPr>
          </w:p>
        </w:tc>
      </w:tr>
      <w:tr>
        <w:trPr>
          <w:trHeight w:val="276"/>
        </w:trPr>
        <w:tc>
          <w:tcPr>
            <w:tcW w:w="7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7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Previously Reported</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22"/>
                <w:szCs w:val="22"/>
                <w:color w:val="auto"/>
              </w:rPr>
            </w:pPr>
          </w:p>
        </w:tc>
        <w:tc>
          <w:tcPr>
            <w:tcW w:w="96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As Revised</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Cash Flows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15,424</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7,381</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14,291</w:t>
            </w:r>
          </w:p>
        </w:tc>
      </w:tr>
      <w:tr>
        <w:trPr>
          <w:trHeight w:val="243"/>
        </w:trPr>
        <w:tc>
          <w:tcPr>
            <w:tcW w:w="7080" w:type="dxa"/>
            <w:vAlign w:val="bottom"/>
          </w:tcPr>
          <w:p>
            <w:pPr>
              <w:ind w:left="120"/>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Pr>
          <w:p>
            <w:pPr>
              <w:spacing w:after="0"/>
              <w:rPr>
                <w:sz w:val="21"/>
                <w:szCs w:val="21"/>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(16,314)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(16,314)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right="60" w:firstLine="432"/>
        <w:spacing w:after="0" w:line="277" w:lineRule="auto"/>
        <w:rPr>
          <w:sz w:val="20"/>
          <w:szCs w:val="20"/>
          <w:color w:val="auto"/>
        </w:rPr>
      </w:pPr>
      <w:r>
        <w:rPr>
          <w:rFonts w:ascii="Arial" w:cs="Arial" w:eastAsia="Arial" w:hAnsi="Arial"/>
          <w:sz w:val="18"/>
          <w:szCs w:val="18"/>
          <w:color w:val="auto"/>
        </w:rPr>
        <w:t>We fund our operations from product sales and the proceeds from the sale of our common stock. As of March 31, 2013 and December 31, 2012, we had the following cash and cash equivalents, and short-term and long-term investments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ind w:left="140"/>
              <w:spacing w:after="0"/>
              <w:rPr>
                <w:sz w:val="20"/>
                <w:szCs w:val="20"/>
                <w:color w:val="auto"/>
              </w:rPr>
            </w:pPr>
            <w:r>
              <w:rPr>
                <w:rFonts w:ascii="Arial" w:cs="Arial" w:eastAsia="Arial" w:hAnsi="Arial"/>
                <w:sz w:val="14"/>
                <w:szCs w:val="14"/>
                <w:b w:val="1"/>
                <w:bCs w:val="1"/>
                <w:color w:val="auto"/>
              </w:rPr>
              <w:t>March 31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328,745</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306,386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Marketable securities, short-term</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37,975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28,485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10,680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21,252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377,400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356,123</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thousands):</w:t>
            </w: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center"/>
              <w:ind w:right="154"/>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8"/>
              </w:rPr>
              <w:t>2012 (revised)</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 :</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10,418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(37,995)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15,423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14,291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Effects of exchange rate changes on cash and cash equivalents</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22,359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As of March 31, 2013 we had $328.7 million of cash, cash equivalents, and marketable securities. Cash equivalents and marketable securities are comprised of money market funds and debt instruments which include commercial paper, corporate bonds, and foreign bonds.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As of March 31, 2013, approximately $152.4 million of cash and cash equivalents was held by our foreign subsidiaries. Amounts held by foreign subsidiaries are generally subject to U.S. income taxation on repatriation to the U.S. Such earnings that are intended to be permanently reinvested outside of the U.S. are not subject to U.S. income taxation.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Activities</w:t>
      </w:r>
    </w:p>
    <w:p>
      <w:pPr>
        <w:spacing w:after="0" w:line="162"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For the three months ended March 31, 2013, cash flows from operations of $10.4 million resulted primarily from our net loss of approximately $42.0 million and the following reasons: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Non-cash activities</w:t>
      </w:r>
    </w:p>
    <w:p>
      <w:pPr>
        <w:spacing w:after="0" w:line="158"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of goodwill was $40.7 million.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of Long Lived Assets was $26.3 million.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Excess tax benefits from our share-based payments were $7.7 million.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 expense was $6.4 million related to equity incentive compensation granted to employees.</w:t>
      </w:r>
    </w:p>
    <w:p>
      <w:pPr>
        <w:spacing w:after="0" w:line="171" w:lineRule="exact"/>
        <w:rPr>
          <w:rFonts w:ascii="Arial" w:cs="Arial" w:eastAsia="Arial" w:hAnsi="Arial"/>
          <w:sz w:val="18"/>
          <w:szCs w:val="18"/>
          <w:color w:val="auto"/>
        </w:rPr>
      </w:pPr>
    </w:p>
    <w:p>
      <w:pPr>
        <w:ind w:left="980" w:right="140" w:hanging="486"/>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amortization, and the amortization of intangibles were $5.0 million including the impact of the acquired assets and intangible assets resulting from the Cadent acquisition as well as the additional fixed assets that were placed into service in our new Juarez facility during the first half of 2012.</w:t>
      </w:r>
    </w:p>
    <w:p>
      <w:pPr>
        <w:spacing w:after="0" w:line="12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Recovery of allowance for doubtful accounts and returns were $1.2 million.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Release of Deferred taxes were $0.9 million primarily due to the utilization of our deferred tax assets.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working capital</w:t>
      </w:r>
    </w:p>
    <w:p>
      <w:pPr>
        <w:spacing w:after="0" w:line="158" w:lineRule="exact"/>
        <w:rPr>
          <w:sz w:val="20"/>
          <w:szCs w:val="20"/>
          <w:color w:val="auto"/>
        </w:rPr>
      </w:pPr>
    </w:p>
    <w:p>
      <w:pPr>
        <w:ind w:left="980" w:right="2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receivable increased by $9.2 million due to the increase in net revenues during the first quarter of 2013. reducing our cash inflow from operations.</w:t>
      </w:r>
    </w:p>
    <w:p>
      <w:pPr>
        <w:spacing w:after="0" w:line="116" w:lineRule="exact"/>
        <w:rPr>
          <w:rFonts w:ascii="Arial" w:cs="Arial" w:eastAsia="Arial" w:hAnsi="Arial"/>
          <w:sz w:val="18"/>
          <w:szCs w:val="18"/>
          <w:color w:val="auto"/>
        </w:rPr>
      </w:pPr>
    </w:p>
    <w:p>
      <w:pPr>
        <w:ind w:left="980" w:right="32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Prepaid expenses and other assets increased $0.6 million primarily due to the timing of sales and marketing events, reducing our cash inflow from operations.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payable increased by $1.6 million during the first quarter of 2013, increasing our cash inflow from operating activities.</w:t>
      </w:r>
    </w:p>
    <w:p>
      <w:pPr>
        <w:spacing w:after="0" w:line="171" w:lineRule="exact"/>
        <w:rPr>
          <w:rFonts w:ascii="Arial" w:cs="Arial" w:eastAsia="Arial" w:hAnsi="Arial"/>
          <w:sz w:val="18"/>
          <w:szCs w:val="18"/>
          <w:color w:val="auto"/>
        </w:rPr>
      </w:pPr>
    </w:p>
    <w:p>
      <w:pPr>
        <w:ind w:left="980" w:right="18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Accrued and other long-term liabilities decreased by $7.9 million primarily due to the payments of our incentive compensation during the first quarter of 2013, reducing our cash inflow from operating activities.</w:t>
      </w:r>
    </w:p>
    <w:p>
      <w:pPr>
        <w:spacing w:after="0" w:line="116" w:lineRule="exact"/>
        <w:rPr>
          <w:rFonts w:ascii="Arial" w:cs="Arial" w:eastAsia="Arial" w:hAnsi="Arial"/>
          <w:sz w:val="18"/>
          <w:szCs w:val="18"/>
          <w:color w:val="auto"/>
        </w:rPr>
      </w:pPr>
    </w:p>
    <w:p>
      <w:pPr>
        <w:ind w:left="980" w:right="42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Deferred revenues decreased by $1.5 million primarily due to the release of revenue previously reserved for the new iTero scanner upgrade program during the first quarter of 2013, decreasing our cash inflow from operating activities.</w:t>
      </w:r>
    </w:p>
    <w:p>
      <w:pPr>
        <w:spacing w:after="0" w:line="197"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For the three months ended March 31, 2012, cash flows from operations of approximately $7.3 million resulted primarily from our net income of approximately $21.0 million and the following reasons: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non-cash activities</w:t>
      </w:r>
    </w:p>
    <w:p>
      <w:pPr>
        <w:spacing w:after="0" w:line="90" w:lineRule="exact"/>
        <w:rPr>
          <w:sz w:val="20"/>
          <w:szCs w:val="20"/>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Excess tax benefits from our share-based payments were $8.0 million.</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Deferred taxes were approximately $4.7 million primarily due to the utilization of our deferred tax assets.</w:t>
      </w:r>
    </w:p>
    <w:p>
      <w:pPr>
        <w:spacing w:after="0" w:line="90" w:lineRule="exact"/>
        <w:rPr>
          <w:rFonts w:ascii="Arial" w:cs="Arial" w:eastAsia="Arial" w:hAnsi="Arial"/>
          <w:sz w:val="18"/>
          <w:szCs w:val="18"/>
          <w:color w:val="auto"/>
        </w:rPr>
      </w:pPr>
    </w:p>
    <w:p>
      <w:pPr>
        <w:ind w:left="880" w:hanging="359"/>
        <w:spacing w:after="0" w:line="26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Depreciation, amortization, and the amortization of intangibles were approximately $3.9 million including the impact of the acquired assets and intangible assets resulting from the Cadent acquisition as well as the additional fixed assets that were placed into service in our new Juarez facility during the quarter.</w:t>
      </w:r>
    </w:p>
    <w:p>
      <w:pPr>
        <w:spacing w:after="0" w:line="46"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 expense was approximately $4.9 million related to equity incentive compensation granted to employees.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non-cash activities including the recovery from doubtful accounts and the loss on the retirement/disposal of our fixed assets of $0.1 million.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working capital</w:t>
      </w:r>
    </w:p>
    <w:p>
      <w:pPr>
        <w:spacing w:after="0" w:line="144" w:lineRule="exact"/>
        <w:rPr>
          <w:sz w:val="20"/>
          <w:szCs w:val="20"/>
          <w:color w:val="auto"/>
        </w:rPr>
      </w:pPr>
    </w:p>
    <w:p>
      <w:pPr>
        <w:ind w:left="880" w:right="820" w:hanging="359"/>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Accrued and other long-term liabilities decreased by $9.2 million primarily due to the payments of our annual incentive compensation, commission-related costs and sales rebate costs, reducing our cash inflow from operating activities.</w:t>
      </w:r>
    </w:p>
    <w:p>
      <w:pPr>
        <w:spacing w:after="0" w:line="35" w:lineRule="exact"/>
        <w:rPr>
          <w:rFonts w:ascii="Arial" w:cs="Arial" w:eastAsia="Arial" w:hAnsi="Arial"/>
          <w:sz w:val="18"/>
          <w:szCs w:val="18"/>
          <w:color w:val="auto"/>
        </w:rPr>
      </w:pPr>
    </w:p>
    <w:p>
      <w:pPr>
        <w:ind w:left="880" w:right="100" w:hanging="359"/>
        <w:spacing w:after="0" w:line="264"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Inventories increased by $4.0 million which was primarily due to increased purchases of raw materials purchased for our intra-oral scanner products as we increased production volumes in preparation for the move into our new facility in Israel, reducing our cash inflow from operating activities.</w:t>
      </w:r>
    </w:p>
    <w:p>
      <w:pPr>
        <w:spacing w:after="0" w:line="46" w:lineRule="exact"/>
        <w:rPr>
          <w:rFonts w:ascii="Arial" w:cs="Arial" w:eastAsia="Arial" w:hAnsi="Arial"/>
          <w:sz w:val="18"/>
          <w:szCs w:val="18"/>
          <w:color w:val="auto"/>
        </w:rPr>
      </w:pPr>
    </w:p>
    <w:p>
      <w:pPr>
        <w:ind w:left="880" w:hanging="359"/>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Accounts receivable increased by $2.4 million due to the increase in net revenues during the first quarter, reducing our cash inflow from operating activities.</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Accounts payable decreased by $3.6 million during the first quarter, reducing our cash inflow from operating activities.</w:t>
      </w:r>
    </w:p>
    <w:p>
      <w:pPr>
        <w:spacing w:after="0" w:line="90" w:lineRule="exact"/>
        <w:rPr>
          <w:rFonts w:ascii="Arial" w:cs="Arial" w:eastAsia="Arial" w:hAnsi="Arial"/>
          <w:sz w:val="18"/>
          <w:szCs w:val="18"/>
          <w:color w:val="auto"/>
        </w:rPr>
      </w:pPr>
    </w:p>
    <w:p>
      <w:pPr>
        <w:ind w:left="880" w:right="120" w:hanging="359"/>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Prepaid expenses and other assets increased $1.5 million primarily due to the timing of software license and insurance policy renewals, reducing our cash inflow from operations.</w:t>
      </w:r>
    </w:p>
    <w:p>
      <w:pPr>
        <w:spacing w:after="0" w:line="35" w:lineRule="exact"/>
        <w:rPr>
          <w:rFonts w:ascii="Arial" w:cs="Arial" w:eastAsia="Arial" w:hAnsi="Arial"/>
          <w:sz w:val="18"/>
          <w:szCs w:val="18"/>
          <w:color w:val="auto"/>
        </w:rPr>
      </w:pPr>
    </w:p>
    <w:p>
      <w:pPr>
        <w:ind w:left="880" w:right="440" w:hanging="359"/>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Deferred revenues increased by $1.8 million primarily due to higher sales during the first quarter, increasing our cash inflow from operating activities.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Investing Activities</w:t>
      </w:r>
    </w:p>
    <w:p>
      <w:pPr>
        <w:spacing w:after="0" w:line="162"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Net cash used in investing activities was $3.4 million for the three months ended March 31, 2013 primarily consisted of our purchase of property and equipment of $5.6 million and marketable securities of $3.3 million. These costs were partially offset by $4.4 million of maturities of our marketable securities and the release of $1.1 million of funds we hold related to unclaimed merger consideration for the acquisition of Cadent on April 29, 2011.</w:t>
      </w:r>
    </w:p>
    <w:p>
      <w:pPr>
        <w:spacing w:after="0" w:line="12" w:lineRule="exact"/>
        <w:rPr>
          <w:sz w:val="20"/>
          <w:szCs w:val="20"/>
          <w:color w:val="auto"/>
        </w:rPr>
      </w:pPr>
    </w:p>
    <w:p>
      <w:pPr>
        <w:jc w:val="both"/>
        <w:ind w:right="520" w:firstLine="432"/>
        <w:spacing w:after="0" w:line="264" w:lineRule="auto"/>
        <w:rPr>
          <w:sz w:val="20"/>
          <w:szCs w:val="20"/>
          <w:color w:val="auto"/>
        </w:rPr>
      </w:pPr>
      <w:r>
        <w:rPr>
          <w:rFonts w:ascii="Arial" w:cs="Arial" w:eastAsia="Arial" w:hAnsi="Arial"/>
          <w:sz w:val="18"/>
          <w:szCs w:val="18"/>
          <w:color w:val="auto"/>
        </w:rPr>
        <w:t>Net cash used in investing activities was $38.0 million for the three months ended March 31, 2012 primarily consisted of purchase of marketable securities of 28.2 million and property and equipment purchases of $12.6 million. These costs were partially offset by $2.8 million of maturities of our marketable securities.</w:t>
      </w:r>
    </w:p>
    <w:p>
      <w:pPr>
        <w:spacing w:after="0" w:line="18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Although we believe our current investment portfolio has little risk of impairment, we cannot predict future market conditions or market liquidity and can provide no assurance that our investment portfolio will remain unimpaired.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Net cash provided by financing activities was $15.4 million for the three months ended March 31, 2013 primarily resulting from $13.3 million in proceeds from the issuance of our common stock and $7.7 million from excess tax benefit from our share-based payment arrangements. These were partially offset by $2.4 million of common stock repurchases and $3.1 million of taxes paid for our employees' vesting of restricted stock units.</w:t>
      </w:r>
    </w:p>
    <w:p>
      <w:pPr>
        <w:spacing w:after="0" w:line="247"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Net cash provided by financing activities was $14.3 million for the three months ended March 31, 2012 primarily resulting in $10.2 million in proceeds from the issuance of our common stock and $8.0 million from excess tax benefit from our share-based payment arrangements, which were partially offset by $2.5 million of common stock repurchases and $1.4 million of taxes paid for our employees' vesting of restricted stock units.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w:t>
      </w:r>
    </w:p>
    <w:p>
      <w:pPr>
        <w:spacing w:after="0" w:line="162"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On October 27, 2011, we announced that our Board of Directors approved a stock repurchase program pursuant to which we may repurchase up to $150.0 million of common stock subject to market conditions, share price and other considerations. Purchases under the stock repurchase program may be made from time to time in the open market. As of March 31, 2013, there remains approximately $92.6 million available under our existing stock repurchase authorization.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believe that our current cash and cash equivalents combined with our existing borrowing capacity will be sufficient to fund our operations for at least the next 12 months. If we are unable to generate adequate operating cash flows, we may need to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As of March 31, 2013, we had no off-balance sheet arrangements that have, or are reasonably likely to have, a current or future material effect on our consolidated financial condition,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Provisions</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19"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March 31, 2013,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condensed consolidated financial statements requires our management to make estimates and judgments that affect the reported amounts of assets and liabilities, net revenues and expenses and disclosures at the date of the financial statements. We evaluate our estimates on an on-going basis, including those related to revenue recognition, accounts receivable, intangible assets, legal contingencies, impairment of goodwill and income taxes. We use authoritative pronouncements, historical experience and other assumptions as the basis for making estimates. Actual results could differ from those estimates.</w:t>
      </w:r>
    </w:p>
    <w:p>
      <w:pPr>
        <w:spacing w:after="0" w:line="165"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believe the following critical accounting policies reflect our most significant estimates, judgments and assumptions used in the preparation of our consolidated financial statements. These critical accounting policies and related disclosures appear in our Annual Report on Form 10-K for the year ended December 31, 2012.</w:t>
      </w:r>
    </w:p>
    <w:p>
      <w:pPr>
        <w:spacing w:after="0" w:line="114"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Long-lived assets, including finite-lived purchased intangible assets;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Deferred tax valuation allowance;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Goodwill;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goodwill and long-lived assets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See Note 1 “Summary of Significant Accounting Policies” of the Notes to Condensed Consolidated Financial Statements for a discussion of recent accounting pronouncements.</w:t>
      </w:r>
    </w:p>
    <w:p>
      <w:pPr>
        <w:spacing w:after="0" w:line="200" w:lineRule="exact"/>
        <w:rPr>
          <w:sz w:val="20"/>
          <w:szCs w:val="20"/>
          <w:color w:val="auto"/>
        </w:rPr>
      </w:pPr>
    </w:p>
    <w:p>
      <w:pPr>
        <w:spacing w:after="0" w:line="21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4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us, see Item 7A, “Quantitative and Qualitative Disclosures About Market Risk,” in our Annual Report on Form 10-K for the year ended December 31, 2012, which is incorporated herein by reference. Our exposure to market risk has not changed materially since December 31, 2012.</w:t>
      </w:r>
    </w:p>
    <w:p>
      <w:pPr>
        <w:spacing w:after="0" w:line="20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March 31, 2013,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 rules and forms.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President and Chief Executive Officer, and Kenneth B. Arola (“Mr. Arola”), Align's former Vice President, Finance and Chief Financial Officer, in the United States District Court for the Northern District of California on behalf of a purported class of purchasers of our common stock between April 23, 2012 and October 17, 2012 ( the "Securities Action"). The complaint alleges that Align, Mr. Prescott and Mr. Arola violated Section 10(b) of the Securities Exchange Act of 1934 and Rule 10b-5 promulgated thereunder, and that Mr. Prescott and Mr. Arola violated Section 20(a) of the Securities Exchange Act of 1934. Specifically, the complaint alleges that during the purported class period our reported income and earnings were materially overstated because of a failure to timely write down goodwill related to the April 29, 2011 acquisition of Cadent Holdings, Inc., and that defendants made allegedly false statements concerning our forecasts. The complaint seeks monetary damages in an unspecified amount, costs and attorney's fees. The hearing on the motion for appointment of lead plaintiff is currently scheduled for May 30th, 2013. Align intends to vigorously defend itself against these allegations. Align is currently unable to predict the outcome of this complaint and therefore cannot determine the likelihood of loss nor estimate a range of possible loss.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allegations in the complaint are similar to those presented in the Securities Action, but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Align intends to vigorously defend itself against these allegations. Align is currently unable to predict the outcome of this complaint and therefore cannot determine the likelihood of loss nor estimate a range of possible losses.</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16"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ind w:right="300" w:firstLine="216"/>
        <w:spacing w:after="0" w:line="264"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a continued weakness in general economic conditions, or a decline in average selling prices would adversely affect net revenues, gross margin and net income.</w:t>
      </w:r>
    </w:p>
    <w:p>
      <w:pPr>
        <w:spacing w:after="0" w:line="11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our operating results would be harmed.</w:t>
      </w:r>
    </w:p>
    <w:p>
      <w:pPr>
        <w:spacing w:after="0" w:line="105" w:lineRule="exact"/>
        <w:rPr>
          <w:sz w:val="20"/>
          <w:szCs w:val="20"/>
          <w:color w:val="auto"/>
        </w:rPr>
      </w:pPr>
    </w:p>
    <w:p>
      <w:pPr>
        <w:ind w:right="100" w:firstLine="216"/>
        <w:spacing w:after="0" w:line="277" w:lineRule="auto"/>
        <w:rPr>
          <w:sz w:val="20"/>
          <w:szCs w:val="20"/>
          <w:color w:val="auto"/>
        </w:rPr>
      </w:pPr>
      <w:r>
        <w:rPr>
          <w:rFonts w:ascii="Arial" w:cs="Arial" w:eastAsia="Arial" w:hAnsi="Arial"/>
          <w:sz w:val="18"/>
          <w:szCs w:val="18"/>
          <w:b w:val="1"/>
          <w:bCs w:val="1"/>
          <w:i w:val="1"/>
          <w:iCs w:val="1"/>
          <w:color w:val="auto"/>
        </w:rPr>
        <w:t>Demand for our products may not increase as rapidly as we anticipate due to a variety of factors including a continued weakness in general economic conditions.</w:t>
      </w:r>
    </w:p>
    <w:p>
      <w:pPr>
        <w:spacing w:after="0" w:line="10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consumer spending habits which may, among other things, result in a decrease in the number of overall orthodontic case starts, reduced the patient traffic in dentists’ offices, reduction in consumer spending on higher value procedures or a reduction in the demand for dental services generally, each of which would have a material adverse effect on our sales and operating results. Continued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treatment of malocclusion, but a number of dental professionals believe that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w:t>
      </w:r>
    </w:p>
    <w:p>
      <w:pPr>
        <w:spacing w:after="0" w:line="158"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In response to challenges in our business, including increased competition, we have in the past reduced the list price of our products. We also provide volume based discount programs to our doctors. In addition, we sell a number of products at different list prices. If we introduce any price reductions, or consumer rebate programs; if we expand our discount programs in the future, or participation in these programs increases; if our product mix shifts to lower priced products or products that have a higher percentage of deferred revenue; or if sales by our distributors grows at a faster pace than our direct sales, our average selling price would be adversely affected and our net revenues, gross margin and net income may be reduced. Furthermore, although the U.S. dollar is our reporting currency, a portion of our net revenues and income are generated in foreign currencies. Net revenues and income generated by subsidiaries operating outside of the United States are translated into U.S. dollars using exchange rates effective during the respective period and are affected by changes in exchange rates. As a result, negative movements in currency exchange rates against the U.S. dollar will adversely affect our average selling price and consequently the amount of net revenues and income in our consolidated financial statements.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As we continue to grow, we are subject to growth related risks, including risks related to capacity constraints at our existing facilities.</w:t>
      </w:r>
    </w:p>
    <w:p>
      <w:pPr>
        <w:spacing w:after="0" w:line="16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are subject to growth related risks, including capacity constraints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 In addition, in order to meet the demands from expected volumes and continued international expansion, we opened a new manufacturing facility in Juarez, Mexico at the end of 2011. We completed the transition of virtually all our scanner distribution, repair and CAD/CAM services from our New Jersey facility to this facility in Juarez, Mexico in the third quarter of 2012. In addition, in October 2012, we transitioned our intra-oral scanner research and development and manufacturing operations in Or Yehuda, Israel into a new, larger facility in the same city. Expansion can inherently include additional costs and start-up inefficiencies, as well as the inability to successfully integrate additional facilities or incremental capacity and to realize anticipated synergies, economies of scale or other value. Periods of contraction or reduced net sales, or other factors affecting particular sites, create other challenges.</w:t>
      </w:r>
    </w:p>
    <w:p>
      <w:pPr>
        <w:spacing w:after="0" w:line="178" w:lineRule="exact"/>
        <w:rPr>
          <w:sz w:val="20"/>
          <w:szCs w:val="20"/>
          <w:color w:val="auto"/>
        </w:rPr>
      </w:pPr>
    </w:p>
    <w:p>
      <w:pPr>
        <w:ind w:right="60" w:firstLine="477"/>
        <w:spacing w:after="0" w:line="302" w:lineRule="auto"/>
        <w:rPr>
          <w:sz w:val="20"/>
          <w:szCs w:val="20"/>
          <w:color w:val="auto"/>
        </w:rPr>
      </w:pPr>
      <w:r>
        <w:rPr>
          <w:rFonts w:ascii="Arial" w:cs="Arial" w:eastAsia="Arial" w:hAnsi="Arial"/>
          <w:sz w:val="16"/>
          <w:szCs w:val="16"/>
          <w:color w:val="auto"/>
        </w:rPr>
        <w:t>Because we cannot always immediately adapt our production capacity and related cost structures to changing market conditions, our manufacturing capacity may at times exceed or fall short of our production requirements. In addition, if product demand decreases or we fail to forecast demand accurately, we could be required to write off inventory or record excess capacity charges, which would lower our gross margin. Any or all of these problems could result in the loss of customers, provide an opportunity for competing products to gain market acceptance and otherwise harm our business and financial results.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never achieve the anticipated benefits from our acquisitions which may have an adverse effect on our business.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We acquired Cadent Holdings, Inc. in April 2011. We acquired Cadent for their people, their technology and their existing revenue streams such as, OrthoCAD iRecord and OrthoCAD iCast in addition to their intra-oral scanning technology. This acquisition is expected to strengthen our ability to drive adoption of the Invisalign system by integrating Invisalign treatment more fully with mainstream tools and procedures in doctors’ practices. In addition, we believe that the combination of the two companies will help accelerate the use of intra-oral scanning in the dental industry by leveraging Align’s global sales reach, extensive professional and consumer marketing capabilities and large customer base. We completed the acquisition of our Asia-Pacific distributor on April 30, 2013. We may experience difficulties in achieving the anticipated financial or strategic benefits of these acquisitions. Potential risks include:</w:t>
      </w:r>
    </w:p>
    <w:p>
      <w:pPr>
        <w:spacing w:after="0" w:line="165"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slower adoption or lack of acceptance for intra-oral scanning products in general or our chairside features;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increase utilization by integrating Invisalign treatment more fully with intra-oral scanners;</w:t>
      </w:r>
    </w:p>
    <w:p>
      <w:pPr>
        <w:spacing w:after="0" w:line="171" w:lineRule="exact"/>
        <w:rPr>
          <w:rFonts w:ascii="Arial" w:cs="Arial" w:eastAsia="Arial" w:hAnsi="Arial"/>
          <w:sz w:val="18"/>
          <w:szCs w:val="18"/>
          <w:color w:val="auto"/>
        </w:rPr>
      </w:pPr>
    </w:p>
    <w:p>
      <w:pPr>
        <w:ind w:left="980" w:right="62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integrating the technology, operations, internal accounting controls or work force of the acquired business with our existing business;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 resources and focus from ongoing business matters;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retention of key employees following the acquisition;</w:t>
      </w:r>
    </w:p>
    <w:p>
      <w:pPr>
        <w:spacing w:after="0" w:line="171" w:lineRule="exact"/>
        <w:rPr>
          <w:rFonts w:ascii="Arial" w:cs="Arial" w:eastAsia="Arial" w:hAnsi="Arial"/>
          <w:sz w:val="18"/>
          <w:szCs w:val="18"/>
          <w:color w:val="auto"/>
        </w:rPr>
      </w:pPr>
    </w:p>
    <w:p>
      <w:pPr>
        <w:ind w:left="980" w:right="16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changes in the competitive environment, including recent announcements from competitors of new lower-priced scanners which we expect will lengthen the customer evaluation process and may result in price reductions and/or loss of sales;</w:t>
      </w:r>
    </w:p>
    <w:p>
      <w:pPr>
        <w:spacing w:after="0" w:line="116" w:lineRule="exact"/>
        <w:rPr>
          <w:rFonts w:ascii="Arial" w:cs="Arial" w:eastAsia="Arial" w:hAnsi="Arial"/>
          <w:sz w:val="18"/>
          <w:szCs w:val="18"/>
          <w:color w:val="auto"/>
        </w:rPr>
      </w:pPr>
    </w:p>
    <w:p>
      <w:pPr>
        <w:ind w:left="980" w:right="48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dealing with tax, employment, logistics, and other related issues unique to international operations in Israel and the Asia-Pacific region;</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impairment of relationships with employees and customers as a result of the integration;</w:t>
      </w:r>
    </w:p>
    <w:p>
      <w:pPr>
        <w:spacing w:after="0" w:line="171" w:lineRule="exact"/>
        <w:rPr>
          <w:rFonts w:ascii="Arial" w:cs="Arial" w:eastAsia="Arial" w:hAnsi="Arial"/>
          <w:sz w:val="18"/>
          <w:szCs w:val="18"/>
          <w:color w:val="auto"/>
        </w:rPr>
      </w:pPr>
    </w:p>
    <w:p>
      <w:pPr>
        <w:ind w:left="980" w:right="400" w:hanging="486"/>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possible inconsistencies in standards, controls, procedures and policies among the acquired businesses and Align, which may make it more difficult to implement and harmonize worldwide financial reporting, accounting, billing, information technology and other systems;</w:t>
      </w:r>
    </w:p>
    <w:p>
      <w:pPr>
        <w:spacing w:after="0" w:line="69" w:lineRule="exact"/>
        <w:rPr>
          <w:rFonts w:ascii="Arial" w:cs="Arial" w:eastAsia="Arial" w:hAnsi="Arial"/>
          <w:sz w:val="16"/>
          <w:szCs w:val="16"/>
          <w:color w:val="auto"/>
        </w:rPr>
      </w:pPr>
    </w:p>
    <w:p>
      <w:pPr>
        <w:ind w:left="980" w:right="4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large portion of Cadent’s operations are located in Israel, accordingly, any increase in hostilities in the Middle East involving Israel may cause interruption or suspension of business operations without warning; and</w:t>
      </w:r>
    </w:p>
    <w:p>
      <w:pPr>
        <w:spacing w:after="0" w:line="116" w:lineRule="exact"/>
        <w:rPr>
          <w:rFonts w:ascii="Arial" w:cs="Arial" w:eastAsia="Arial" w:hAnsi="Arial"/>
          <w:sz w:val="18"/>
          <w:szCs w:val="18"/>
          <w:color w:val="auto"/>
        </w:rPr>
      </w:pPr>
    </w:p>
    <w:p>
      <w:pPr>
        <w:ind w:left="980" w:right="78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impact on our results of operations and financial condition from acquisition-related charges, further impairment of goodwill, impairment of intangible assets and/or asset impairment charges.</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If we cannot successfully integrate the acquired business with our existing business, our results of operations and financial condition could be adversely affected.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expenses.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weakness in consumer spending as a result of the slowdown in the United States economy and global economies;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relationships with our distributors;</w:t>
      </w:r>
    </w:p>
    <w:p>
      <w:pPr>
        <w:spacing w:after="0" w:line="171" w:lineRule="exact"/>
        <w:rPr>
          <w:rFonts w:ascii="Arial" w:cs="Arial" w:eastAsia="Arial" w:hAnsi="Arial"/>
          <w:sz w:val="18"/>
          <w:szCs w:val="18"/>
          <w:color w:val="auto"/>
        </w:rPr>
      </w:pPr>
    </w:p>
    <w:p>
      <w:pPr>
        <w:ind w:left="980" w:right="18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timing of receipt of case product orders during a given quarter which, given our cycle time and the delay between case receipts and case shipments, could have an impact on which quarter revenue can be recognized;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71" w:lineRule="exact"/>
        <w:rPr>
          <w:rFonts w:ascii="Arial" w:cs="Arial" w:eastAsia="Arial" w:hAnsi="Arial"/>
          <w:sz w:val="18"/>
          <w:szCs w:val="18"/>
          <w:color w:val="auto"/>
        </w:rPr>
      </w:pPr>
    </w:p>
    <w:p>
      <w:pPr>
        <w:ind w:left="980" w:right="62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predict from period to period the number of trainers or the availability of doctors required to complete intra-oral scanner installations, which may impact the timing of when revenue is recognized;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participation in our customer rebate program increases our average selling price will be adversely affected;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980" w:right="28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timing of when revenue is recognized, including as a result of the introduction of new products or promotions or as a result of changes to critical accounting estimates or new accounting pronouncements;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980" w:right="6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980" w:right="20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980" w:right="14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116" w:lineRule="exact"/>
        <w:rPr>
          <w:rFonts w:ascii="Arial" w:cs="Arial" w:eastAsia="Arial" w:hAnsi="Arial"/>
          <w:sz w:val="18"/>
          <w:szCs w:val="18"/>
          <w:color w:val="auto"/>
        </w:rPr>
      </w:pPr>
    </w:p>
    <w:p>
      <w:pPr>
        <w:jc w:val="both"/>
        <w:ind w:left="980" w:right="360" w:hanging="486"/>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w:t>
      </w:r>
    </w:p>
    <w:p>
      <w:pPr>
        <w:spacing w:after="0" w:line="17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future success may depend on our ability to develop, successfully introduce and achieve market acceptance of new products.</w:t>
      </w:r>
    </w:p>
    <w:p>
      <w:pPr>
        <w:spacing w:after="0" w:line="15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87"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17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the Invisalign system. Since it takes approximately 12 to 24 months to treat a patient, our customers may be unwilling to rapidly adopt our new products until they successfully complete at least one case or until more historical clinical results are available.</w:t>
      </w:r>
    </w:p>
    <w:p>
      <w:pPr>
        <w:spacing w:after="0" w:line="178"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Our ability to market and sell new products may also be subject to government regulation, including approval or clearance by the United States Food and Drug Administration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87" w:lineRule="exact"/>
        <w:rPr>
          <w:sz w:val="20"/>
          <w:szCs w:val="20"/>
          <w:color w:val="auto"/>
        </w:rPr>
      </w:pPr>
    </w:p>
    <w:p>
      <w:pPr>
        <w:ind w:right="200"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key production steps are performed in operations located outside of the U.S. At our facility in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In addition to the research and development efforts conducted in our San Jose, California facility, we also carry out research and development at locations in San Jose, Costa Rica and Moscow, Russia. In addition, our customer-care, accounts receivable, credit and collections and customer event registration organizations are located at our facility in Costa Rica. We also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have operations in Israel where the design and wand assembly, intra-oral scanner manufacturing and digital modeling of our intra-oral scanners occurs. Our reliance on international operations exposes us to risks and uncertainties that may affect our business or results of operation, including:</w:t>
      </w:r>
    </w:p>
    <w:p>
      <w:pPr>
        <w:spacing w:after="0" w:line="147" w:lineRule="exact"/>
        <w:rPr>
          <w:sz w:val="20"/>
          <w:szCs w:val="20"/>
          <w:color w:val="auto"/>
        </w:rPr>
      </w:pPr>
    </w:p>
    <w:p>
      <w:pPr>
        <w:ind w:left="980" w:right="40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managing international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increased levels of violence in Juarez, Mexico or the Middle East;</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71" w:lineRule="exact"/>
        <w:rPr>
          <w:rFonts w:ascii="Arial" w:cs="Arial" w:eastAsia="Arial" w:hAnsi="Arial"/>
          <w:sz w:val="18"/>
          <w:szCs w:val="18"/>
          <w:color w:val="auto"/>
        </w:rPr>
      </w:pPr>
    </w:p>
    <w:p>
      <w:pPr>
        <w:ind w:left="980" w:right="16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or material transportation delays or disruption, including as a result of health epidemics restricting travel to and from our international locations or as a result of natural disasters, such as earthquakes or volcanic eruptions;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As a result of these sales operations, we face a variety of risks, including</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transfer of funds, including with respect to restrictions on our ability to repatriate foreign cash to the United States at favorable tax rates;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Any of these factors, either individually or in combination, could materially impact our international operations and adversely affect our business as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whole.</w:t>
      </w:r>
    </w:p>
    <w:p>
      <w:pPr>
        <w:spacing w:after="0" w:line="211" w:lineRule="exact"/>
        <w:rPr>
          <w:sz w:val="20"/>
          <w:szCs w:val="20"/>
          <w:color w:val="auto"/>
        </w:rPr>
      </w:pPr>
    </w:p>
    <w:p>
      <w:pPr>
        <w:jc w:val="both"/>
        <w:ind w:right="540" w:firstLine="216"/>
        <w:spacing w:after="0" w:line="312" w:lineRule="auto"/>
        <w:rPr>
          <w:sz w:val="20"/>
          <w:szCs w:val="20"/>
          <w:color w:val="auto"/>
        </w:rPr>
      </w:pPr>
      <w:r>
        <w:rPr>
          <w:rFonts w:ascii="Arial" w:cs="Arial" w:eastAsia="Arial" w:hAnsi="Arial"/>
          <w:sz w:val="16"/>
          <w:szCs w:val="16"/>
          <w:b w:val="1"/>
          <w:bCs w:val="1"/>
          <w:i w:val="1"/>
          <w:iCs w:val="1"/>
          <w:color w:val="auto"/>
        </w:rPr>
        <w:t>A key step in our manufacturing process relies on sophisticated computer technology that requires new technicians to undergo a relatively long training process. If we are unable to accurately predict our volume growth, and fail to hire a sufficient number of technicians in advance of such demand, the delivery time of our products could be delayed which could adversely affect our results of operations.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Training production technicians takes approximately 90 to 120 days. As a result, if we are unable to accurately predict our volume growth, we may not have a sufficient number of trained technicians to deliver our products within the timeframe our customers expect. Such a delay could cause us to lose existing customers or fail to attract new customers. This could cause a decline in our net revenues and net income and could adversely affect our results of operations.</w:t>
      </w:r>
    </w:p>
    <w:p>
      <w:pPr>
        <w:spacing w:after="0" w:line="187" w:lineRule="exact"/>
        <w:rPr>
          <w:sz w:val="20"/>
          <w:szCs w:val="20"/>
          <w:color w:val="auto"/>
        </w:rPr>
      </w:pPr>
    </w:p>
    <w:p>
      <w:pPr>
        <w:ind w:right="740" w:firstLine="216"/>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Our digital dental modeling is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headquarters facility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79" w:lineRule="exact"/>
        <w:rPr>
          <w:sz w:val="20"/>
          <w:szCs w:val="20"/>
          <w:color w:val="auto"/>
        </w:rPr>
      </w:pPr>
    </w:p>
    <w:p>
      <w:pPr>
        <w:ind w:right="160"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03"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Currently, our products compete directly against products manufactured and distributed by various companies, both within and outside the United States. Many of these manufacturers, including Danaher Corporation, 3M, Sirona Dental Systems, Inc. and Dentsply International, have substantially greater financial resources and manufacturing and marketing experience than we do and may, in the future, attempt to develop an orthodontic system similar to ours or combine technologies that make our product economically unattractive. The expiration of key certain patents commencing in 2017 owned by us may result in additional competition.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(losses) and stock price. We cannot assure you that we will be able to compete successfully against our current or future competitors or that competitive pressures will not have a material adverse effect on our business, results of operations and financial condition.</w:t>
      </w:r>
    </w:p>
    <w:p>
      <w:pPr>
        <w:spacing w:after="0" w:line="169" w:lineRule="exact"/>
        <w:rPr>
          <w:sz w:val="20"/>
          <w:szCs w:val="20"/>
          <w:color w:val="auto"/>
        </w:rPr>
      </w:pPr>
    </w:p>
    <w:p>
      <w:pPr>
        <w:ind w:right="100"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03"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develop or procure from third parties may contain defects in design and manufacture, including “bugs” and other problems that can unexpectedly interfere with the operation of the system. The costs to eliminate or alleviate security problems, viruses and bugs could be significant, and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efforts to address these problems could result in interruptions that may have a material adverse impact on our operations, net revenues and operating results.</w:t>
      </w:r>
    </w:p>
    <w:p>
      <w:pPr>
        <w:spacing w:after="0" w:line="248"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We are currently focused on adding more functionality into our business enterprise systems to more efficiently integrate these systems with our other system applications, such as customer facing and manufacturing tools, and intend to continue this effort for the foreseeable future. 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54" w:lineRule="exact"/>
        <w:rPr>
          <w:sz w:val="20"/>
          <w:szCs w:val="20"/>
          <w:color w:val="auto"/>
        </w:rPr>
      </w:pPr>
    </w:p>
    <w:p>
      <w:pPr>
        <w:ind w:right="320" w:firstLine="432"/>
        <w:spacing w:after="0" w:line="297" w:lineRule="auto"/>
        <w:rPr>
          <w:sz w:val="20"/>
          <w:szCs w:val="20"/>
          <w:color w:val="auto"/>
        </w:rPr>
      </w:pPr>
      <w:r>
        <w:rPr>
          <w:rFonts w:ascii="Arial" w:cs="Arial" w:eastAsia="Arial" w:hAnsi="Arial"/>
          <w:sz w:val="16"/>
          <w:szCs w:val="16"/>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5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8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87" w:lineRule="exact"/>
        <w:rPr>
          <w:sz w:val="20"/>
          <w:szCs w:val="20"/>
          <w:color w:val="auto"/>
        </w:rPr>
      </w:pPr>
    </w:p>
    <w:p>
      <w:pPr>
        <w:ind w:right="100"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ind w:right="280" w:firstLine="432"/>
        <w:spacing w:after="0" w:line="255"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193" w:lineRule="exact"/>
        <w:rPr>
          <w:sz w:val="20"/>
          <w:szCs w:val="20"/>
          <w:color w:val="auto"/>
        </w:rPr>
      </w:pPr>
    </w:p>
    <w:p>
      <w:pPr>
        <w:ind w:right="500" w:firstLine="216"/>
        <w:spacing w:after="0" w:line="264" w:lineRule="auto"/>
        <w:rPr>
          <w:sz w:val="20"/>
          <w:szCs w:val="20"/>
          <w:color w:val="auto"/>
        </w:rPr>
      </w:pPr>
      <w:r>
        <w:rPr>
          <w:rFonts w:ascii="Arial" w:cs="Arial" w:eastAsia="Arial" w:hAnsi="Arial"/>
          <w:sz w:val="18"/>
          <w:szCs w:val="18"/>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114"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March 31, 2013, we had issued 289 U.S. patents, 138 pending U.S. patent applications, and 231 foreign issued patents, and 130 pending foreign patent applications.</w:t>
      </w:r>
    </w:p>
    <w:p>
      <w:pPr>
        <w:spacing w:after="0" w:line="166"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9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81" w:lineRule="exact"/>
        <w:rPr>
          <w:sz w:val="20"/>
          <w:szCs w:val="20"/>
          <w:color w:val="auto"/>
        </w:rPr>
      </w:pPr>
    </w:p>
    <w:p>
      <w:pPr>
        <w:jc w:val="both"/>
        <w:ind w:right="280"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1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to future periods is subject to the risk that our controls may become inadequate because of changes in conditions, and, as a result, the degree of compliance of our internal control over financial reporting with the policies or procedures may deteriorate.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252" w:lineRule="exact"/>
        <w:rPr>
          <w:sz w:val="20"/>
          <w:szCs w:val="20"/>
          <w:color w:val="auto"/>
        </w:rPr>
      </w:pPr>
    </w:p>
    <w:p>
      <w:pPr>
        <w:ind w:firstLine="243"/>
        <w:spacing w:after="0" w:line="255" w:lineRule="auto"/>
        <w:rPr>
          <w:sz w:val="20"/>
          <w:szCs w:val="20"/>
          <w:color w:val="auto"/>
        </w:rPr>
      </w:pPr>
      <w:r>
        <w:rPr>
          <w:rFonts w:ascii="Arial" w:cs="Arial" w:eastAsia="Arial" w:hAnsi="Arial"/>
          <w:sz w:val="18"/>
          <w:szCs w:val="18"/>
          <w:color w:val="auto"/>
        </w:rPr>
        <w:t>Under Generally Accepted Accounting Principles in the United States (“U.S. GAAP”), we review our goodwill and asset group for impairment when events or changes in circumstances indicate the carrying value may not be recoverable. Additionally, goodwill is required to be tested for impairment at least annually. The valuations used to determine the fair values used to test goodwill and the undiscounted cash flows used to evaluate the recoverability of the asset group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216" w:lineRule="exact"/>
        <w:rPr>
          <w:sz w:val="20"/>
          <w:szCs w:val="20"/>
          <w:color w:val="auto"/>
        </w:rPr>
      </w:pPr>
    </w:p>
    <w:p>
      <w:pPr>
        <w:jc w:val="both"/>
        <w:ind w:right="20" w:firstLine="243"/>
        <w:spacing w:after="0" w:line="302" w:lineRule="auto"/>
        <w:rPr>
          <w:sz w:val="20"/>
          <w:szCs w:val="20"/>
          <w:color w:val="auto"/>
        </w:rPr>
      </w:pPr>
      <w:r>
        <w:rPr>
          <w:rFonts w:ascii="Arial" w:cs="Arial" w:eastAsia="Arial" w:hAnsi="Arial"/>
          <w:sz w:val="16"/>
          <w:szCs w:val="16"/>
          <w:color w:val="auto"/>
        </w:rPr>
        <w:t>Recent changes in the competitive environment, including announcements in March 2013 of new lower-priced scanners targeted at Orthodontists and GPs in North America caused us to lower our expectations for growth and profitability for scanner and CAD/CAM services business. As a result, we conducted an impairment analysis of long-lived assets and goodwill related to the SCCS reporting unit. Based on these analyses, we recorded a $26.3 million impairment of our long-lived assets and $40.7 million impairment of goodwill. The $40.7 million represents the remaining goodwill balance in the SCCS reporting unit.</w:t>
      </w:r>
    </w:p>
    <w:p>
      <w:pPr>
        <w:spacing w:after="0" w:line="181" w:lineRule="exact"/>
        <w:rPr>
          <w:sz w:val="20"/>
          <w:szCs w:val="20"/>
          <w:color w:val="auto"/>
        </w:rPr>
      </w:pPr>
    </w:p>
    <w:p>
      <w:pPr>
        <w:ind w:right="480"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97"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 We had two executive departures in fiscal 2012 and we recently announced the departure of our Chief Financial Officer effective March 4, 2013. While we have since hired replacements for the 2012 departures and are currently conducting a search for a new CFO, there is always risk of uncertainty and instability relating to our ability to find highly qualified successors for certain executive positions and to transition the duties and responsibilities of any departing key executive in an orderly manner. In addition, our ability to recognize revenue on the direct sales of our intra-oral scanners depends in part upon our ability to schedule and staff trainings. The loss of the services provided by these individuals or our ability to timely hire such personnel in sufficient numbers based on our volume growth, may harm our business. If we are unable to retain our trainers or replace such individuals with persons having equivalent technical expertise and qualifications, or if we are unable to successfully instill such technical expertise in newly hired personnel or accurately predict the number of such personnel needed, our net revenues could be materially harmed.</w:t>
      </w:r>
    </w:p>
    <w:p>
      <w:pPr>
        <w:spacing w:after="0" w:line="220" w:lineRule="exact"/>
        <w:rPr>
          <w:sz w:val="20"/>
          <w:szCs w:val="20"/>
          <w:color w:val="auto"/>
        </w:rPr>
      </w:pPr>
    </w:p>
    <w:p>
      <w:pPr>
        <w:ind w:right="260" w:firstLine="203"/>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14" w:lineRule="exact"/>
        <w:rPr>
          <w:sz w:val="20"/>
          <w:szCs w:val="20"/>
          <w:color w:val="auto"/>
        </w:rPr>
      </w:pPr>
    </w:p>
    <w:p>
      <w:pPr>
        <w:ind w:right="180" w:firstLine="216"/>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9"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all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88" w:lineRule="exact"/>
        <w:rPr>
          <w:sz w:val="20"/>
          <w:szCs w:val="20"/>
          <w:color w:val="auto"/>
        </w:rPr>
      </w:pPr>
    </w:p>
    <w:p>
      <w:pPr>
        <w:ind w:right="160"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rely on a third party manufacturer in Israel to assemble our iTero scanner. As a result, if this third party manufacturer fails to deliver its components or if we lose its services,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that results in delays in our fulfillment of customer orders may cause us to lose revenues and suffer damage to our customer relationships.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We primarily rely on our direct sales force to sell our products, and any failure to maintain our direct sales force could harm our business.</w:t>
      </w:r>
    </w:p>
    <w:p>
      <w:pPr>
        <w:spacing w:after="0" w:line="16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ability to sell our products and generate revenues primarily depends upon our direct sales force within our North American and international markets. As of March 31, 2013, our North American sales organization consisted of approximately 245 people. Internationally, we had approximately 85 people engaged in sales and sales support as of March 31, 2013.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82" w:lineRule="exact"/>
        <w:rPr>
          <w:sz w:val="20"/>
          <w:szCs w:val="20"/>
          <w:color w:val="auto"/>
        </w:rPr>
      </w:pPr>
    </w:p>
    <w:p>
      <w:pPr>
        <w:ind w:right="120"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47"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existing relationships with distributors may preclude us from entering into additional future arrangements with other distributors; and</w:t>
      </w:r>
    </w:p>
    <w:p>
      <w:pPr>
        <w:spacing w:after="0" w:line="182" w:lineRule="exact"/>
        <w:rPr>
          <w:rFonts w:ascii="Arial" w:cs="Arial" w:eastAsia="Arial" w:hAnsi="Arial"/>
          <w:sz w:val="17"/>
          <w:szCs w:val="17"/>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171" w:lineRule="exact"/>
        <w:rPr>
          <w:sz w:val="20"/>
          <w:szCs w:val="20"/>
          <w:color w:val="auto"/>
        </w:rPr>
      </w:pPr>
    </w:p>
    <w:p>
      <w:pPr>
        <w:ind w:right="340"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0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Our products are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refusing our requests for 510(k) clearance or pre-market approval of new products, new intended uses, or modifications to existing products;</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in recent years, Congress recently passed health care reform legislation that President Obama signed into law in March 2010. The enacted legislation contains many provisions designed to generate the revenues necessary to fund the coverage expansions. The most relevant of these provisions are those that impose fees or taxes on certain health-related industries, including medical device manufacturers. Beginning in 2013, each medical device manufacturer will have to pay an excise tax in an amount equal to 2.3 percent of the price for which such manufacturer sells its medical devices in the U.S. This tax applies to all medical devices, including our products, which could have a material, negative impact on our results of operations and our cash flows.</w:t>
      </w:r>
    </w:p>
    <w:p>
      <w:pPr>
        <w:spacing w:after="0" w:line="167"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67" w:lineRule="exact"/>
        <w:rPr>
          <w:sz w:val="20"/>
          <w:szCs w:val="20"/>
          <w:color w:val="auto"/>
        </w:rPr>
      </w:pPr>
    </w:p>
    <w:p>
      <w:pPr>
        <w:ind w:right="26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980" w:right="420" w:hanging="486"/>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Outside of North America, we currently sell our products in Europe, Asia-Pacific,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178" w:lineRule="exact"/>
        <w:rPr>
          <w:sz w:val="20"/>
          <w:szCs w:val="20"/>
          <w:color w:val="auto"/>
        </w:rPr>
      </w:pPr>
    </w:p>
    <w:p>
      <w:pPr>
        <w:ind w:right="400"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158"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We prepare our consolidated financial statements in conformity with U.S. GAAP. These principles are subject to interpretation by the Securities and Exchange Commission ("SEC") and various bodies formed to interpret and create appropriate accounting policies. A change in these policies can have a significant effect on our reported results and may even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retroactively affect previously reported transactions. Our accounting policies that recently have been or may be affected by changes in the accounting rules are as follows:</w:t>
      </w:r>
    </w:p>
    <w:p>
      <w:pPr>
        <w:spacing w:after="0" w:line="170" w:lineRule="exact"/>
        <w:rPr>
          <w:sz w:val="20"/>
          <w:szCs w:val="20"/>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leases.</w:t>
      </w:r>
    </w:p>
    <w:p>
      <w:pPr>
        <w:spacing w:after="0" w:line="171" w:lineRule="exact"/>
        <w:rPr>
          <w:sz w:val="20"/>
          <w:szCs w:val="20"/>
          <w:color w:val="auto"/>
        </w:rPr>
      </w:pPr>
    </w:p>
    <w:p>
      <w:pPr>
        <w:ind w:right="220"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primary objective of most of our investment activities is to preserve principal. To achieve this objective, a majority of our marketable investments are investment grade, liquid, short-term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an current unstable credit environment, we might incur significant realized, unrealized or impairment losses associated with these investments.</w:t>
      </w:r>
    </w:p>
    <w:p>
      <w:pPr>
        <w:spacing w:after="0" w:line="193" w:lineRule="exact"/>
        <w:rPr>
          <w:sz w:val="20"/>
          <w:szCs w:val="20"/>
          <w:color w:val="auto"/>
        </w:rPr>
      </w:pPr>
    </w:p>
    <w:p>
      <w:pPr>
        <w:ind w:right="180" w:firstLine="216"/>
        <w:spacing w:after="0" w:line="277" w:lineRule="auto"/>
        <w:rPr>
          <w:sz w:val="20"/>
          <w:szCs w:val="20"/>
          <w:color w:val="auto"/>
        </w:rPr>
      </w:pPr>
      <w:r>
        <w:rPr>
          <w:rFonts w:ascii="Arial" w:cs="Arial" w:eastAsia="Arial" w:hAnsi="Arial"/>
          <w:sz w:val="18"/>
          <w:szCs w:val="18"/>
          <w:b w:val="1"/>
          <w:bCs w:val="1"/>
          <w:i w:val="1"/>
          <w:iCs w:val="1"/>
          <w:color w:val="auto"/>
        </w:rPr>
        <w:t>We have adopted a shareholders rights’ plan to limit the possibility that we are acquired, which may mean that a transaction that shareholders are in favor of or are benefited by may be prevented.</w:t>
      </w:r>
    </w:p>
    <w:p>
      <w:pPr>
        <w:spacing w:after="0" w:line="10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board of directors has the authority to issue up to 5,000,000 shares of preferred stock and to determine the rights, preferences, privileges and restrictions of such shares without any further vote or action by our shareholders. To date, our board of directors has designated 200,000 shares as Series A participating preferred stock in connection with our shareholder rights’ plan. The issuance of preferred stock under certain circumstances could have the effect of delaying or preventing an acquisition of Align or otherwise adversely affecting the rights of the holders of our stock. The shareholder rights’ plan may have the effect of rendering more difficult or discouraging an acquisition of our company which is deemed undesirable by our board of directors. The shareholder rights’ plan may cause substantial dilution to a person or group attempting to acquire us on terms or in a manner not approved by our board of directors, except pursuant to an offer conditioned on the negation, purchase or redemption of the rights issued under the shareholder rights’ plan.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Various internal and external factors may have favorable or unfavorable effects on our future effective tax rate. These factors include, but are not limited to, changes in tax laws, regulations and/or rates,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 option deductions relating to incentive stock options and employee stock purchase plans, settlement of income tax audits, and changes in overall levels of pretax earnings. During the first quarter of 2013, we incurred a $40.7 million impairment of goodwill which was not deductible for tax purposes.</w:t>
      </w:r>
    </w:p>
    <w:p>
      <w:pPr>
        <w:spacing w:after="0" w:line="193"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the tax incentives which were previously granted in 2002. Under these incentives, all of the income we earn in Costa Rica during these twelve year incentive periods is subject to reduced rates of Costa Rica income tax. The incentive tax rates will expire in various years beginning in 2017. The Costa Rica corporate income tax rate that would apply, absent the incentives, is 30% for 2013. As a result of these incentives, income taxes were reduced by $6.0 million through the first quarter of 2013 In order to receive the benefit of the incentives, we must hire specified numbers of employees and maintain minimum levels of fixed asset investment in Costa Rica. If we do not fulfill these conditions for any reason, our incentive could lapse and our income in Costa Rica would be subject to taxation at higher rates, which could have a negative impact on our operating results. Our subsidiaries in Israel and Germany are under audit by the local tax authorities for calendar years 2006 through 2011 and 2007 through 2011, respectively.</w:t>
      </w:r>
    </w:p>
    <w:p>
      <w:pPr>
        <w:spacing w:after="0" w:line="20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summary of stock repurchases for the three months ended March 31, 2013 (1):</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 Shares</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2"/>
                <w:szCs w:val="12"/>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Average Price Paid per</w:t>
            </w:r>
          </w:p>
        </w:tc>
        <w:tc>
          <w:tcPr>
            <w:tcW w:w="2040" w:type="dxa"/>
            <w:vAlign w:val="bottom"/>
            <w:gridSpan w:val="2"/>
            <w:vMerge w:val="continue"/>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Repurchased as Part of</w:t>
            </w:r>
          </w:p>
        </w:tc>
        <w:tc>
          <w:tcPr>
            <w:tcW w:w="140" w:type="dxa"/>
            <w:vAlign w:val="bottom"/>
          </w:tcPr>
          <w:p>
            <w:pPr>
              <w:spacing w:after="0"/>
              <w:rPr>
                <w:sz w:val="12"/>
                <w:szCs w:val="12"/>
                <w:color w:val="auto"/>
              </w:rPr>
            </w:pPr>
          </w:p>
        </w:tc>
        <w:tc>
          <w:tcPr>
            <w:tcW w:w="16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Repurchased Under the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7"/>
              </w:rPr>
              <w:t>Shares Repurchased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Publicly Announced Program</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January 1, 2013 through March 31, 2013</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32.47</w:t>
            </w:r>
          </w:p>
        </w:tc>
        <w:tc>
          <w:tcPr>
            <w:tcW w:w="12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92,617,098</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On October 27, 2011, we announced that our Board of Directors approved a stock repurchase program pursuant to which we may repurchase up to $150.0 million of common stock subject to market conditions, share price and other considerations. Purchases under the stock repurchase program may be made from time to time in the open market. During the first quarter of 2013, we repurchased approximately 0.1 million shares of common stock at an average price of $32.47 per share for an aggregate purchase price of approximately $2.4 million including commissions. The common stock repurchases reduced additional paid-in capital by approximately $0.7 million and increased accumulated deficit by $1.7 million. All repurchased shares were retired.</w:t>
      </w:r>
    </w:p>
    <w:p>
      <w:pPr>
        <w:spacing w:after="0" w:line="104" w:lineRule="exact"/>
        <w:rPr>
          <w:sz w:val="20"/>
          <w:szCs w:val="20"/>
          <w:color w:val="auto"/>
        </w:rPr>
      </w:pPr>
    </w:p>
    <w:p>
      <w:pPr>
        <w:ind w:left="460" w:hanging="438"/>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shares were repurchased pursuant to the publicly announced repurchase program described above.</w:t>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29"/>
        </w:trPr>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608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94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96"/>
              </w:rPr>
              <w:t>Filing</w:t>
            </w:r>
          </w:p>
        </w:tc>
        <w:tc>
          <w:tcPr>
            <w:tcW w:w="520" w:type="dxa"/>
            <w:vAlign w:val="bottom"/>
          </w:tcPr>
          <w:p>
            <w:pPr>
              <w:spacing w:after="0"/>
              <w:rPr>
                <w:sz w:val="11"/>
                <w:szCs w:val="11"/>
                <w:color w:val="auto"/>
              </w:rPr>
            </w:pPr>
          </w:p>
        </w:tc>
        <w:tc>
          <w:tcPr>
            <w:tcW w:w="104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20" w:type="dxa"/>
            <w:vAlign w:val="bottom"/>
          </w:tcPr>
          <w:p>
            <w:pPr>
              <w:spacing w:after="0"/>
              <w:rPr>
                <w:sz w:val="11"/>
                <w:szCs w:val="11"/>
                <w:color w:val="auto"/>
              </w:rPr>
            </w:pPr>
          </w:p>
        </w:tc>
        <w:tc>
          <w:tcPr>
            <w:tcW w:w="112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6"/>
              </w:rPr>
              <w:t>Transition Agreement between Kenneth B. Arola and Align Technology, Inc.</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Credit Agreement, dated as of March 22, 2013, by and between Align</w:t>
            </w:r>
          </w:p>
        </w:tc>
        <w:tc>
          <w:tcPr>
            <w:tcW w:w="280" w:type="dxa"/>
            <w:vAlign w:val="bottom"/>
          </w:tcPr>
          <w:p>
            <w:pPr>
              <w:spacing w:after="0"/>
              <w:rPr>
                <w:sz w:val="22"/>
                <w:szCs w:val="22"/>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8-K</w:t>
            </w:r>
          </w:p>
        </w:tc>
        <w:tc>
          <w:tcPr>
            <w:tcW w:w="1560" w:type="dxa"/>
            <w:vAlign w:val="bottom"/>
            <w:gridSpan w:val="3"/>
          </w:tcPr>
          <w:p>
            <w:pPr>
              <w:jc w:val="right"/>
              <w:ind w:right="540"/>
              <w:spacing w:after="0"/>
              <w:rPr>
                <w:sz w:val="20"/>
                <w:szCs w:val="20"/>
                <w:color w:val="auto"/>
              </w:rPr>
            </w:pPr>
            <w:r>
              <w:rPr>
                <w:rFonts w:ascii="Arial" w:cs="Arial" w:eastAsia="Arial" w:hAnsi="Arial"/>
                <w:sz w:val="18"/>
                <w:szCs w:val="18"/>
                <w:color w:val="auto"/>
              </w:rPr>
              <w:t>3/27/2013</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6"/>
              </w:rPr>
              <w:t>Technology, Inc., as borrower, and Wells Fargo Bank, National Association,</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lender.</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72"/>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pursuant to 18 U.S.C. Section 1350,</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and Chief Financial Officer pursuant</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70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80" w:type="dxa"/>
            <w:vAlign w:val="bottom"/>
            <w:gridSpan w:val="3"/>
          </w:tcPr>
          <w:p>
            <w:pPr>
              <w:ind w:left="466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4500" w:type="dxa"/>
            <w:vAlign w:val="bottom"/>
            <w:gridSpan w:val="2"/>
          </w:tcPr>
          <w:p>
            <w:pPr>
              <w:jc w:val="right"/>
              <w:ind w:right="36"/>
              <w:spacing w:after="0"/>
              <w:rPr>
                <w:sz w:val="20"/>
                <w:szCs w:val="20"/>
                <w:color w:val="auto"/>
              </w:rPr>
            </w:pPr>
            <w:r>
              <w:rPr>
                <w:rFonts w:ascii="Arial" w:cs="Arial" w:eastAsia="Arial" w:hAnsi="Arial"/>
                <w:sz w:val="18"/>
                <w:szCs w:val="18"/>
                <w:color w:val="auto"/>
              </w:rPr>
              <w:t>ALIGN TECHNOLOGY, INC.</w:t>
            </w:r>
          </w:p>
        </w:tc>
        <w:tc>
          <w:tcPr>
            <w:tcW w:w="3400" w:type="dxa"/>
            <w:vAlign w:val="bottom"/>
          </w:tcPr>
          <w:p>
            <w:pPr>
              <w:spacing w:after="0"/>
              <w:rPr>
                <w:sz w:val="20"/>
                <w:szCs w:val="20"/>
                <w:color w:val="auto"/>
              </w:rPr>
            </w:pPr>
          </w:p>
        </w:tc>
      </w:tr>
      <w:tr>
        <w:trPr>
          <w:trHeight w:val="594"/>
        </w:trPr>
        <w:tc>
          <w:tcPr>
            <w:tcW w:w="3480" w:type="dxa"/>
            <w:vAlign w:val="bottom"/>
          </w:tcPr>
          <w:p>
            <w:pPr>
              <w:spacing w:after="0"/>
              <w:rPr>
                <w:sz w:val="20"/>
                <w:szCs w:val="20"/>
                <w:color w:val="auto"/>
              </w:rPr>
            </w:pPr>
            <w:r>
              <w:rPr>
                <w:rFonts w:ascii="Arial" w:cs="Arial" w:eastAsia="Arial" w:hAnsi="Arial"/>
                <w:sz w:val="18"/>
                <w:szCs w:val="18"/>
                <w:color w:val="auto"/>
              </w:rPr>
              <w:t>Date: May 3, 2013</w:t>
            </w:r>
          </w:p>
        </w:tc>
        <w:tc>
          <w:tcPr>
            <w:tcW w:w="2540" w:type="dxa"/>
            <w:vAlign w:val="bottom"/>
          </w:tcPr>
          <w:p>
            <w:pPr>
              <w:ind w:left="2260"/>
              <w:spacing w:after="0"/>
              <w:rPr>
                <w:sz w:val="20"/>
                <w:szCs w:val="20"/>
                <w:color w:val="auto"/>
              </w:rPr>
            </w:pPr>
            <w:r>
              <w:rPr>
                <w:rFonts w:ascii="Arial" w:cs="Arial" w:eastAsia="Arial" w:hAnsi="Arial"/>
                <w:sz w:val="18"/>
                <w:szCs w:val="18"/>
                <w:color w:val="auto"/>
                <w:w w:val="99"/>
              </w:rPr>
              <w:t>By:</w:t>
            </w:r>
          </w:p>
        </w:tc>
        <w:tc>
          <w:tcPr>
            <w:tcW w:w="1960" w:type="dxa"/>
            <w:vAlign w:val="bottom"/>
          </w:tcPr>
          <w:p>
            <w:pPr>
              <w:jc w:val="right"/>
              <w:ind w:right="36"/>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00" w:type="dxa"/>
            <w:vAlign w:val="bottom"/>
          </w:tcPr>
          <w:p>
            <w:pPr>
              <w:ind w:left="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HOMAS</w:t>
            </w:r>
            <w:r>
              <w:rPr>
                <w:rFonts w:ascii="Arial" w:cs="Arial" w:eastAsia="Arial" w:hAnsi="Arial"/>
                <w:sz w:val="18"/>
                <w:szCs w:val="18"/>
                <w:color w:val="auto"/>
              </w:rPr>
              <w:t xml:space="preserve"> M. P</w:t>
            </w:r>
            <w:r>
              <w:rPr>
                <w:rFonts w:ascii="Arial" w:cs="Arial" w:eastAsia="Arial" w:hAnsi="Arial"/>
                <w:sz w:val="14"/>
                <w:szCs w:val="14"/>
                <w:color w:val="auto"/>
              </w:rPr>
              <w:t>RESCOTT</w:t>
            </w:r>
          </w:p>
        </w:tc>
      </w:tr>
      <w:tr>
        <w:trPr>
          <w:trHeight w:val="27"/>
        </w:trPr>
        <w:tc>
          <w:tcPr>
            <w:tcW w:w="3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146"/>
        </w:trPr>
        <w:tc>
          <w:tcPr>
            <w:tcW w:w="34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400" w:type="dxa"/>
            <w:vAlign w:val="bottom"/>
          </w:tcPr>
          <w:p>
            <w:pPr>
              <w:ind w:left="100"/>
              <w:spacing w:after="0" w:line="147" w:lineRule="exact"/>
              <w:rPr>
                <w:sz w:val="20"/>
                <w:szCs w:val="20"/>
                <w:color w:val="auto"/>
              </w:rPr>
            </w:pPr>
            <w:r>
              <w:rPr>
                <w:rFonts w:ascii="Arial" w:cs="Arial" w:eastAsia="Arial" w:hAnsi="Arial"/>
                <w:sz w:val="14"/>
                <w:szCs w:val="14"/>
                <w:b w:val="1"/>
                <w:bCs w:val="1"/>
                <w:color w:val="auto"/>
              </w:rPr>
              <w:t>Thomas M. Prescott</w:t>
            </w:r>
          </w:p>
        </w:tc>
      </w:tr>
      <w:tr>
        <w:trPr>
          <w:trHeight w:val="186"/>
        </w:trPr>
        <w:tc>
          <w:tcPr>
            <w:tcW w:w="34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360" w:type="dxa"/>
            <w:vAlign w:val="bottom"/>
            <w:gridSpan w:val="2"/>
          </w:tcPr>
          <w:p>
            <w:pPr>
              <w:ind w:left="1520"/>
              <w:spacing w:after="0"/>
              <w:rPr>
                <w:sz w:val="20"/>
                <w:szCs w:val="20"/>
                <w:color w:val="auto"/>
              </w:rPr>
            </w:pPr>
            <w:r>
              <w:rPr>
                <w:rFonts w:ascii="Arial" w:cs="Arial" w:eastAsia="Arial" w:hAnsi="Arial"/>
                <w:sz w:val="14"/>
                <w:szCs w:val="14"/>
                <w:b w:val="1"/>
                <w:bCs w:val="1"/>
                <w:color w:val="auto"/>
              </w:rPr>
              <w:t>President and Chief Executive Officer</w:t>
            </w:r>
          </w:p>
        </w:tc>
      </w:tr>
      <w:tr>
        <w:trPr>
          <w:trHeight w:val="579"/>
        </w:trPr>
        <w:tc>
          <w:tcPr>
            <w:tcW w:w="3480" w:type="dxa"/>
            <w:vAlign w:val="bottom"/>
          </w:tcPr>
          <w:p>
            <w:pPr>
              <w:spacing w:after="0"/>
              <w:rPr>
                <w:sz w:val="24"/>
                <w:szCs w:val="24"/>
                <w:color w:val="auto"/>
              </w:rPr>
            </w:pPr>
          </w:p>
        </w:tc>
        <w:tc>
          <w:tcPr>
            <w:tcW w:w="2540" w:type="dxa"/>
            <w:vAlign w:val="bottom"/>
          </w:tcPr>
          <w:p>
            <w:pPr>
              <w:ind w:left="2260"/>
              <w:spacing w:after="0"/>
              <w:rPr>
                <w:sz w:val="20"/>
                <w:szCs w:val="20"/>
                <w:color w:val="auto"/>
              </w:rPr>
            </w:pPr>
            <w:r>
              <w:rPr>
                <w:rFonts w:ascii="Arial" w:cs="Arial" w:eastAsia="Arial" w:hAnsi="Arial"/>
                <w:sz w:val="18"/>
                <w:szCs w:val="18"/>
                <w:color w:val="auto"/>
                <w:w w:val="99"/>
              </w:rPr>
              <w:t>By:</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00" w:type="dxa"/>
            <w:vAlign w:val="bottom"/>
          </w:tcPr>
          <w:p>
            <w:pPr>
              <w:ind w:left="100"/>
              <w:spacing w:after="0"/>
              <w:rPr>
                <w:sz w:val="20"/>
                <w:szCs w:val="20"/>
                <w:color w:val="auto"/>
              </w:rPr>
            </w:pPr>
            <w:r>
              <w:rPr>
                <w:rFonts w:ascii="Arial" w:cs="Arial" w:eastAsia="Arial" w:hAnsi="Arial"/>
                <w:sz w:val="18"/>
                <w:szCs w:val="18"/>
                <w:color w:val="auto"/>
              </w:rPr>
              <w:t>ROGER E. GEORGE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5"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Roger E. George</w:t>
      </w:r>
    </w:p>
    <w:p>
      <w:pPr>
        <w:jc w:val="center"/>
        <w:ind w:left="6060"/>
        <w:spacing w:after="0" w:line="226" w:lineRule="auto"/>
        <w:rPr>
          <w:sz w:val="20"/>
          <w:szCs w:val="20"/>
          <w:color w:val="auto"/>
        </w:rPr>
      </w:pPr>
      <w:r>
        <w:rPr>
          <w:rFonts w:ascii="Arial" w:cs="Arial" w:eastAsia="Arial" w:hAnsi="Arial"/>
          <w:sz w:val="14"/>
          <w:szCs w:val="14"/>
          <w:b w:val="1"/>
          <w:bCs w:val="1"/>
          <w:color w:val="auto"/>
        </w:rPr>
        <w:t>Vice President, Corporate and Legal Affairs, General Counsel and Interim Chief</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Financial Officer</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80" w:type="dxa"/>
            <w:vAlign w:val="bottom"/>
          </w:tcPr>
          <w:p>
            <w:pPr>
              <w:ind w:left="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800" w:type="dxa"/>
            <w:vAlign w:val="bottom"/>
            <w:gridSpan w:val="3"/>
            <w:vMerge w:val="restart"/>
          </w:tcPr>
          <w:p>
            <w:pPr>
              <w:ind w:left="2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9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5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2"/>
                <w:szCs w:val="22"/>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1"/>
              </w:rPr>
              <w:t>Transition Agreement between Kenneth B. Arola and Align Technology, Inc.</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2"/>
                <w:szCs w:val="22"/>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Credit Agreement, dated as of March 22, 2013, by and between Align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1"/>
              </w:rPr>
              <w:t>Technology, Inc., as borrower, and Wells Fargo Bank, National Association,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as lender.</w:t>
            </w:r>
          </w:p>
        </w:tc>
        <w:tc>
          <w:tcPr>
            <w:tcW w:w="0" w:type="dxa"/>
            <w:vAlign w:val="bottom"/>
          </w:tcPr>
          <w:p>
            <w:pPr>
              <w:spacing w:after="0"/>
              <w:rPr>
                <w:sz w:val="1"/>
                <w:szCs w:val="1"/>
                <w:color w:val="auto"/>
              </w:rPr>
            </w:pPr>
          </w:p>
        </w:tc>
      </w:tr>
      <w:tr>
        <w:trPr>
          <w:trHeight w:val="472"/>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of Chief Executive Officer pursuant to 18 U.S.C. Section 1350,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7"/>
              </w:rPr>
              <w:t>as adopted pursuant to Section 302 of the Sarbanes-Oxley Act of 2002.</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3"/>
              </w:rPr>
              <w:t>Certification of Chief Financial Officer pursuant to 18 U.S.C. Section 1350,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7"/>
              </w:rPr>
              <w:t>as adopted pursuant to Section 302 of the Sarbanes-Oxley Act of 2002.</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w w:val="93"/>
              </w:rPr>
              <w:t>Certification of Chief Executive Officer and Chief Financial Officer pursuant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8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918"/>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0" w:type="dxa"/>
            <w:vAlign w:val="bottom"/>
            <w:gridSpan w:val="3"/>
          </w:tcPr>
          <w:p>
            <w:pPr>
              <w:ind w:left="46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Filing</w:t>
            </w:r>
          </w:p>
        </w:tc>
        <w:tc>
          <w:tcPr>
            <w:tcW w:w="520" w:type="dxa"/>
            <w:vAlign w:val="bottom"/>
          </w:tcPr>
          <w:p>
            <w:pPr>
              <w:spacing w:after="0"/>
              <w:rPr>
                <w:sz w:val="14"/>
                <w:szCs w:val="14"/>
                <w:color w:val="auto"/>
              </w:rPr>
            </w:pPr>
          </w:p>
        </w:tc>
        <w:tc>
          <w:tcPr>
            <w:tcW w:w="102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14"/>
                <w:szCs w:val="14"/>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1120" w:type="dxa"/>
            <w:vAlign w:val="bottom"/>
            <w:gridSpan w:val="2"/>
            <w:vMerge w:val="restart"/>
          </w:tcPr>
          <w:p>
            <w:pPr>
              <w:jc w:val="center"/>
              <w:ind w:left="112"/>
              <w:spacing w:after="0"/>
              <w:rPr>
                <w:sz w:val="20"/>
                <w:szCs w:val="20"/>
                <w:color w:val="auto"/>
              </w:rPr>
            </w:pPr>
            <w:r>
              <w:rPr>
                <w:rFonts w:ascii="Arial" w:cs="Arial" w:eastAsia="Arial" w:hAnsi="Arial"/>
                <w:sz w:val="14"/>
                <w:szCs w:val="14"/>
                <w:b w:val="1"/>
                <w:bCs w:val="1"/>
                <w:color w:val="auto"/>
                <w:w w:val="93"/>
              </w:rPr>
              <w:t>Filed here with</w:t>
            </w:r>
          </w:p>
        </w:tc>
        <w:tc>
          <w:tcPr>
            <w:tcW w:w="0" w:type="dxa"/>
            <w:vAlign w:val="bottom"/>
          </w:tcPr>
          <w:p>
            <w:pPr>
              <w:spacing w:after="0"/>
              <w:rPr>
                <w:sz w:val="1"/>
                <w:szCs w:val="1"/>
                <w:color w:val="auto"/>
              </w:rPr>
            </w:pPr>
          </w:p>
        </w:tc>
      </w:tr>
      <w:tr>
        <w:trPr>
          <w:trHeight w:val="129"/>
        </w:trPr>
        <w:tc>
          <w:tcPr>
            <w:tcW w:w="66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6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8-K</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3/27/2013</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18"/>
        </w:trPr>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2"/>
        </w:trPr>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2">
            <w:col w:w="6760" w:space="560"/>
            <w:col w:w="4040"/>
          </w:cols>
          <w:pgMar w:left="240" w:top="125" w:right="299" w:bottom="1440" w:gutter="0" w:footer="0" w:header="0"/>
        </w:sectPr>
      </w:pPr>
    </w:p>
    <w:bookmarkStart w:id="52" w:name="page53"/>
    <w:bookmarkEnd w:id="52"/>
    <w:p>
      <w:pPr>
        <w:ind w:left="4520"/>
        <w:spacing w:after="0"/>
        <w:rPr>
          <w:sz w:val="20"/>
          <w:szCs w:val="20"/>
          <w:color w:val="auto"/>
        </w:rPr>
      </w:pPr>
      <w:r>
        <w:rPr>
          <w:rFonts w:ascii="Arial" w:cs="Arial" w:eastAsia="Arial" w:hAnsi="Arial"/>
          <w:sz w:val="18"/>
          <w:szCs w:val="18"/>
          <w:b w:val="1"/>
          <w:bCs w:val="1"/>
          <w:color w:val="auto"/>
        </w:rPr>
        <w:t>ALIGN TECHNOLOGY, INC.</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TRANSITION AGREEMENT</w:t>
      </w:r>
    </w:p>
    <w:p>
      <w:pPr>
        <w:spacing w:after="0" w:line="33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This Transition Agreement (“</w:t>
      </w:r>
      <w:r>
        <w:rPr>
          <w:rFonts w:ascii="Arial" w:cs="Arial" w:eastAsia="Arial" w:hAnsi="Arial"/>
          <w:sz w:val="18"/>
          <w:szCs w:val="18"/>
          <w:b w:val="1"/>
          <w:bCs w:val="1"/>
          <w:color w:val="auto"/>
        </w:rPr>
        <w:t>Transition Agreement</w:t>
      </w:r>
      <w:r>
        <w:rPr>
          <w:rFonts w:ascii="Arial" w:cs="Arial" w:eastAsia="Arial" w:hAnsi="Arial"/>
          <w:sz w:val="18"/>
          <w:szCs w:val="18"/>
          <w:color w:val="auto"/>
        </w:rPr>
        <w:t>”) is made by and between Kenneth B. Arola (“</w:t>
      </w:r>
      <w:r>
        <w:rPr>
          <w:rFonts w:ascii="Arial" w:cs="Arial" w:eastAsia="Arial" w:hAnsi="Arial"/>
          <w:sz w:val="18"/>
          <w:szCs w:val="18"/>
          <w:b w:val="1"/>
          <w:bCs w:val="1"/>
          <w:color w:val="auto"/>
        </w:rPr>
        <w:t>Executive</w:t>
      </w:r>
      <w:r>
        <w:rPr>
          <w:rFonts w:ascii="Arial" w:cs="Arial" w:eastAsia="Arial" w:hAnsi="Arial"/>
          <w:sz w:val="18"/>
          <w:szCs w:val="18"/>
          <w:color w:val="auto"/>
        </w:rPr>
        <w:t>”) and Align Technology, Inc. (the “</w:t>
      </w:r>
      <w:r>
        <w:rPr>
          <w:rFonts w:ascii="Arial" w:cs="Arial" w:eastAsia="Arial" w:hAnsi="Arial"/>
          <w:sz w:val="18"/>
          <w:szCs w:val="18"/>
          <w:b w:val="1"/>
          <w:bCs w:val="1"/>
          <w:color w:val="auto"/>
        </w:rPr>
        <w:t>Company</w:t>
      </w:r>
      <w:r>
        <w:rPr>
          <w:rFonts w:ascii="Arial" w:cs="Arial" w:eastAsia="Arial" w:hAnsi="Arial"/>
          <w:sz w:val="18"/>
          <w:szCs w:val="18"/>
          <w:color w:val="auto"/>
        </w:rPr>
        <w:t>”) collectively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as of March 4, 2013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Executive is employed by the Company as Vice President, Finance and Chief Financial Officer pursuant to the terms of the Amended and Restated Employment Agreement between Executive and the Company dated November 8, 2012 (the “</w:t>
      </w:r>
      <w:r>
        <w:rPr>
          <w:rFonts w:ascii="Arial" w:cs="Arial" w:eastAsia="Arial" w:hAnsi="Arial"/>
          <w:sz w:val="17"/>
          <w:szCs w:val="17"/>
          <w:b w:val="1"/>
          <w:bCs w:val="1"/>
          <w:color w:val="auto"/>
        </w:rPr>
        <w:t>Employment Agreement</w:t>
      </w:r>
      <w:r>
        <w:rPr>
          <w:rFonts w:ascii="Arial" w:cs="Arial" w:eastAsia="Arial" w:hAnsi="Arial"/>
          <w:sz w:val="17"/>
          <w:szCs w:val="17"/>
          <w:color w:val="auto"/>
        </w:rPr>
        <w: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Executive will be stepping down from his role as Vice President, Finance and Chief Financial Officer effective as of March 4, 2013 (the “</w:t>
      </w:r>
      <w:r>
        <w:rPr>
          <w:rFonts w:ascii="Arial" w:cs="Arial" w:eastAsia="Arial" w:hAnsi="Arial"/>
          <w:sz w:val="18"/>
          <w:szCs w:val="18"/>
          <w:b w:val="1"/>
          <w:bCs w:val="1"/>
          <w:color w:val="auto"/>
        </w:rPr>
        <w:t>Transition Commencement Date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desires to have Executive remain employed following the Transition Commencement Date to help ensure an orderly transition of his responsibilities;</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WHEREAS, if Executive remains employed with the Company through June 28, 2013 (the “</w:t>
      </w:r>
      <w:r>
        <w:rPr>
          <w:rFonts w:ascii="Arial" w:cs="Arial" w:eastAsia="Arial" w:hAnsi="Arial"/>
          <w:sz w:val="18"/>
          <w:szCs w:val="18"/>
          <w:b w:val="1"/>
          <w:bCs w:val="1"/>
          <w:color w:val="auto"/>
        </w:rPr>
        <w:t>Expected Termination Date</w:t>
      </w:r>
      <w:r>
        <w:rPr>
          <w:rFonts w:ascii="Arial" w:cs="Arial" w:eastAsia="Arial" w:hAnsi="Arial"/>
          <w:sz w:val="18"/>
          <w:szCs w:val="18"/>
          <w:color w:val="auto"/>
        </w:rPr>
        <w:t xml:space="preserve">”), then Executive will be entitled to the severance benefits set forth in Section 2 below, subject to Executive executing and not revoking the Supplemental Separation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in accordance with the terms below; and</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Parties, and each of them, wish to set forth the terms of Executive's continued employment through his separation from the Company and to resolve any and all disputes, claims, complaints, grievances, charges, actions, petitions and demands that Executive may have against the Company as defined 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promises made herein, the Parties hereby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w:t>
      </w:r>
    </w:p>
    <w:p>
      <w:pPr>
        <w:spacing w:after="0" w:line="40" w:lineRule="exact"/>
        <w:rPr>
          <w:sz w:val="20"/>
          <w:szCs w:val="20"/>
          <w:color w:val="auto"/>
        </w:rPr>
      </w:pPr>
    </w:p>
    <w:p>
      <w:pPr>
        <w:ind w:left="2080" w:hanging="775"/>
        <w:spacing w:after="0"/>
        <w:tabs>
          <w:tab w:leader="none" w:pos="20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Transition; Termination Date; Employment Status; Acknowledgements.</w:t>
      </w:r>
    </w:p>
    <w:p>
      <w:pPr>
        <w:spacing w:after="0" w:line="46" w:lineRule="exact"/>
        <w:rPr>
          <w:sz w:val="20"/>
          <w:szCs w:val="20"/>
          <w:color w:val="auto"/>
        </w:rPr>
      </w:pPr>
    </w:p>
    <w:p>
      <w:pPr>
        <w:jc w:val="both"/>
        <w:ind w:firstLine="1305"/>
        <w:spacing w:after="0" w:line="315" w:lineRule="auto"/>
        <w:tabs>
          <w:tab w:leader="none" w:pos="2144"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Transition</w:t>
      </w:r>
      <w:r>
        <w:rPr>
          <w:rFonts w:ascii="Arial" w:cs="Arial" w:eastAsia="Arial" w:hAnsi="Arial"/>
          <w:sz w:val="17"/>
          <w:szCs w:val="17"/>
          <w:color w:val="auto"/>
        </w:rPr>
        <w:t>. From the Effective Date through the Actual Termination Date (the “</w:t>
      </w:r>
      <w:r>
        <w:rPr>
          <w:rFonts w:ascii="Arial" w:cs="Arial" w:eastAsia="Arial" w:hAnsi="Arial"/>
          <w:sz w:val="17"/>
          <w:szCs w:val="17"/>
          <w:b w:val="1"/>
          <w:bCs w:val="1"/>
          <w:color w:val="auto"/>
        </w:rPr>
        <w:t>Transition Period</w:t>
      </w:r>
      <w:r>
        <w:rPr>
          <w:rFonts w:ascii="Arial" w:cs="Arial" w:eastAsia="Arial" w:hAnsi="Arial"/>
          <w:sz w:val="17"/>
          <w:szCs w:val="17"/>
          <w:color w:val="auto"/>
        </w:rPr>
        <w:t>”), the Parties agree that Executive will continue to be employed pursuant to the current terms of the Employment Agreement, as amended by this Transition Agreement. Prior to the Transition Commencement Date, Executive will continue in his role as Vice President, Finance and Chief Financial Officer on a full-time basis, reporting to the Company's Chief Executive Officer. On the Transition Commencement Date, Executive agrees to resign from all officer positions he then holds with the Company. Following the Transition Commencement Date and during the remainder of the Transition Period, Executive shall provide such assistance as may be requested, and shall have such duties, responsibilities and authority as may be assigned by the CEO or his designees from time to time, including: performing activities related to the transition of his duties as Vice President, Finance and Chief Financial Officer; providing continuity and support through the Company's first quarter earnings release and earnings cycle; providing guidance and continuity in the Company's strategic planning cycle; and providing guidance and support through the APAC reintegration, among other things.</w:t>
      </w:r>
    </w:p>
    <w:p>
      <w:pPr>
        <w:spacing w:after="0" w:line="4" w:lineRule="exact"/>
        <w:rPr>
          <w:rFonts w:ascii="Arial" w:cs="Arial" w:eastAsia="Arial" w:hAnsi="Arial"/>
          <w:sz w:val="17"/>
          <w:szCs w:val="17"/>
          <w:color w:val="auto"/>
        </w:rPr>
      </w:pPr>
    </w:p>
    <w:p>
      <w:pPr>
        <w:ind w:right="20" w:firstLine="1305"/>
        <w:spacing w:after="0" w:line="297" w:lineRule="auto"/>
        <w:tabs>
          <w:tab w:leader="none" w:pos="2155"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Termination Date</w:t>
      </w:r>
      <w:r>
        <w:rPr>
          <w:rFonts w:ascii="Arial" w:cs="Arial" w:eastAsia="Arial" w:hAnsi="Arial"/>
          <w:sz w:val="18"/>
          <w:szCs w:val="18"/>
          <w:color w:val="auto"/>
        </w:rPr>
        <w:t>. Executive's termination date will occur on the Expected Termination Date, or earlier as provided in Section 1(c) (the date of Executive's actual termination of employment with the Company, the “</w:t>
      </w:r>
      <w:r>
        <w:rPr>
          <w:rFonts w:ascii="Arial" w:cs="Arial" w:eastAsia="Arial" w:hAnsi="Arial"/>
          <w:sz w:val="18"/>
          <w:szCs w:val="18"/>
          <w:b w:val="1"/>
          <w:bCs w:val="1"/>
          <w:color w:val="auto"/>
        </w:rPr>
        <w:t>Actual Termination Date</w:t>
      </w:r>
      <w:r>
        <w:rPr>
          <w:rFonts w:ascii="Arial" w:cs="Arial" w:eastAsia="Arial" w:hAnsi="Arial"/>
          <w:sz w:val="18"/>
          <w:szCs w:val="18"/>
          <w:color w:val="auto"/>
        </w:rPr>
        <w:t>”).</w:t>
      </w:r>
    </w:p>
    <w:p>
      <w:pPr>
        <w:jc w:val="both"/>
        <w:ind w:firstLine="1305"/>
        <w:spacing w:after="0" w:line="297" w:lineRule="auto"/>
        <w:tabs>
          <w:tab w:leader="none" w:pos="2144"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Employment Status</w:t>
      </w:r>
      <w:r>
        <w:rPr>
          <w:rFonts w:ascii="Arial" w:cs="Arial" w:eastAsia="Arial" w:hAnsi="Arial"/>
          <w:sz w:val="18"/>
          <w:szCs w:val="18"/>
          <w:color w:val="auto"/>
        </w:rPr>
        <w:t>. Executive is free to terminate his employment at any time prior to the Expected Termination Date, for any reason or for no reason. Similarly, the Company is free to terminate Executive's employment at any time prior to the Expected Termination Date, for any reason or for no reason. As described in Section 2, Executive may be entitled to severance benefits depending on the circumstances of Executive's termination of employment with the Company.</w:t>
      </w:r>
    </w:p>
    <w:p>
      <w:pPr>
        <w:spacing w:after="0" w:line="1" w:lineRule="exact"/>
        <w:rPr>
          <w:rFonts w:ascii="Arial" w:cs="Arial" w:eastAsia="Arial" w:hAnsi="Arial"/>
          <w:sz w:val="18"/>
          <w:szCs w:val="18"/>
          <w:color w:val="auto"/>
        </w:rPr>
      </w:pPr>
    </w:p>
    <w:p>
      <w:pPr>
        <w:jc w:val="both"/>
        <w:ind w:firstLine="656"/>
        <w:spacing w:after="0" w:line="315" w:lineRule="auto"/>
        <w:tabs>
          <w:tab w:leader="none" w:pos="1431"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Severance</w:t>
      </w:r>
      <w:r>
        <w:rPr>
          <w:rFonts w:ascii="Arial" w:cs="Arial" w:eastAsia="Arial" w:hAnsi="Arial"/>
          <w:sz w:val="17"/>
          <w:szCs w:val="17"/>
          <w:color w:val="auto"/>
        </w:rPr>
        <w:t>. If Executive remains employed with the Company through the Expected Termination Date, or, if prior to the Expected Termination Date, Executive's employment with the Company is terminated by the Company without Cause or Executive resigns with the consent of the</w:t>
      </w:r>
    </w:p>
    <w:p>
      <w:pPr>
        <w:spacing w:after="0" w:line="269" w:lineRule="auto"/>
        <w:rPr>
          <w:rFonts w:ascii="Arial" w:cs="Arial" w:eastAsia="Arial" w:hAnsi="Arial"/>
          <w:sz w:val="17"/>
          <w:szCs w:val="17"/>
          <w:color w:val="auto"/>
        </w:rPr>
      </w:pPr>
      <w:r>
        <w:rPr>
          <w:rFonts w:ascii="Arial" w:cs="Arial" w:eastAsia="Arial" w:hAnsi="Arial"/>
          <w:sz w:val="17"/>
          <w:szCs w:val="17"/>
          <w:color w:val="auto"/>
        </w:rPr>
        <w:t>CEO, then, subject to Executive executing and not revoking the Supplemental Separation Agreement, which must become effective and irrevocable no later than the sixtieth (60</w:t>
      </w:r>
      <w:r>
        <w:rPr>
          <w:rFonts w:ascii="Arial" w:cs="Arial" w:eastAsia="Arial" w:hAnsi="Arial"/>
          <w:sz w:val="24"/>
          <w:szCs w:val="24"/>
          <w:color w:val="auto"/>
          <w:vertAlign w:val="superscript"/>
        </w:rPr>
        <w:t>th</w:t>
      </w:r>
      <w:r>
        <w:rPr>
          <w:rFonts w:ascii="Arial" w:cs="Arial" w:eastAsia="Arial" w:hAnsi="Arial"/>
          <w:sz w:val="17"/>
          <w:szCs w:val="17"/>
          <w:color w:val="auto"/>
        </w:rPr>
        <w:t>) day following the Actual Termination Date (the “</w:t>
      </w:r>
      <w:r>
        <w:rPr>
          <w:rFonts w:ascii="Arial" w:cs="Arial" w:eastAsia="Arial" w:hAnsi="Arial"/>
          <w:sz w:val="17"/>
          <w:szCs w:val="17"/>
          <w:b w:val="1"/>
          <w:bCs w:val="1"/>
          <w:color w:val="auto"/>
        </w:rPr>
        <w:t>Supplemental Release Deadline</w:t>
      </w:r>
      <w:r>
        <w:rPr>
          <w:rFonts w:ascii="Arial" w:cs="Arial" w:eastAsia="Arial" w:hAnsi="Arial"/>
          <w:sz w:val="17"/>
          <w:szCs w:val="17"/>
          <w:color w:val="auto"/>
        </w:rPr>
        <w:t>”), Executive will receive the following:</w:t>
      </w:r>
    </w:p>
    <w:p>
      <w:pPr>
        <w:jc w:val="both"/>
        <w:ind w:right="440" w:firstLine="2277"/>
        <w:spacing w:after="0" w:line="301" w:lineRule="auto"/>
        <w:tabs>
          <w:tab w:leader="none" w:pos="2763" w:val="left"/>
        </w:tabs>
        <w:numPr>
          <w:ilvl w:val="2"/>
          <w:numId w:val="31"/>
        </w:numPr>
        <w:rPr>
          <w:rFonts w:ascii="Arial" w:cs="Arial" w:eastAsia="Arial" w:hAnsi="Arial"/>
          <w:sz w:val="18"/>
          <w:szCs w:val="18"/>
          <w:color w:val="auto"/>
        </w:rPr>
      </w:pPr>
      <w:r>
        <w:rPr>
          <w:rFonts w:ascii="Arial" w:cs="Arial" w:eastAsia="Arial" w:hAnsi="Arial"/>
          <w:sz w:val="18"/>
          <w:szCs w:val="18"/>
          <w:color w:val="auto"/>
        </w:rPr>
        <w:t>A lump sum payment of $668,095 to be paid in a lump sum, less applicable deductions and withholdings, payable within ten (10) calendar days following the effective date of the Supplemental Release Agreement, which represents: (a) $102,081, prorated 2013 target bonus; (b) $340,269 which amount equals one year's base salary; (c)</w:t>
      </w:r>
    </w:p>
    <w:p>
      <w:pPr>
        <w:sectPr>
          <w:pgSz w:w="11900" w:h="16838" w:orient="portrait"/>
          <w:cols w:equalWidth="0" w:num="1">
            <w:col w:w="11420"/>
          </w:cols>
          <w:pgMar w:left="240" w:top="837" w:right="239" w:bottom="1440" w:gutter="0" w:footer="0" w:header="0"/>
        </w:sectPr>
      </w:pPr>
    </w:p>
    <w:bookmarkStart w:id="53" w:name="page54"/>
    <w:bookmarkEnd w:id="53"/>
    <w:p>
      <w:pPr>
        <w:ind w:right="40"/>
        <w:spacing w:after="0" w:line="297" w:lineRule="auto"/>
        <w:rPr>
          <w:sz w:val="20"/>
          <w:szCs w:val="20"/>
          <w:color w:val="auto"/>
        </w:rPr>
      </w:pPr>
      <w:r>
        <w:rPr>
          <w:rFonts w:ascii="Arial" w:cs="Arial" w:eastAsia="Arial" w:hAnsi="Arial"/>
          <w:sz w:val="18"/>
          <w:szCs w:val="18"/>
          <w:color w:val="auto"/>
        </w:rPr>
        <w:t>$204,978, which amount equals the greater of the then-2013 target bonus or the actual prior year's bonus; (d) $18,167, which amount equals twelve months of COBRA; and (e) $2,600, for outplacement services.</w:t>
      </w:r>
    </w:p>
    <w:p>
      <w:pPr>
        <w:spacing w:after="0" w:line="1" w:lineRule="exact"/>
        <w:rPr>
          <w:sz w:val="20"/>
          <w:szCs w:val="20"/>
          <w:color w:val="auto"/>
        </w:rPr>
      </w:pPr>
    </w:p>
    <w:p>
      <w:pPr>
        <w:jc w:val="both"/>
        <w:ind w:firstLine="1305"/>
        <w:spacing w:after="0" w:line="315" w:lineRule="auto"/>
        <w:tabs>
          <w:tab w:leader="none" w:pos="2144" w:val="left"/>
        </w:tabs>
        <w:numPr>
          <w:ilvl w:val="1"/>
          <w:numId w:val="32"/>
        </w:numPr>
        <w:rPr>
          <w:rFonts w:ascii="Arial" w:cs="Arial" w:eastAsia="Arial" w:hAnsi="Arial"/>
          <w:sz w:val="17"/>
          <w:szCs w:val="17"/>
          <w:color w:val="auto"/>
        </w:rPr>
      </w:pPr>
      <w:r>
        <w:rPr>
          <w:rFonts w:ascii="Arial" w:cs="Arial" w:eastAsia="Arial" w:hAnsi="Arial"/>
          <w:sz w:val="17"/>
          <w:szCs w:val="17"/>
          <w:color w:val="auto"/>
        </w:rPr>
        <w:t>Executive's outstanding stock options and restricted stock units will vest as to the number of shares subject to such awards that would have otherwise vested through the twelve-month anniversary of the Actual Termination Date; provided, however, that all outstanding market stock units will be calculated pursuant to the terms of the applicable market stock unit agreement between the Company and Executive.</w:t>
      </w:r>
    </w:p>
    <w:p>
      <w:pPr>
        <w:jc w:val="both"/>
        <w:ind w:firstLine="1305"/>
        <w:spacing w:after="0" w:line="314" w:lineRule="auto"/>
        <w:tabs>
          <w:tab w:leader="none" w:pos="2155" w:val="left"/>
        </w:tabs>
        <w:numPr>
          <w:ilvl w:val="1"/>
          <w:numId w:val="32"/>
        </w:numPr>
        <w:rPr>
          <w:rFonts w:ascii="Arial" w:cs="Arial" w:eastAsia="Arial" w:hAnsi="Arial"/>
          <w:sz w:val="17"/>
          <w:szCs w:val="17"/>
          <w:color w:val="auto"/>
        </w:rPr>
      </w:pPr>
      <w:r>
        <w:rPr>
          <w:rFonts w:ascii="Arial" w:cs="Arial" w:eastAsia="Arial" w:hAnsi="Arial"/>
          <w:sz w:val="17"/>
          <w:szCs w:val="17"/>
          <w:color w:val="auto"/>
        </w:rPr>
        <w:t>If the Supplemental Separation Agreement does not become effective and irrevocable by the Supplemental Release Deadline, Executive will forfeit any right to severance payments or benefits under this Transition Agreement. In no event will severance payments or benefits be paid or provided until the Supplemental Separation Agreement actually becomes effective and irrevocable. Any severance payments that would have been made to Executive prior to the Supplemental Separation Agreement becoming effective and irrevocable will be paid to Executive no later than the first Company payroll date on or following the Supplemental Release Deadline and the remaining payments will be made as provided in this Transition Agreement. For avoidance of doubt, the Parties agree and acknowledge that the severance payments and benefits under the Transition Agreement supersede all severance payments or benefits Executive would have otherwise been entitled to under the Employment Agreement and Executive is no longer entitled to any severance payments or benefits under the Employment Agreement.</w:t>
      </w:r>
    </w:p>
    <w:p>
      <w:pPr>
        <w:spacing w:after="0" w:line="2" w:lineRule="exact"/>
        <w:rPr>
          <w:rFonts w:ascii="Arial" w:cs="Arial" w:eastAsia="Arial" w:hAnsi="Arial"/>
          <w:sz w:val="17"/>
          <w:szCs w:val="17"/>
          <w:color w:val="auto"/>
        </w:rPr>
      </w:pPr>
    </w:p>
    <w:p>
      <w:pPr>
        <w:jc w:val="both"/>
        <w:ind w:firstLine="1305"/>
        <w:spacing w:after="0" w:line="335" w:lineRule="auto"/>
        <w:tabs>
          <w:tab w:leader="none" w:pos="2144" w:val="left"/>
        </w:tabs>
        <w:numPr>
          <w:ilvl w:val="1"/>
          <w:numId w:val="32"/>
        </w:numPr>
        <w:rPr>
          <w:rFonts w:ascii="Arial" w:cs="Arial" w:eastAsia="Arial" w:hAnsi="Arial"/>
          <w:sz w:val="16"/>
          <w:szCs w:val="16"/>
          <w:color w:val="auto"/>
        </w:rPr>
      </w:pPr>
      <w:r>
        <w:rPr>
          <w:rFonts w:ascii="Arial" w:cs="Arial" w:eastAsia="Arial" w:hAnsi="Arial"/>
          <w:sz w:val="16"/>
          <w:szCs w:val="16"/>
          <w:color w:val="auto"/>
        </w:rPr>
        <w:t>For purposes of this Transition Agreement, “</w:t>
      </w:r>
      <w:r>
        <w:rPr>
          <w:rFonts w:ascii="Arial" w:cs="Arial" w:eastAsia="Arial" w:hAnsi="Arial"/>
          <w:sz w:val="16"/>
          <w:szCs w:val="16"/>
          <w:b w:val="1"/>
          <w:bCs w:val="1"/>
          <w:color w:val="auto"/>
        </w:rPr>
        <w:t>Cause</w:t>
      </w:r>
      <w:r>
        <w:rPr>
          <w:rFonts w:ascii="Arial" w:cs="Arial" w:eastAsia="Arial" w:hAnsi="Arial"/>
          <w:sz w:val="16"/>
          <w:szCs w:val="16"/>
          <w:color w:val="auto"/>
        </w:rPr>
        <w:t>” will mean Executive's termination only upon: (i) Executive's unauthorized use or disclosure of the confidential information or trade secrets of the Company; (ii) any breach by Executive of this Transition Agreement or the Employee Proprietary Information and Inventions Agreement between the Executive and the Company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(iii) Executive's conviction of, or a plea of “guilty” or “no contest” to, a felony under the laws of the United States or any state thereof; (iv) Executive's misappropriation of the assets of the Company or any act of fraud or embezzlement by Executive, or any act of dishonesty by Executive in connection with the performance of his duties for the Company that adversely affects the business or affairs of the Company; (v) Executive's intentional misconduct; or (vi) Executive's failure to satisfactorily perform the Executive's duties after having received written notice of such failure and at least thirty (30) days to cure such failure.</w:t>
      </w:r>
    </w:p>
    <w:p>
      <w:pPr>
        <w:spacing w:after="0" w:line="2" w:lineRule="exact"/>
        <w:rPr>
          <w:rFonts w:ascii="Arial" w:cs="Arial" w:eastAsia="Arial" w:hAnsi="Arial"/>
          <w:sz w:val="16"/>
          <w:szCs w:val="16"/>
          <w:color w:val="auto"/>
        </w:rPr>
      </w:pPr>
    </w:p>
    <w:p>
      <w:pPr>
        <w:jc w:val="both"/>
        <w:ind w:firstLine="656"/>
        <w:spacing w:after="0" w:line="297" w:lineRule="auto"/>
        <w:tabs>
          <w:tab w:leader="none" w:pos="143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Salary &amp; Other Compensation Acknowledgements</w:t>
      </w:r>
      <w:r>
        <w:rPr>
          <w:rFonts w:ascii="Arial" w:cs="Arial" w:eastAsia="Arial" w:hAnsi="Arial"/>
          <w:sz w:val="18"/>
          <w:szCs w:val="18"/>
          <w:color w:val="auto"/>
        </w:rPr>
        <w:t xml:space="preserve">. Executive acknowledges and represents that the Company has paid Executive all salary, wages, bonuses, commissions and any and all other compensation and benefits (in cash, equity or otherwise) due to Executive through the date hereof, except for Executive's accrued vacation, which will continue to remain outstanding and will be paid upon the Actual Termination Date, and Executive's outstanding equity awards as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which will continue to governed by their applicable terms (including vesting) following the date hereof. For avoidance of doubt, nothing in this Section 3 is intended to reduce the payments the Company is required to pay Executive as provided under Sections 1 through 2 of this Agreement.</w:t>
      </w:r>
    </w:p>
    <w:p>
      <w:pPr>
        <w:spacing w:after="0" w:line="2" w:lineRule="exact"/>
        <w:rPr>
          <w:rFonts w:ascii="Arial" w:cs="Arial" w:eastAsia="Arial" w:hAnsi="Arial"/>
          <w:sz w:val="18"/>
          <w:szCs w:val="18"/>
          <w:color w:val="auto"/>
        </w:rPr>
      </w:pPr>
    </w:p>
    <w:p>
      <w:pPr>
        <w:jc w:val="both"/>
        <w:ind w:firstLine="656"/>
        <w:spacing w:after="0" w:line="338" w:lineRule="auto"/>
        <w:tabs>
          <w:tab w:leader="none" w:pos="1431"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Executive hereby fully, forever, irrevocably and unconditionally releases and discharges the Company, its current and former officers, directors, stockholders, corporate affiliates, subsidiaries, insurers, parent companies, successors and assigns, agents and employees (each in their individual and corporate capacities) (hereinafter the “</w:t>
      </w:r>
      <w:r>
        <w:rPr>
          <w:rFonts w:ascii="Arial" w:cs="Arial" w:eastAsia="Arial" w:hAnsi="Arial"/>
          <w:sz w:val="16"/>
          <w:szCs w:val="16"/>
          <w:b w:val="1"/>
          <w:bCs w:val="1"/>
          <w:color w:val="auto"/>
        </w:rPr>
        <w:t>Released Parties</w:t>
      </w:r>
      <w:r>
        <w:rPr>
          <w:rFonts w:ascii="Arial" w:cs="Arial" w:eastAsia="Arial" w:hAnsi="Arial"/>
          <w:sz w:val="16"/>
          <w:szCs w:val="16"/>
          <w:color w:val="auto"/>
        </w:rPr>
        <w:t>”) from any and all claims, charges, complaints, demands, causes of action, liabilities, and expenses (including attorneys' fees and costs), of every kind and nature that Executive ever had or now has against the Released Parties, including, but not limited to, all employment discrimination claims under Title VII of the Civil Rights Act of 1964, 42 U.S.C. § 2000e et seq., the Age Discrimination in Employment Act, the Americans With Disabilities Act of 1990, 42 U.S.C. § 12101 et seq., the Rehabilitation Act of 1973, 29 U.S.C. § 701 et seq., Family and Medical Leave Act, 29 U.S.C. § 2601 et seq., the California Fair Employment and Housing Act, Cal. Gov't Code § 12900 et seq., the California Family Rights Act, Cal. Gov't Code § 12945.2 and § 19702.3, the California Equal Pay Law, Cal. Labor Code § 1197.5 et seq., the California Unruh Civil Rights Act, Cal. Civil Code § 51 et seq. and the California Family and Medical Leave Law, Cal. Labor Code §§ 233, 7291.16 and 7291.2, all as amended, and all claims arising out of the Fair Credit Reporting Act, 15 U.S.C. § 1681 et seq. and the Employee Retirement Income Security Act of 1974 (“</w:t>
      </w:r>
      <w:r>
        <w:rPr>
          <w:rFonts w:ascii="Arial" w:cs="Arial" w:eastAsia="Arial" w:hAnsi="Arial"/>
          <w:sz w:val="16"/>
          <w:szCs w:val="16"/>
          <w:b w:val="1"/>
          <w:bCs w:val="1"/>
          <w:color w:val="auto"/>
        </w:rPr>
        <w:t>ERISA</w:t>
      </w:r>
      <w:r>
        <w:rPr>
          <w:rFonts w:ascii="Arial" w:cs="Arial" w:eastAsia="Arial" w:hAnsi="Arial"/>
          <w:sz w:val="16"/>
          <w:szCs w:val="16"/>
          <w:color w:val="auto"/>
        </w:rPr>
        <w:t>”), 29 U.S.C. § 1001 et seq., all as amended, and all common law claims including, but not limited to, actions in tort, defamation and breach of contract, including, but not limited to, any claim or damage arising out of Executive's employment with and/or separation from the Company (including a claim for retaliation) under any common law theory or any federal, state or local statute or ordinance not expressly referenced above, and claims for wrongful discharge, breach of contract, breach of the covenant of good faith and fair dealing, violation of public policy, defamation, fraud, personal injury, and emotional distress; provided, however, that nothing in Transition Agreement prevents Executive from bringing any claims relating to the validity of this Transition Agreement, or from filing, cooperating with, or participating in any proceeding before the EEOC or a state Fair Employment Practices Agency (except that Executive acknowledges that he may not be able to recover any monetary benefits in connection with any such claim, charge or proceeding) or from bringing any rights or claims under the Age Discrimination in Employment Act of 1967 (29 U.S.C. § 621 et seq.) that may arise after the date this Transition Agreement is signed. The only exceptions to this release are any claim(s) Executive may have for:</w:t>
      </w:r>
    </w:p>
    <w:p>
      <w:pPr>
        <w:spacing w:after="0" w:line="185" w:lineRule="exact"/>
        <w:rPr>
          <w:rFonts w:ascii="Arial" w:cs="Arial" w:eastAsia="Arial" w:hAnsi="Arial"/>
          <w:sz w:val="16"/>
          <w:szCs w:val="16"/>
          <w:color w:val="auto"/>
        </w:rPr>
      </w:pPr>
    </w:p>
    <w:p>
      <w:pPr>
        <w:ind w:left="1960" w:hanging="655"/>
        <w:spacing w:after="0"/>
        <w:tabs>
          <w:tab w:leader="none" w:pos="19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unemployment benefits pursuant to the terms of applicable law (to the extent available to Executive under applicable law);</w:t>
      </w:r>
    </w:p>
    <w:p>
      <w:pPr>
        <w:spacing w:after="0" w:line="34" w:lineRule="exact"/>
        <w:rPr>
          <w:rFonts w:ascii="Arial" w:cs="Arial" w:eastAsia="Arial" w:hAnsi="Arial"/>
          <w:sz w:val="17"/>
          <w:szCs w:val="17"/>
          <w:color w:val="auto"/>
        </w:rPr>
      </w:pPr>
    </w:p>
    <w:p>
      <w:pPr>
        <w:ind w:left="1960" w:hanging="655"/>
        <w:spacing w:after="0" w:line="261" w:lineRule="auto"/>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workers' compensation insurance benefits pursuant to Division 4 of the California Labor Code or a comparable and applicable state law, under the terms of any worker's compensation insurance policy</w:t>
      </w:r>
    </w:p>
    <w:p>
      <w:pPr>
        <w:sectPr>
          <w:pgSz w:w="11900" w:h="16838" w:orient="portrait"/>
          <w:cols w:equalWidth="0" w:num="1">
            <w:col w:w="11420"/>
          </w:cols>
          <w:pgMar w:left="240" w:top="611" w:right="239" w:bottom="1440" w:gutter="0" w:footer="0" w:header="0"/>
        </w:sectPr>
      </w:pPr>
    </w:p>
    <w:bookmarkStart w:id="54" w:name="page55"/>
    <w:bookmarkEnd w:id="54"/>
    <w:p>
      <w:pPr>
        <w:ind w:left="1304"/>
        <w:spacing w:after="0" w:line="282" w:lineRule="auto"/>
        <w:rPr>
          <w:sz w:val="20"/>
          <w:szCs w:val="20"/>
          <w:color w:val="auto"/>
        </w:rPr>
      </w:pPr>
      <w:r>
        <w:rPr>
          <w:rFonts w:ascii="Arial" w:cs="Arial" w:eastAsia="Arial" w:hAnsi="Arial"/>
          <w:sz w:val="18"/>
          <w:szCs w:val="18"/>
          <w:color w:val="auto"/>
        </w:rPr>
        <w:t>or fund of the Company (for which Executive represents that he has reported all work-related injuries, if any, that Executive has suffered or sustained during his employment with the Company;</w:t>
      </w:r>
    </w:p>
    <w:p>
      <w:pPr>
        <w:spacing w:after="0" w:line="1" w:lineRule="exact"/>
        <w:rPr>
          <w:sz w:val="20"/>
          <w:szCs w:val="20"/>
          <w:color w:val="auto"/>
        </w:rPr>
      </w:pPr>
    </w:p>
    <w:p>
      <w:pPr>
        <w:ind w:left="1304" w:hanging="655"/>
        <w:spacing w:after="0" w:line="258" w:lineRule="auto"/>
        <w:tabs>
          <w:tab w:leader="none" w:pos="13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continued participation in certain of the Company's group health benefit plans pursuant to the terms and conditions of the federal law known as “COBRA,” if applicable, and/or any applicable state law counterpart to COBRA;</w:t>
      </w:r>
    </w:p>
    <w:p>
      <w:pPr>
        <w:ind w:left="1304" w:hanging="655"/>
        <w:spacing w:after="0" w:line="250" w:lineRule="auto"/>
        <w:tabs>
          <w:tab w:leader="none" w:pos="13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benefit entitlements vested as of the Actual Termination Date, pursuant to written terms of any applicable employee benefit plan sponsored by the Company;</w:t>
      </w:r>
    </w:p>
    <w:p>
      <w:pPr>
        <w:ind w:left="1304" w:hanging="655"/>
        <w:spacing w:after="0"/>
        <w:tabs>
          <w:tab w:leader="none" w:pos="1304"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indemnification protection under the Company's Articles of Incorporation or Bylaws, pursuant to contract or applicable law; and</w:t>
      </w:r>
    </w:p>
    <w:p>
      <w:pPr>
        <w:spacing w:after="0" w:line="32" w:lineRule="exact"/>
        <w:rPr>
          <w:rFonts w:ascii="Arial" w:cs="Arial" w:eastAsia="Arial" w:hAnsi="Arial"/>
          <w:sz w:val="16"/>
          <w:szCs w:val="16"/>
          <w:color w:val="auto"/>
        </w:rPr>
      </w:pPr>
    </w:p>
    <w:p>
      <w:pPr>
        <w:ind w:left="1304" w:hanging="655"/>
        <w:spacing w:after="0"/>
        <w:tabs>
          <w:tab w:leader="none" w:pos="13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claims that, as a matter of applicable law, are not waivable.</w:t>
      </w:r>
    </w:p>
    <w:p>
      <w:pPr>
        <w:spacing w:after="0" w:line="22" w:lineRule="exact"/>
        <w:rPr>
          <w:sz w:val="20"/>
          <w:szCs w:val="20"/>
          <w:color w:val="auto"/>
        </w:rPr>
      </w:pPr>
    </w:p>
    <w:p>
      <w:pPr>
        <w:jc w:val="both"/>
        <w:ind w:left="4" w:firstLine="645"/>
        <w:spacing w:after="0" w:line="334" w:lineRule="auto"/>
        <w:tabs>
          <w:tab w:leader="none" w:pos="1435"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Waiver of Unknown Claims</w:t>
      </w:r>
      <w:r>
        <w:rPr>
          <w:rFonts w:ascii="Arial" w:cs="Arial" w:eastAsia="Arial" w:hAnsi="Arial"/>
          <w:sz w:val="16"/>
          <w:szCs w:val="16"/>
          <w:color w:val="auto"/>
        </w:rPr>
        <w:t>. Executive understands and agrees that the claims released in Section 3 above include not only claims presently known to Executive, but also include all unknown or unanticipated claims, rights, demands, actions, obligations, liabilities, and causes of action of every kind and character that would otherwise come within the scope of the released claims as described in Section 3. Executive understands that he may hereafter discover facts different from what he now believes to be true, which if known, could have materially affected this Transition Agreement, but Executive nevertheless waives any claims or rights based on different or additional facts. Executive knowingly and voluntarily waives any and all rights or benefits that he may now have, or in the future may have, under the terms of Section 1542 of the Civil Code</w:t>
      </w:r>
    </w:p>
    <w:p>
      <w:pPr>
        <w:spacing w:after="0" w:line="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of the State of California, which provides as follows:</w:t>
      </w:r>
    </w:p>
    <w:p>
      <w:pPr>
        <w:spacing w:after="0" w:line="23" w:lineRule="exact"/>
        <w:rPr>
          <w:rFonts w:ascii="Arial" w:cs="Arial" w:eastAsia="Arial" w:hAnsi="Arial"/>
          <w:sz w:val="16"/>
          <w:szCs w:val="16"/>
          <w:color w:val="auto"/>
        </w:rPr>
      </w:pPr>
    </w:p>
    <w:p>
      <w:pPr>
        <w:jc w:val="both"/>
        <w:ind w:left="4"/>
        <w:spacing w:after="0" w:line="263" w:lineRule="auto"/>
        <w:rPr>
          <w:rFonts w:ascii="Arial" w:cs="Arial" w:eastAsia="Arial" w:hAnsi="Arial"/>
          <w:sz w:val="16"/>
          <w:szCs w:val="16"/>
          <w:color w:val="auto"/>
        </w:rPr>
      </w:pPr>
      <w:r>
        <w:rPr>
          <w:rFonts w:ascii="Arial" w:cs="Arial" w:eastAsia="Arial" w:hAnsi="Arial"/>
          <w:sz w:val="18"/>
          <w:szCs w:val="18"/>
          <w:color w:val="auto"/>
        </w:rPr>
        <w:t>A GENERAL RELEASE DOES NOT EXTEND TO CLAIMS WHICH A CREDITOR DOES NOT KNOW OF OR SUSPECT TO EXIST IN HIS OR HER FAVOR AT THE TIME OF EXECUTING THE RELEASE WHICH IF KNOWN BY HIM OR HER MUST HAVE MATERIALLY AFFECTED HIS OR HER SETTLEMENT WITH THE DEBTOR.</w:t>
      </w:r>
    </w:p>
    <w:p>
      <w:pPr>
        <w:spacing w:after="0" w:line="206" w:lineRule="exact"/>
        <w:rPr>
          <w:rFonts w:ascii="Arial" w:cs="Arial" w:eastAsia="Arial" w:hAnsi="Arial"/>
          <w:sz w:val="16"/>
          <w:szCs w:val="16"/>
          <w:color w:val="auto"/>
        </w:rPr>
      </w:pPr>
    </w:p>
    <w:p>
      <w:pPr>
        <w:jc w:val="both"/>
        <w:ind w:left="4" w:firstLine="645"/>
        <w:spacing w:after="0" w:line="316" w:lineRule="auto"/>
        <w:tabs>
          <w:tab w:leader="none" w:pos="1435" w:val="left"/>
        </w:tabs>
        <w:numPr>
          <w:ilvl w:val="1"/>
          <w:numId w:val="35"/>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 Information and Non-Solicitation</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acknowledges and reaffirms his obligation to keep confidential all</w:t>
      </w:r>
      <w:r>
        <w:rPr>
          <w:rFonts w:ascii="Arial" w:cs="Arial" w:eastAsia="Arial" w:hAnsi="Arial"/>
          <w:sz w:val="17"/>
          <w:szCs w:val="17"/>
          <w:b w:val="1"/>
          <w:bCs w:val="1"/>
          <w:color w:val="auto"/>
        </w:rPr>
        <w:t xml:space="preserve"> </w:t>
      </w:r>
      <w:r>
        <w:rPr>
          <w:rFonts w:ascii="Arial" w:cs="Arial" w:eastAsia="Arial" w:hAnsi="Arial"/>
          <w:sz w:val="17"/>
          <w:szCs w:val="17"/>
          <w:color w:val="auto"/>
        </w:rPr>
        <w:t>non-public information concerning the Company that Executive acquired during the course of his employment with the Company, as stated more fully in the Confidentiality Agreement, which remains in full force and effect. Executive affirms his obligation to keep all Company confidential information confidential and not to disclose it to any third party in the future. The Confidentiality Agreement is incorporated herein by this reference, and Executive agrees to continue to be bound by the terms of that Confidentiality Agreement.</w:t>
      </w:r>
    </w:p>
    <w:p>
      <w:pPr>
        <w:jc w:val="both"/>
        <w:ind w:left="-656" w:firstLine="656"/>
        <w:spacing w:after="0" w:line="334" w:lineRule="auto"/>
        <w:tabs>
          <w:tab w:leader="none" w:pos="77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Acknowledgments and Right to Revoke</w:t>
      </w:r>
      <w:r>
        <w:rPr>
          <w:rFonts w:ascii="Arial" w:cs="Arial" w:eastAsia="Arial" w:hAnsi="Arial"/>
          <w:sz w:val="16"/>
          <w:szCs w:val="16"/>
          <w:color w:val="auto"/>
        </w:rPr>
        <w:t>. Executive acknowledges that he has been given twenty-one (21) days after receipt of this Transition Agreement to consider this Transition Agreement. By signing this Transition Agreement, Executive acknowledges that he was offered a period of at least twenty-one (21) days to consider the terms of this Transition Agreement but, to the extent not taken, Executive chooses to waive this consideration period. If Executive does not accept this Transition Agreement within that time, it will become null and void. Executive is advised to consult with an attorney prior to executing this Transition Agreement. Executive represents and agrees that he fully understands his right to discuss all aspects of this Transition Agreement with his private attorney, that he has availed herself of this right, that he has carefully read and fully understands all of the provisions of this Transition Agreement, and that he is voluntarily entering into this Transition Agreement. Executive understands and agrees that the waiver of rights contained in this Transition Agreement is only an exchange for the consideration specified herein, and that he would not otherwise be entitled to such consideration. Once Executive has signed the Transition Agreement, Executive can revoke his acceptance within seven (7) days by so notifying Roger E. George, Vice President, Legal &amp; Corporate Affairs and General Counsel 2560 Orchard Parkway, San Jose, California 95131. Fax number: 408-470-1024. This Transition Agreement will become effective on the eighth day following Executive signing it (the “</w:t>
      </w:r>
      <w:r>
        <w:rPr>
          <w:rFonts w:ascii="Arial" w:cs="Arial" w:eastAsia="Arial" w:hAnsi="Arial"/>
          <w:sz w:val="16"/>
          <w:szCs w:val="16"/>
          <w:b w:val="1"/>
          <w:bCs w:val="1"/>
          <w:color w:val="auto"/>
        </w:rPr>
        <w:t>Effective Date</w:t>
      </w:r>
      <w:r>
        <w:rPr>
          <w:rFonts w:ascii="Arial" w:cs="Arial" w:eastAsia="Arial" w:hAnsi="Arial"/>
          <w:sz w:val="16"/>
          <w:szCs w:val="16"/>
          <w:color w:val="auto"/>
        </w:rPr>
        <w:t>”). Non-Disparagement. Executive understands and agrees that he shall not make any false, disparaging or derogatory statements to any media outlet, industry group, financial institution or current or former employee, consultant, client, customer of the Company or other person or entity regarding the Company or any of its directors, officers, employees, agents or representatives or about the Company's business affairs and financial condition and the Company shall instruct the members of the Board and its senior executives to not make any false, disparaging or derogatory statements to any media outlet, industry group, financial institution or current or former employee, consultant, client, customer of the Company or other person or entity regarding Executive.</w:t>
      </w:r>
    </w:p>
    <w:p>
      <w:pPr>
        <w:spacing w:after="0" w:line="8" w:lineRule="exact"/>
        <w:rPr>
          <w:rFonts w:ascii="Arial" w:cs="Arial" w:eastAsia="Arial" w:hAnsi="Arial"/>
          <w:sz w:val="16"/>
          <w:szCs w:val="16"/>
          <w:color w:val="auto"/>
        </w:rPr>
      </w:pPr>
    </w:p>
    <w:p>
      <w:pPr>
        <w:ind w:left="-656" w:firstLine="656"/>
        <w:spacing w:after="0" w:line="297" w:lineRule="auto"/>
        <w:tabs>
          <w:tab w:leader="none" w:pos="7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Amendment. This Transition Agreement shall be binding upon the parties and may not be modified in any manner, except by an instrument in writing of concurrent or subsequent date signed by duly authorized representatives of the Parties.</w:t>
      </w:r>
    </w:p>
    <w:p>
      <w:pPr>
        <w:ind w:left="-656" w:firstLine="656"/>
        <w:spacing w:after="0" w:line="297" w:lineRule="auto"/>
        <w:tabs>
          <w:tab w:leader="none" w:pos="77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This Transition Agreement is binding upon and shall inure to the benefit of the Parties and their respective heirs, executors, administrators, agents, successors and assigns.</w:t>
      </w:r>
    </w:p>
    <w:p>
      <w:pPr>
        <w:jc w:val="both"/>
        <w:ind w:left="-656" w:firstLine="656"/>
        <w:spacing w:after="0" w:line="297" w:lineRule="auto"/>
        <w:tabs>
          <w:tab w:leader="none" w:pos="77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Waiver of Rights</w:t>
      </w:r>
      <w:r>
        <w:rPr>
          <w:rFonts w:ascii="Arial" w:cs="Arial" w:eastAsia="Arial" w:hAnsi="Arial"/>
          <w:sz w:val="18"/>
          <w:szCs w:val="18"/>
          <w:color w:val="auto"/>
        </w:rPr>
        <w:t>. No delay or omission by the Company in exercising any right under this Transition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 w:lineRule="exact"/>
        <w:rPr>
          <w:rFonts w:ascii="Arial" w:cs="Arial" w:eastAsia="Arial" w:hAnsi="Arial"/>
          <w:sz w:val="18"/>
          <w:szCs w:val="18"/>
          <w:color w:val="auto"/>
        </w:rPr>
      </w:pPr>
    </w:p>
    <w:p>
      <w:pPr>
        <w:ind w:left="-656" w:firstLine="656"/>
        <w:spacing w:after="0" w:line="324" w:lineRule="auto"/>
        <w:tabs>
          <w:tab w:leader="none" w:pos="77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in this Transition Agreement is for any reason held to be unenforceable, it shall not affect the enforceability of the remaining provisions and the remaining provisions shall be enforced to the extent permitted by law.</w:t>
      </w:r>
    </w:p>
    <w:p>
      <w:pPr>
        <w:sectPr>
          <w:pgSz w:w="11900" w:h="16838" w:orient="portrait"/>
          <w:cols w:equalWidth="0" w:num="1">
            <w:col w:w="10764"/>
          </w:cols>
          <w:pgMar w:left="896" w:top="611" w:right="239" w:bottom="1440" w:gutter="0" w:footer="0" w:header="0"/>
        </w:sectPr>
      </w:pPr>
    </w:p>
    <w:bookmarkStart w:id="55" w:name="page56"/>
    <w:bookmarkEnd w:id="55"/>
    <w:p>
      <w:pPr>
        <w:jc w:val="both"/>
        <w:ind w:firstLine="656"/>
        <w:spacing w:after="0" w:line="297" w:lineRule="auto"/>
        <w:tabs>
          <w:tab w:leader="none" w:pos="14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Confidentiality. Executive understands and agrees that as a condition for payment to Executive of the benefits herein described, the terms and contents of this Transition Agreement, and the contents of the negotiations and discussions resulting in this Transition Agreement, shall be maintained as confidential by Executive, his spouse, his attorney or his accountant, and shall not be disclosed except to the extent required by law or as otherwise agreed to in writing by the Company.</w:t>
      </w:r>
    </w:p>
    <w:p>
      <w:pPr>
        <w:spacing w:after="0" w:line="1" w:lineRule="exact"/>
        <w:rPr>
          <w:rFonts w:ascii="Arial" w:cs="Arial" w:eastAsia="Arial" w:hAnsi="Arial"/>
          <w:sz w:val="18"/>
          <w:szCs w:val="18"/>
          <w:color w:val="auto"/>
        </w:rPr>
      </w:pPr>
    </w:p>
    <w:p>
      <w:pPr>
        <w:ind w:firstLine="656"/>
        <w:spacing w:after="0" w:line="297" w:lineRule="auto"/>
        <w:tabs>
          <w:tab w:leader="none" w:pos="143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Nature of Agreement</w:t>
      </w:r>
      <w:r>
        <w:rPr>
          <w:rFonts w:ascii="Arial" w:cs="Arial" w:eastAsia="Arial" w:hAnsi="Arial"/>
          <w:sz w:val="18"/>
          <w:szCs w:val="18"/>
          <w:color w:val="auto"/>
        </w:rPr>
        <w:t>. Executive understands and agrees that this Transition Agreement is not intended, nor should it be construed at any time, to be an admission of liability or wrongdoing on the part of the Company.</w:t>
      </w:r>
    </w:p>
    <w:p>
      <w:pPr>
        <w:jc w:val="both"/>
        <w:ind w:firstLine="656"/>
        <w:spacing w:after="0" w:line="297" w:lineRule="auto"/>
        <w:tabs>
          <w:tab w:leader="none" w:pos="152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Voluntary Assent</w:t>
      </w:r>
      <w:r>
        <w:rPr>
          <w:rFonts w:ascii="Arial" w:cs="Arial" w:eastAsia="Arial" w:hAnsi="Arial"/>
          <w:sz w:val="18"/>
          <w:szCs w:val="18"/>
          <w:color w:val="auto"/>
        </w:rPr>
        <w:t>. Executive affirms that no other promises or agreements of any kind have been made to or with Executive by any person or entity whatsoever to cause Executive to sign this Transition Agreement, and that Executive fully understands the meaning and intent of this Transition Agreement. Executive further states and represents that he has carefully read this Transition Agreement, understands the contents herein, freely and voluntarily assents to all of the terms and conditions hereof, and signs his name of his own free act.</w:t>
      </w:r>
    </w:p>
    <w:p>
      <w:pPr>
        <w:spacing w:after="0" w:line="1" w:lineRule="exact"/>
        <w:rPr>
          <w:rFonts w:ascii="Arial" w:cs="Arial" w:eastAsia="Arial" w:hAnsi="Arial"/>
          <w:sz w:val="18"/>
          <w:szCs w:val="18"/>
          <w:color w:val="auto"/>
        </w:rPr>
      </w:pPr>
    </w:p>
    <w:p>
      <w:pPr>
        <w:ind w:firstLine="656"/>
        <w:spacing w:after="0" w:line="297" w:lineRule="auto"/>
        <w:tabs>
          <w:tab w:leader="none" w:pos="151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Transition Agreement shall be interpreted and construed by the laws of the State of California, without regard to conflict of laws provisions.</w:t>
      </w:r>
    </w:p>
    <w:p>
      <w:pPr>
        <w:ind w:firstLine="656"/>
        <w:spacing w:after="0" w:line="297" w:lineRule="auto"/>
        <w:tabs>
          <w:tab w:leader="none" w:pos="152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any dispute concerning this Transition Agreement, the prevailing party will be entitled to recover its attorneys' fees and costs, in addition to any other relief to which such party may be entitled.</w:t>
      </w:r>
    </w:p>
    <w:p>
      <w:pPr>
        <w:jc w:val="both"/>
        <w:ind w:firstLine="656"/>
        <w:spacing w:after="0" w:line="297" w:lineRule="auto"/>
        <w:tabs>
          <w:tab w:leader="none" w:pos="152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Transition Agreement contains and constitutes the entire understanding and agreement between the Parties with respect to Executive's severance benefits and the settlement of claims against the Company and cancels all previous oral and written negotiations, agreements and commitments in connection therewith. Nothing in this Section, however, shall modify, cancel or supersede Executive's obligations set forth in Section 6 herein or the documents identified in Section 6.</w:t>
      </w:r>
    </w:p>
    <w:p>
      <w:pPr>
        <w:spacing w:after="0" w:line="1" w:lineRule="exact"/>
        <w:rPr>
          <w:rFonts w:ascii="Arial" w:cs="Arial" w:eastAsia="Arial" w:hAnsi="Arial"/>
          <w:sz w:val="18"/>
          <w:szCs w:val="18"/>
          <w:color w:val="auto"/>
        </w:rPr>
      </w:pPr>
    </w:p>
    <w:p>
      <w:pPr>
        <w:jc w:val="both"/>
        <w:ind w:firstLine="656"/>
        <w:spacing w:after="0" w:line="302" w:lineRule="auto"/>
        <w:tabs>
          <w:tab w:leader="none" w:pos="152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The Parties agree that any and all disputes arising out of the terms of this Transition Agreement and their interpretation, and any of the matters released, shall be subject to final and binding arbitration before the American Arbitration Association under its National Rules for the Resolution of Employment Disputes in Santa Clara County, California. THE PARTIES HEREBY AGREE TO WAIVE THEIR RIGHT TO HAVE ANY DISPUTE BETWEEN THEM RESOLVED IN A COURT OF LAW BY A JUDGE OR JURY. This Section will not prevent either party from seeking preliminary injunctive relief (or any other provisional remedy) under applicable law from any court having jurisdiction over their Parties and the subject matter of their dispute relating to their obligations under this Transition Agreement or under the Confidentially Agreement before arbitration or while arbitration is pending.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Transition Agreement on the respective dates set forth below.</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Arial" w:cs="Arial" w:eastAsia="Arial" w:hAnsi="Arial"/>
                <w:sz w:val="18"/>
                <w:szCs w:val="18"/>
                <w:color w:val="auto"/>
                <w:w w:val="92"/>
              </w:rPr>
              <w:t>Dated: March 4, 2013</w:t>
            </w:r>
          </w:p>
        </w:tc>
        <w:tc>
          <w:tcPr>
            <w:tcW w:w="4120" w:type="dxa"/>
            <w:vAlign w:val="bottom"/>
            <w:gridSpan w:val="3"/>
          </w:tcPr>
          <w:p>
            <w:pPr>
              <w:ind w:left="320"/>
              <w:spacing w:after="0"/>
              <w:rPr>
                <w:sz w:val="20"/>
                <w:szCs w:val="20"/>
                <w:color w:val="auto"/>
              </w:rPr>
            </w:pPr>
            <w:r>
              <w:rPr>
                <w:rFonts w:ascii="Arial" w:cs="Arial" w:eastAsia="Arial" w:hAnsi="Arial"/>
                <w:sz w:val="18"/>
                <w:szCs w:val="18"/>
                <w:color w:val="auto"/>
              </w:rPr>
              <w:t>By   /s/ Thomas M. Prescott</w:t>
            </w:r>
          </w:p>
        </w:tc>
      </w:tr>
      <w:tr>
        <w:trPr>
          <w:trHeight w:val="20"/>
        </w:trPr>
        <w:tc>
          <w:tcPr>
            <w:tcW w:w="1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2"/>
        </w:trPr>
        <w:tc>
          <w:tcPr>
            <w:tcW w:w="1620" w:type="dxa"/>
            <w:vAlign w:val="bottom"/>
          </w:tcPr>
          <w:p>
            <w:pPr>
              <w:spacing w:after="0"/>
              <w:rPr>
                <w:sz w:val="19"/>
                <w:szCs w:val="19"/>
                <w:color w:val="auto"/>
              </w:rPr>
            </w:pPr>
          </w:p>
        </w:tc>
        <w:tc>
          <w:tcPr>
            <w:tcW w:w="4120" w:type="dxa"/>
            <w:vAlign w:val="bottom"/>
            <w:gridSpan w:val="3"/>
          </w:tcPr>
          <w:p>
            <w:pPr>
              <w:ind w:left="40"/>
              <w:spacing w:after="0"/>
              <w:rPr>
                <w:sz w:val="20"/>
                <w:szCs w:val="20"/>
                <w:color w:val="auto"/>
              </w:rPr>
            </w:pPr>
            <w:r>
              <w:rPr>
                <w:rFonts w:ascii="Arial" w:cs="Arial" w:eastAsia="Arial" w:hAnsi="Arial"/>
                <w:sz w:val="18"/>
                <w:szCs w:val="18"/>
                <w:color w:val="auto"/>
              </w:rPr>
              <w:t>Thomas M. Prescott</w:t>
            </w:r>
          </w:p>
        </w:tc>
      </w:tr>
      <w:tr>
        <w:trPr>
          <w:trHeight w:val="230"/>
        </w:trPr>
        <w:tc>
          <w:tcPr>
            <w:tcW w:w="1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60" w:type="dxa"/>
            <w:vAlign w:val="bottom"/>
            <w:gridSpan w:val="2"/>
          </w:tcPr>
          <w:p>
            <w:pPr>
              <w:ind w:left="860"/>
              <w:spacing w:after="0"/>
              <w:rPr>
                <w:sz w:val="20"/>
                <w:szCs w:val="20"/>
                <w:color w:val="auto"/>
              </w:rPr>
            </w:pPr>
            <w:r>
              <w:rPr>
                <w:rFonts w:ascii="Arial" w:cs="Arial" w:eastAsia="Arial" w:hAnsi="Arial"/>
                <w:sz w:val="18"/>
                <w:szCs w:val="18"/>
                <w:color w:val="auto"/>
                <w:w w:val="92"/>
              </w:rPr>
              <w:t>President, Chief Executive Officer</w:t>
            </w:r>
          </w:p>
        </w:tc>
      </w:tr>
    </w:tbl>
    <w:p>
      <w:pPr>
        <w:spacing w:after="0" w:line="20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Kenneth B. Arola, an individual</w:t>
      </w:r>
    </w:p>
    <w:p>
      <w:pPr>
        <w:spacing w:after="0" w:line="200" w:lineRule="exact"/>
        <w:rPr>
          <w:sz w:val="20"/>
          <w:szCs w:val="20"/>
          <w:color w:val="auto"/>
        </w:rPr>
      </w:pPr>
    </w:p>
    <w:p>
      <w:pPr>
        <w:spacing w:after="0" w:line="241"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Dated: March 4, 2013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Kenneth B. Arola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SEPARATION AGREEMENT</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This Supplemental Separation Agreement (the “</w:t>
      </w:r>
      <w:r>
        <w:rPr>
          <w:rFonts w:ascii="Arial" w:cs="Arial" w:eastAsia="Arial" w:hAnsi="Arial"/>
          <w:sz w:val="17"/>
          <w:szCs w:val="17"/>
          <w:b w:val="1"/>
          <w:bCs w:val="1"/>
          <w:color w:val="auto"/>
        </w:rPr>
        <w:t>Supplemental Separation Agreement</w:t>
      </w:r>
      <w:r>
        <w:rPr>
          <w:rFonts w:ascii="Arial" w:cs="Arial" w:eastAsia="Arial" w:hAnsi="Arial"/>
          <w:sz w:val="17"/>
          <w:szCs w:val="17"/>
          <w:color w:val="auto"/>
        </w:rPr>
        <w:t>”) is entered into as of [DATE], by and between Align Technology, Inc. (the “</w:t>
      </w:r>
      <w:r>
        <w:rPr>
          <w:rFonts w:ascii="Arial" w:cs="Arial" w:eastAsia="Arial" w:hAnsi="Arial"/>
          <w:sz w:val="17"/>
          <w:szCs w:val="17"/>
          <w:b w:val="1"/>
          <w:bCs w:val="1"/>
          <w:color w:val="auto"/>
        </w:rPr>
        <w:t>Company</w:t>
      </w:r>
      <w:r>
        <w:rPr>
          <w:rFonts w:ascii="Arial" w:cs="Arial" w:eastAsia="Arial" w:hAnsi="Arial"/>
          <w:sz w:val="17"/>
          <w:szCs w:val="17"/>
          <w:color w:val="auto"/>
        </w:rPr>
        <w:t>”) and Kenneth B. Arola (“</w:t>
      </w:r>
      <w:r>
        <w:rPr>
          <w:rFonts w:ascii="Arial" w:cs="Arial" w:eastAsia="Arial" w:hAnsi="Arial"/>
          <w:sz w:val="17"/>
          <w:szCs w:val="17"/>
          <w:b w:val="1"/>
          <w:bCs w:val="1"/>
          <w:color w:val="auto"/>
        </w:rPr>
        <w:t>Executive</w:t>
      </w:r>
      <w:r>
        <w:rPr>
          <w:rFonts w:ascii="Arial" w:cs="Arial" w:eastAsia="Arial" w:hAnsi="Arial"/>
          <w:sz w:val="17"/>
          <w:szCs w:val="17"/>
          <w:color w:val="auto"/>
        </w:rPr>
        <w:t>”) (collectively, the “</w:t>
      </w:r>
      <w:r>
        <w:rPr>
          <w:rFonts w:ascii="Arial" w:cs="Arial" w:eastAsia="Arial" w:hAnsi="Arial"/>
          <w:sz w:val="17"/>
          <w:szCs w:val="17"/>
          <w:b w:val="1"/>
          <w:bCs w:val="1"/>
          <w:color w:val="auto"/>
        </w:rPr>
        <w:t>Parties</w:t>
      </w:r>
      <w:r>
        <w:rPr>
          <w:rFonts w:ascii="Arial" w:cs="Arial" w:eastAsia="Arial" w:hAnsi="Arial"/>
          <w:sz w:val="17"/>
          <w:szCs w:val="17"/>
          <w:color w:val="auto"/>
        </w:rPr>
        <w:t>”). Any terms capitalized and not specifically defined herein shall have the meaning ascribed to them under the Transition Agreement, dated March 4, 2013 (the “</w:t>
      </w:r>
      <w:r>
        <w:rPr>
          <w:rFonts w:ascii="Arial" w:cs="Arial" w:eastAsia="Arial" w:hAnsi="Arial"/>
          <w:sz w:val="17"/>
          <w:szCs w:val="17"/>
          <w:b w:val="1"/>
          <w:bCs w:val="1"/>
          <w:color w:val="auto"/>
        </w:rPr>
        <w:t>Transition Agreement</w:t>
      </w:r>
      <w:r>
        <w:rPr>
          <w:rFonts w:ascii="Arial" w:cs="Arial" w:eastAsia="Arial" w:hAnsi="Arial"/>
          <w:sz w:val="17"/>
          <w:szCs w:val="17"/>
          <w:color w:val="auto"/>
        </w:rPr>
        <w:t>”).</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Parties wish to resolve any and all disputes, claims, complaints, grievances, charges, actions, petitions, and demands that Executive may have against the Company and any of the Releasees, including, but not limited to, any and all claims arising out of or in any way related to Executive's employment with and services to the Company, including, but not limited to, from the Effective Date of the Transition Agreement through the Effective Date of this Supplemental Separation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promises made herein, the Company and Executive hereby agree as follows:</w:t>
      </w:r>
    </w:p>
    <w:p>
      <w:pPr>
        <w:sectPr>
          <w:pgSz w:w="11900" w:h="16838" w:orient="portrait"/>
          <w:cols w:equalWidth="0" w:num="1">
            <w:col w:w="11420"/>
          </w:cols>
          <w:pgMar w:left="240" w:top="611" w:right="239" w:bottom="1440" w:gutter="0" w:footer="0" w:header="0"/>
        </w:sectPr>
      </w:pPr>
    </w:p>
    <w:bookmarkStart w:id="56" w:name="page57"/>
    <w:bookmarkEnd w:id="56"/>
    <w:p>
      <w:pPr>
        <w:ind w:left="4" w:firstLine="645"/>
        <w:spacing w:after="0" w:line="297" w:lineRule="auto"/>
        <w:tabs>
          <w:tab w:leader="none" w:pos="1435"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The Company agrees to pay Executive, less applicable withholding, the severance described in Section 2 of the Transition Agreement, pursuant to the terms and conditions thereof.</w:t>
      </w:r>
    </w:p>
    <w:p>
      <w:pPr>
        <w:ind w:left="784" w:hanging="784"/>
        <w:spacing w:after="0"/>
        <w:tabs>
          <w:tab w:leader="none" w:pos="78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Acknowledgements and Agreements</w:t>
      </w:r>
      <w:r>
        <w:rPr>
          <w:rFonts w:ascii="Arial" w:cs="Arial" w:eastAsia="Arial" w:hAnsi="Arial"/>
          <w:sz w:val="18"/>
          <w:szCs w:val="18"/>
          <w:color w:val="auto"/>
        </w:rPr>
        <w:t>.</w:t>
      </w:r>
    </w:p>
    <w:p>
      <w:pPr>
        <w:spacing w:after="0" w:line="50" w:lineRule="exact"/>
        <w:rPr>
          <w:sz w:val="20"/>
          <w:szCs w:val="20"/>
          <w:color w:val="auto"/>
        </w:rPr>
      </w:pPr>
    </w:p>
    <w:p>
      <w:pPr>
        <w:ind w:left="-656" w:firstLine="1305"/>
        <w:spacing w:after="0" w:line="297" w:lineRule="auto"/>
        <w:tabs>
          <w:tab w:leader="none" w:pos="1413"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Executive acknowledges and represents that the Company will have paid all salary, wages, bonuses, accrued vacation, commissions and any and all other benefits due to Executive as of the Effective Date of this Supplemental Separation Agreement.</w:t>
      </w:r>
    </w:p>
    <w:p>
      <w:pPr>
        <w:jc w:val="both"/>
        <w:ind w:left="-656" w:firstLine="1305"/>
        <w:spacing w:after="0" w:line="315" w:lineRule="auto"/>
        <w:tabs>
          <w:tab w:leader="none" w:pos="1423"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The Parties agree that Executive will be considered to have vested in the stock options and restricted stock units through the Actual Termination Date to the extent provided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this Supplemental Separation Agreement and no more. Each of Executive's equity awards will continue to be governed by the terms and conditions of the applicable Company equity plan under which the award was granted and applicable equity award agreement (each an “</w:t>
      </w:r>
      <w:r>
        <w:rPr>
          <w:rFonts w:ascii="Arial" w:cs="Arial" w:eastAsia="Arial" w:hAnsi="Arial"/>
          <w:sz w:val="17"/>
          <w:szCs w:val="17"/>
          <w:b w:val="1"/>
          <w:bCs w:val="1"/>
          <w:color w:val="auto"/>
        </w:rPr>
        <w:t>Equity Award Document</w:t>
      </w:r>
      <w:r>
        <w:rPr>
          <w:rFonts w:ascii="Arial" w:cs="Arial" w:eastAsia="Arial" w:hAnsi="Arial"/>
          <w:sz w:val="17"/>
          <w:szCs w:val="17"/>
          <w:color w:val="auto"/>
        </w:rPr>
        <w:t>”, and together, the “</w:t>
      </w:r>
      <w:r>
        <w:rPr>
          <w:rFonts w:ascii="Arial" w:cs="Arial" w:eastAsia="Arial" w:hAnsi="Arial"/>
          <w:sz w:val="17"/>
          <w:szCs w:val="17"/>
          <w:b w:val="1"/>
          <w:bCs w:val="1"/>
          <w:color w:val="auto"/>
        </w:rPr>
        <w:t>Equity Award Documents</w:t>
      </w:r>
      <w:r>
        <w:rPr>
          <w:rFonts w:ascii="Arial" w:cs="Arial" w:eastAsia="Arial" w:hAnsi="Arial"/>
          <w:sz w:val="17"/>
          <w:szCs w:val="17"/>
          <w:color w:val="auto"/>
        </w:rPr>
        <w:t>.”)</w:t>
      </w:r>
    </w:p>
    <w:p>
      <w:pPr>
        <w:jc w:val="both"/>
        <w:ind w:left="-656" w:firstLine="656"/>
        <w:spacing w:after="0" w:line="315" w:lineRule="auto"/>
        <w:tabs>
          <w:tab w:leader="none" w:pos="77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xml:space="preserve">. Executive agrees that the consideration described in Section 1 hereof represents consideration for both (A) Executive's acknowledgements and agreements under Section 2 and (B) a release and waiver of any and all claims against the Company and any of the Releasees relating to his employment with the Company, including, but not limited to, from the Effective Date of the Transition Agreement through the Effective Date of this Supplemental Separation Agreement, as well as any claims under any local ordinance or state or federal employment law, including laws prohibiting discrimination in employment on the basis of race, sex, age (in particular, any claim under the Age Discrimination in Employment Act), disability, national origin, or religion, as well as any claims for wrongful discharge, breach of contract, attorneys' fees, costs, or any claims of amounts due for fees, commissions, stock options, expenses, salary, bonuses, profit sharing or fringe benefits. </w:t>
      </w:r>
      <w:r>
        <w:rPr>
          <w:rFonts w:ascii="Arial" w:cs="Arial" w:eastAsia="Arial" w:hAnsi="Arial"/>
          <w:sz w:val="17"/>
          <w:szCs w:val="17"/>
          <w:b w:val="1"/>
          <w:bCs w:val="1"/>
          <w:color w:val="auto"/>
        </w:rPr>
        <w:t>Executive further acknowledges and agrees that the terms of Sections 4 and 5</w:t>
      </w:r>
      <w:r>
        <w:rPr>
          <w:rFonts w:ascii="Arial" w:cs="Arial" w:eastAsia="Arial" w:hAnsi="Arial"/>
          <w:sz w:val="17"/>
          <w:szCs w:val="17"/>
          <w:color w:val="auto"/>
        </w:rPr>
        <w:t xml:space="preserve"> </w:t>
      </w:r>
      <w:r>
        <w:rPr>
          <w:rFonts w:ascii="Arial" w:cs="Arial" w:eastAsia="Arial" w:hAnsi="Arial"/>
          <w:sz w:val="17"/>
          <w:szCs w:val="17"/>
          <w:b w:val="1"/>
          <w:bCs w:val="1"/>
          <w:color w:val="auto"/>
        </w:rPr>
        <w:t>of the Separation Agreement shall also apply to this Supplemental Separation Agreement and are hereby incorporated and extended through the Effective Date of this Supplemental Separation Agreement</w:t>
      </w:r>
      <w:r>
        <w:rPr>
          <w:rFonts w:ascii="Arial" w:cs="Arial" w:eastAsia="Arial" w:hAnsi="Arial"/>
          <w:sz w:val="17"/>
          <w:szCs w:val="17"/>
          <w:color w:val="auto"/>
        </w:rPr>
        <w:t>.</w:t>
      </w:r>
    </w:p>
    <w:p>
      <w:pPr>
        <w:jc w:val="both"/>
        <w:ind w:left="-656" w:firstLine="656"/>
        <w:spacing w:after="0" w:line="315" w:lineRule="auto"/>
        <w:tabs>
          <w:tab w:leader="none" w:pos="77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Confidential Information and Non-Solicitation</w:t>
      </w:r>
      <w:r>
        <w:rPr>
          <w:rFonts w:ascii="Arial" w:cs="Arial" w:eastAsia="Arial" w:hAnsi="Arial"/>
          <w:sz w:val="17"/>
          <w:szCs w:val="17"/>
          <w:color w:val="auto"/>
        </w:rPr>
        <w:t>. Executive acknowledges and reaffirms his obligation to keep confidential all non-public information concerning the Company that Executive acquired during the course of his employment with the Company, as stated more fully in the Confidentiality Agreement Executive signed at the beginning of his employment, which remains in full force and effect. Executive affirms his obligation to keep all Company Information confidential and not to disclose it to any third party in the future. The Confidentiality Agreement is incorporated herein by this reference, and Executive agrees to continue to be bound by the terms of the Confidentiality Agreement.</w:t>
      </w:r>
    </w:p>
    <w:p>
      <w:pPr>
        <w:jc w:val="both"/>
        <w:ind w:left="-656" w:firstLine="656"/>
        <w:spacing w:after="0" w:line="320" w:lineRule="auto"/>
        <w:tabs>
          <w:tab w:leader="none" w:pos="77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Return of Company Property</w:t>
      </w:r>
      <w:r>
        <w:rPr>
          <w:rFonts w:ascii="Arial" w:cs="Arial" w:eastAsia="Arial" w:hAnsi="Arial"/>
          <w:sz w:val="17"/>
          <w:szCs w:val="17"/>
          <w:color w:val="auto"/>
        </w:rPr>
        <w:t>. As part of Executive's existing and continuing obligation to the Company, Executive agrees that Executive has returned to the Company, all Company confidential information, including files, records, computer access codes and instruction manuals, as well as any Company assets or equipment that Executive has in his possession or under his control. Executive further agrees not to keep any copies of Company confidential information. Executive confirms that he has returned to the Company in good working order all keys, files, records (and copies thereof), equipment (including, but not limited to, computer hardware, software and printers, wireless handheld devices, cellular phones and pagers), access or credit cards, Company identification, Company vehicles and any other Company-owned property in Executive's possession or control and have left intact all electronic Company documents, including, but not limited to, those that Executive developed or helped to develop during his employment. Executive further confirms that he has cancelled all accounts for his benefit, if any, in the Company's name, including, but not limited to, credit cards, telephone charge cards, cellular phone and/or pager accounts and computer accounts.</w:t>
      </w:r>
    </w:p>
    <w:p>
      <w:pPr>
        <w:spacing w:after="0" w:line="396" w:lineRule="exact"/>
        <w:rPr>
          <w:sz w:val="20"/>
          <w:szCs w:val="20"/>
          <w:color w:val="auto"/>
        </w:rPr>
      </w:pPr>
    </w:p>
    <w:p>
      <w:pPr>
        <w:jc w:val="both"/>
        <w:ind w:left="4" w:firstLine="645"/>
        <w:spacing w:after="0" w:line="334" w:lineRule="auto"/>
        <w:tabs>
          <w:tab w:leader="none" w:pos="152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Acknowledgments and Right to Revoke. Executive acknowledges that he has been given twenty-one (21) days after receipt of this Supplemental Separation Agreement to consider this Supplemental Separation Agreement. By signing this Supplemental Separation Agreement, Executive acknowledges that he was offered a period of at least twenty-one (21) days to consider the terms of this Supplemental Separation Agreement but, to the extent not taken, Executive choose to waive this consideration period. If Executive does not accept this Supplemental Separation Agreement within that time, it will become null and void. Executive is advised to consult with an attorney prior to executing this Supplemental Separation Agreement. Executive represents and agrees that he fully understands his right to discuss all aspects of this Supplemental Separation Agreement with his private attorney, that he has availed herself of this right, that he has carefully read and fully understands all of the provisions of this Supplemental Separation Agreement, and that he is voluntarily entering into this Supplemental Separation Agreement. Executive understands and agrees that the waiver of rights contained in this Supplemental Separation Agreement is only an exchange for the consideration specified herein, and that he would not otherwise be entitled to such consideration. Once Executive has signed the Supplemental Separation Agreement, Executive can revoke his acceptance within seven (7) days by so notifying Roger E. George, Vice President, Corporate &amp; Legal Affairs and General Counsel, 2560 Orchard Parkway, San Jose, California 95131. Fax number:408-470-1024. This Supplemental Separation Agreement will become effective on the eighth day following Executive signing it (the “</w:t>
      </w:r>
      <w:r>
        <w:rPr>
          <w:rFonts w:ascii="Arial" w:cs="Arial" w:eastAsia="Arial" w:hAnsi="Arial"/>
          <w:sz w:val="16"/>
          <w:szCs w:val="16"/>
          <w:b w:val="1"/>
          <w:bCs w:val="1"/>
          <w:color w:val="auto"/>
        </w:rPr>
        <w:t>Effective Date</w:t>
      </w:r>
      <w:r>
        <w:rPr>
          <w:rFonts w:ascii="Arial" w:cs="Arial" w:eastAsia="Arial" w:hAnsi="Arial"/>
          <w:sz w:val="16"/>
          <w:szCs w:val="16"/>
          <w:color w:val="auto"/>
        </w:rPr>
        <w:t xml:space="preserve">”). </w:t>
      </w:r>
      <w:r>
        <w:rPr>
          <w:rFonts w:ascii="Arial" w:cs="Arial" w:eastAsia="Arial" w:hAnsi="Arial"/>
          <w:sz w:val="16"/>
          <w:szCs w:val="16"/>
          <w:b w:val="1"/>
          <w:bCs w:val="1"/>
          <w:color w:val="auto"/>
        </w:rPr>
        <w:t>NOTWITHSTANDING THE FOREGOING, THIS</w:t>
      </w:r>
    </w:p>
    <w:p>
      <w:pPr>
        <w:spacing w:after="0" w:line="3" w:lineRule="exact"/>
        <w:rPr>
          <w:rFonts w:ascii="Arial" w:cs="Arial" w:eastAsia="Arial" w:hAnsi="Arial"/>
          <w:sz w:val="16"/>
          <w:szCs w:val="16"/>
          <w:color w:val="auto"/>
        </w:rPr>
      </w:pPr>
    </w:p>
    <w:p>
      <w:pPr>
        <w:ind w:left="4"/>
        <w:spacing w:after="0" w:line="329" w:lineRule="auto"/>
        <w:rPr>
          <w:rFonts w:ascii="Arial" w:cs="Arial" w:eastAsia="Arial" w:hAnsi="Arial"/>
          <w:sz w:val="16"/>
          <w:szCs w:val="16"/>
          <w:color w:val="auto"/>
        </w:rPr>
      </w:pPr>
      <w:r>
        <w:rPr>
          <w:rFonts w:ascii="Arial" w:cs="Arial" w:eastAsia="Arial" w:hAnsi="Arial"/>
          <w:sz w:val="18"/>
          <w:szCs w:val="18"/>
          <w:b w:val="1"/>
          <w:bCs w:val="1"/>
          <w:color w:val="auto"/>
        </w:rPr>
        <w:t>AGREEMENT SHALL BE NULL AND VOID TO EXTENT IT IS NOT EXECUTED AND IRREVOCABLE BY [INSERT DATE THAT IS 60 DAYS FROM THE ACTUAL TERMINATION DATE.].</w:t>
      </w:r>
    </w:p>
    <w:p>
      <w:pPr>
        <w:sectPr>
          <w:pgSz w:w="11900" w:h="16838" w:orient="portrait"/>
          <w:cols w:equalWidth="0" w:num="1">
            <w:col w:w="10764"/>
          </w:cols>
          <w:pgMar w:left="896" w:top="611" w:right="239" w:bottom="1440" w:gutter="0" w:footer="0" w:header="0"/>
        </w:sectPr>
      </w:pPr>
    </w:p>
    <w:bookmarkStart w:id="57" w:name="page58"/>
    <w:bookmarkEnd w:id="57"/>
    <w:p>
      <w:pPr>
        <w:jc w:val="both"/>
        <w:ind w:firstLine="645"/>
        <w:spacing w:after="0" w:line="304" w:lineRule="auto"/>
        <w:tabs>
          <w:tab w:leader="none" w:pos="143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Supplemental Separation Agreement, the Equity Award Documents, the Transition Agreement, and the Confidentiality Agreement, constitute the entire agreement and understanding between the Parties concerning the subject matter of this Supplemental Separation Agreement and all prior and contemporaneous representations, understandings, and agreements concerning the subject matter of this Supplemental Separation Agreement (other than the Confidentiality Agreement) have been superseded by the terms of this Supplemental Separation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Supplemental Separation Agreement on the respective dates set forth below.</w:t>
      </w:r>
    </w:p>
    <w:p>
      <w:pPr>
        <w:sectPr>
          <w:pgSz w:w="11900" w:h="16838" w:orient="portrait"/>
          <w:cols w:equalWidth="0" w:num="1">
            <w:col w:w="10760"/>
          </w:cols>
          <w:pgMar w:left="900" w:top="611"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Dated: 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tab/>
        <w:t>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M. Prescott</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President, Chief Executive Officer</w:t>
      </w:r>
    </w:p>
    <w:p>
      <w:pPr>
        <w:spacing w:after="0" w:line="200" w:lineRule="exact"/>
        <w:rPr>
          <w:sz w:val="20"/>
          <w:szCs w:val="20"/>
          <w:color w:val="auto"/>
        </w:rPr>
      </w:pPr>
    </w:p>
    <w:p>
      <w:pPr>
        <w:sectPr>
          <w:pgSz w:w="11900" w:h="16838" w:orient="portrait"/>
          <w:cols w:equalWidth="0" w:num="2">
            <w:col w:w="2020" w:space="180"/>
            <w:col w:w="8560"/>
          </w:cols>
          <w:pgMar w:left="900" w:top="611" w:right="239" w:bottom="1440" w:gutter="0" w:footer="0" w:header="0"/>
          <w:type w:val="continuous"/>
        </w:sectPr>
      </w:pPr>
    </w:p>
    <w:p>
      <w:pPr>
        <w:spacing w:after="0" w:line="25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Kenneth B. Arola, an individual</w:t>
      </w:r>
    </w:p>
    <w:p>
      <w:pPr>
        <w:sectPr>
          <w:pgSz w:w="11900" w:h="16838" w:orient="portrait"/>
          <w:cols w:equalWidth="0" w:num="1">
            <w:col w:w="10760"/>
          </w:cols>
          <w:pgMar w:left="900" w:top="611" w:right="2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Dated: 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ectPr>
          <w:pgSz w:w="11900" w:h="16838" w:orient="portrait"/>
          <w:cols w:equalWidth="0" w:num="3">
            <w:col w:w="2020" w:space="180"/>
            <w:col w:w="200" w:space="220"/>
            <w:col w:w="8140"/>
          </w:cols>
          <w:pgMar w:left="900" w:top="611" w:right="239" w:bottom="1440" w:gutter="0" w:footer="0" w:header="0"/>
          <w:type w:val="continuous"/>
        </w:sectPr>
      </w:pPr>
    </w:p>
    <w:bookmarkStart w:id="58" w:name="page59"/>
    <w:bookmarkEnd w:id="58"/>
    <w:p>
      <w:pPr>
        <w:jc w:val="center"/>
        <w:ind w:right="-2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Outstanding Equity Awards</w:t>
      </w:r>
    </w:p>
    <w:p>
      <w:pPr>
        <w:sectPr>
          <w:pgSz w:w="11900" w:h="16838" w:orient="portrait"/>
          <w:cols w:equalWidth="0" w:num="1">
            <w:col w:w="9019"/>
          </w:cols>
          <w:pgMar w:left="1440" w:top="1229" w:right="1440"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M. Prescott, certify that:</w:t>
      </w:r>
    </w:p>
    <w:p>
      <w:pPr>
        <w:spacing w:after="0" w:line="38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M. Prescott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Roger E. George, certify that:</w:t>
      </w:r>
    </w:p>
    <w:p>
      <w:pPr>
        <w:spacing w:after="0" w:line="387"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ROGER E.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Roger E. George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Corporate and Legal Affairs, General Counsel and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 Thomas M. Prescott, certify, pursuant to 18 U.S.C. Section 1350, as adopted pursuant to Section 906 of the Sarbanes-Oxley Act of 2002, that the Quarterly Report of Align Technology, Inc. on Form 10-Q for the quarter ended March 31, 2013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61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w w:val="98"/>
              </w:rPr>
              <w:t>/S/  THOMAS M. PRESCOTT</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1"/>
              </w:rPr>
              <w:t>Thomas M. Prescott</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p>
      <w:pPr>
        <w:spacing w:after="0" w:line="200" w:lineRule="exact"/>
        <w:rPr>
          <w:sz w:val="20"/>
          <w:szCs w:val="20"/>
          <w:color w:val="auto"/>
        </w:rPr>
      </w:pPr>
    </w:p>
    <w:p>
      <w:pPr>
        <w:spacing w:after="0" w:line="349"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 Roger E. George, certify, pursuant to 18 U.S.C. Section 1350, as adopted pursuant to Section 906 of the Sarbanes-Oxley Act of 2002, that the Quarterly Report of Align Technology, Inc. on Form 10-Q for the quarter ended March 31, 2013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61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/S/  ROGER E. GEORGE</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0"/>
              </w:rPr>
              <w:t>Roger E. George</w:t>
            </w:r>
          </w:p>
        </w:tc>
        <w:tc>
          <w:tcPr>
            <w:tcW w:w="0" w:type="dxa"/>
            <w:vAlign w:val="bottom"/>
          </w:tcPr>
          <w:p>
            <w:pPr>
              <w:spacing w:after="0"/>
              <w:rPr>
                <w:sz w:val="1"/>
                <w:szCs w:val="1"/>
                <w:color w:val="auto"/>
              </w:rPr>
            </w:pPr>
          </w:p>
        </w:tc>
      </w:tr>
      <w:tr>
        <w:trPr>
          <w:trHeight w:val="252"/>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1"/>
              </w:rPr>
              <w:t>Vice President, Corporate and Legal Affairs, General</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2"/>
              </w:rPr>
              <w:t>Counsel and Interim Chief Financial Officer</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0">
    <w:nsid w:val="5C482A9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1">
    <w:nsid w:val="2463B9EA"/>
    <w:multiLevelType w:val="hybridMultilevel"/>
    <w:lvl w:ilvl="0">
      <w:lvlJc w:val="left"/>
      <w:lvlText w:val="%1"/>
      <w:numFmt w:val="decimal"/>
      <w:start w:val="1"/>
    </w:lvl>
    <w:lvl w:ilvl="1">
      <w:lvlJc w:val="left"/>
      <w:lvlText w:val="(%2)"/>
      <w:numFmt w:val="lowerLetter"/>
      <w:start w:val="1"/>
    </w:lvl>
  </w:abstractNum>
  <w:abstractNum w:abstractNumId="32">
    <w:nsid w:val="5E884ADC"/>
    <w:multiLevelType w:val="hybridMultilevel"/>
    <w:lvl w:ilvl="0">
      <w:lvlJc w:val="left"/>
      <w:lvlText w:val="%1."/>
      <w:numFmt w:val="decimal"/>
      <w:start w:val="3"/>
    </w:lvl>
    <w:lvl w:ilvl="1">
      <w:lvlJc w:val="left"/>
      <w:lvlText w:val="(%2)"/>
      <w:numFmt w:val="lowerLetter"/>
      <w:start w:val="1"/>
    </w:lvl>
  </w:abstractNum>
  <w:abstractNum w:abstractNumId="33">
    <w:nsid w:val="51EAD36B"/>
    <w:multiLevelType w:val="hybridMultilevel"/>
    <w:lvl w:ilvl="0">
      <w:lvlJc w:val="left"/>
      <w:lvlText w:val="(%1)"/>
      <w:numFmt w:val="lowerLetter"/>
      <w:start w:val="3"/>
    </w:lvl>
  </w:abstractNum>
  <w:abstractNum w:abstractNumId="34">
    <w:nsid w:val="2D517796"/>
    <w:multiLevelType w:val="hybridMultilevel"/>
    <w:lvl w:ilvl="0">
      <w:lvlJc w:val="left"/>
      <w:lvlText w:val="%1"/>
      <w:numFmt w:val="decimal"/>
      <w:start w:val="1"/>
    </w:lvl>
    <w:lvl w:ilvl="1">
      <w:lvlJc w:val="left"/>
      <w:lvlText w:val="%2."/>
      <w:numFmt w:val="decimal"/>
      <w:start w:val="1"/>
    </w:lvl>
  </w:abstractNum>
  <w:abstractNum w:abstractNumId="35">
    <w:nsid w:val="580BD78F"/>
    <w:multiLevelType w:val="hybridMultilevel"/>
    <w:lvl w:ilvl="0">
      <w:lvlJc w:val="left"/>
      <w:lvlText w:val="%1."/>
      <w:numFmt w:val="decimal"/>
      <w:start w:val="3"/>
    </w:lvl>
    <w:lvl w:ilvl="1">
      <w:lvlJc w:val="left"/>
      <w:lvlText w:val="%2"/>
      <w:numFmt w:val="decimal"/>
      <w:start w:val="1"/>
    </w:lvl>
  </w:abstractNum>
  <w:abstractNum w:abstractNumId="36">
    <w:nsid w:val="153EA438"/>
    <w:multiLevelType w:val="hybridMultilevel"/>
    <w:lvl w:ilvl="0">
      <w:lvlJc w:val="left"/>
      <w:lvlText w:val="%1."/>
      <w:numFmt w:val="decimal"/>
      <w:start w:val="8"/>
    </w:lvl>
  </w:abstractNum>
  <w:abstractNum w:abstractNumId="37">
    <w:nsid w:val="3855585C"/>
    <w:multiLevelType w:val="hybridMultilevel"/>
    <w:lvl w:ilvl="0">
      <w:lvlJc w:val="left"/>
      <w:lvlText w:val="%1"/>
      <w:numFmt w:val="decimal"/>
      <w:start w:val="1"/>
    </w:lvl>
    <w:lvl w:ilvl="1">
      <w:lvlJc w:val="left"/>
      <w:lvlText w:val="%2."/>
      <w:numFmt w:val="decimal"/>
      <w:start w:val="1"/>
    </w:lvl>
  </w:abstractNum>
  <w:abstractNum w:abstractNumId="38">
    <w:nsid w:val="70A64E2A"/>
    <w:multiLevelType w:val="hybridMultilevel"/>
    <w:lvl w:ilvl="0">
      <w:lvlJc w:val="left"/>
      <w:lvlText w:val="%1."/>
      <w:numFmt w:val="decimal"/>
      <w:start w:val="2"/>
    </w:lvl>
    <w:lvl w:ilvl="1">
      <w:lvlJc w:val="left"/>
      <w:lvlText w:val="%2"/>
      <w:numFmt w:val="decimal"/>
      <w:start w:val="1"/>
    </w:lvl>
  </w:abstractNum>
  <w:abstractNum w:abstractNumId="39">
    <w:nsid w:val="6A2342EC"/>
    <w:multiLevelType w:val="hybridMultilevel"/>
    <w:lvl w:ilvl="0">
      <w:lvlJc w:val="left"/>
      <w:lvlText w:val="%1"/>
      <w:numFmt w:val="decimal"/>
      <w:start w:val="1"/>
    </w:lvl>
    <w:lvl w:ilvl="1">
      <w:lvlJc w:val="left"/>
      <w:lvlText w:val="%2."/>
      <w:numFmt w:val="lowerLetter"/>
      <w:start w:val="1"/>
    </w:lvl>
  </w:abstractNum>
  <w:abstractNum w:abstractNumId="40">
    <w:nsid w:val="2A487CB0"/>
    <w:multiLevelType w:val="hybridMultilevel"/>
    <w:lvl w:ilvl="0">
      <w:lvlJc w:val="left"/>
      <w:lvlText w:val="%1."/>
      <w:numFmt w:val="decimal"/>
      <w:start w:val="3"/>
    </w:lvl>
    <w:lvl w:ilvl="1">
      <w:lvlJc w:val="left"/>
      <w:lvlText w:val="%2"/>
      <w:numFmt w:val="lowerLetter"/>
      <w:start w:val="1"/>
    </w:lvl>
  </w:abstractNum>
  <w:abstractNum w:abstractNumId="41">
    <w:nsid w:val="1D4ED43B"/>
    <w:multiLevelType w:val="hybridMultilevel"/>
    <w:lvl w:ilvl="0">
      <w:lvlJc w:val="left"/>
      <w:lvlText w:val="%1."/>
      <w:numFmt w:val="decimal"/>
      <w:start w:val="15"/>
    </w:lvl>
  </w:abstractNum>
  <w:abstractNum w:abstractNumId="42">
    <w:nsid w:val="725A06FB"/>
    <w:multiLevelType w:val="hybridMultilevel"/>
    <w:lvl w:ilvl="0">
      <w:lvlJc w:val="left"/>
      <w:lvlText w:val="%1."/>
      <w:numFmt w:val="decimal"/>
      <w:start w:val="6"/>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2019-12-06T23:24:00Z</dcterms:created>
  <dcterms:modified xsi:type="dcterms:W3CDTF">2019-12-06T23:24:00Z</dcterms:modified>
</cp:coreProperties>
</file>