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SPECIALIZED DISCLOSURE REPORT</w:t>
      </w:r>
    </w:p>
    <w:p>
      <w:pPr>
        <w:spacing w:after="0" w:line="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ALIGN TECHNOLOGY,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480" w:type="dxa"/>
        <w:tblCellMar>
          <w:top w:w="0" w:type="dxa"/>
          <w:left w:w="0" w:type="dxa"/>
          <w:bottom w:w="0" w:type="dxa"/>
          <w:right w:w="0" w:type="dxa"/>
        </w:tblCellMar>
      </w:tblPr>
      <w:tr>
        <w:trPr>
          <w:trHeight w:val="262"/>
        </w:trPr>
        <w:tc>
          <w:tcPr>
            <w:tcW w:w="3960" w:type="dxa"/>
            <w:vAlign w:val="bottom"/>
          </w:tcPr>
          <w:p>
            <w:pPr>
              <w:jc w:val="center"/>
              <w:ind w:right="126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860" w:type="dxa"/>
            <w:vAlign w:val="bottom"/>
          </w:tcPr>
          <w:p>
            <w:pPr>
              <w:jc w:val="right"/>
              <w:ind w:right="1181"/>
              <w:spacing w:after="0"/>
              <w:rPr>
                <w:sz w:val="20"/>
                <w:szCs w:val="20"/>
                <w:color w:val="auto"/>
              </w:rPr>
            </w:pPr>
            <w:r>
              <w:rPr>
                <w:rFonts w:ascii="Times New Roman" w:cs="Times New Roman" w:eastAsia="Times New Roman" w:hAnsi="Times New Roman"/>
                <w:sz w:val="20"/>
                <w:szCs w:val="20"/>
                <w:b w:val="1"/>
                <w:bCs w:val="1"/>
                <w:color w:val="auto"/>
              </w:rPr>
              <w:t>000-32259</w:t>
            </w:r>
          </w:p>
        </w:tc>
        <w:tc>
          <w:tcPr>
            <w:tcW w:w="2860" w:type="dxa"/>
            <w:vAlign w:val="bottom"/>
          </w:tcPr>
          <w:p>
            <w:pPr>
              <w:jc w:val="center"/>
              <w:ind w:left="1281"/>
              <w:spacing w:after="0"/>
              <w:rPr>
                <w:sz w:val="20"/>
                <w:szCs w:val="20"/>
                <w:color w:val="auto"/>
              </w:rPr>
            </w:pPr>
            <w:r>
              <w:rPr>
                <w:rFonts w:ascii="Times New Roman" w:cs="Times New Roman" w:eastAsia="Times New Roman" w:hAnsi="Times New Roman"/>
                <w:sz w:val="20"/>
                <w:szCs w:val="20"/>
                <w:b w:val="1"/>
                <w:bCs w:val="1"/>
                <w:color w:val="auto"/>
                <w:w w:val="99"/>
              </w:rPr>
              <w:t>94-3267295</w:t>
            </w:r>
          </w:p>
        </w:tc>
      </w:tr>
      <w:tr>
        <w:trPr>
          <w:trHeight w:val="297"/>
        </w:trPr>
        <w:tc>
          <w:tcPr>
            <w:tcW w:w="3960" w:type="dxa"/>
            <w:vAlign w:val="bottom"/>
          </w:tcPr>
          <w:p>
            <w:pPr>
              <w:jc w:val="center"/>
              <w:ind w:right="1261"/>
              <w:spacing w:after="0"/>
              <w:rPr>
                <w:sz w:val="20"/>
                <w:szCs w:val="20"/>
                <w:color w:val="auto"/>
              </w:rPr>
            </w:pPr>
            <w:r>
              <w:rPr>
                <w:rFonts w:ascii="Times New Roman" w:cs="Times New Roman" w:eastAsia="Times New Roman" w:hAnsi="Times New Roman"/>
                <w:sz w:val="20"/>
                <w:szCs w:val="20"/>
                <w:color w:val="auto"/>
                <w:w w:val="98"/>
              </w:rPr>
              <w:t>(State or other jurisdiction</w:t>
            </w:r>
          </w:p>
        </w:tc>
        <w:tc>
          <w:tcPr>
            <w:tcW w:w="2860" w:type="dxa"/>
            <w:vAlign w:val="bottom"/>
          </w:tcPr>
          <w:p>
            <w:pPr>
              <w:jc w:val="center"/>
              <w:ind w:right="46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286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(I.R.S. Employer</w:t>
            </w:r>
          </w:p>
        </w:tc>
      </w:tr>
      <w:tr>
        <w:trPr>
          <w:trHeight w:val="270"/>
        </w:trPr>
        <w:tc>
          <w:tcPr>
            <w:tcW w:w="3960" w:type="dxa"/>
            <w:vAlign w:val="bottom"/>
          </w:tcPr>
          <w:p>
            <w:pPr>
              <w:jc w:val="center"/>
              <w:ind w:right="1261"/>
              <w:spacing w:after="0"/>
              <w:rPr>
                <w:sz w:val="20"/>
                <w:szCs w:val="20"/>
                <w:color w:val="auto"/>
              </w:rPr>
            </w:pPr>
            <w:r>
              <w:rPr>
                <w:rFonts w:ascii="Times New Roman" w:cs="Times New Roman" w:eastAsia="Times New Roman" w:hAnsi="Times New Roman"/>
                <w:sz w:val="20"/>
                <w:szCs w:val="20"/>
                <w:color w:val="auto"/>
                <w:w w:val="98"/>
              </w:rPr>
              <w:t>of incorporation or organization)</w:t>
            </w:r>
          </w:p>
        </w:tc>
        <w:tc>
          <w:tcPr>
            <w:tcW w:w="2860" w:type="dxa"/>
            <w:vAlign w:val="bottom"/>
          </w:tcPr>
          <w:p>
            <w:pPr>
              <w:spacing w:after="0"/>
              <w:rPr>
                <w:sz w:val="23"/>
                <w:szCs w:val="23"/>
                <w:color w:val="auto"/>
              </w:rPr>
            </w:pPr>
          </w:p>
        </w:tc>
        <w:tc>
          <w:tcPr>
            <w:tcW w:w="286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851"/>
        </w:trPr>
        <w:tc>
          <w:tcPr>
            <w:tcW w:w="3960" w:type="dxa"/>
            <w:vAlign w:val="bottom"/>
          </w:tcPr>
          <w:p>
            <w:pPr>
              <w:jc w:val="center"/>
              <w:ind w:left="501"/>
              <w:spacing w:after="0"/>
              <w:rPr>
                <w:sz w:val="20"/>
                <w:szCs w:val="20"/>
                <w:color w:val="auto"/>
              </w:rPr>
            </w:pPr>
            <w:r>
              <w:rPr>
                <w:rFonts w:ascii="Times New Roman" w:cs="Times New Roman" w:eastAsia="Times New Roman" w:hAnsi="Times New Roman"/>
                <w:sz w:val="20"/>
                <w:szCs w:val="20"/>
                <w:b w:val="1"/>
                <w:bCs w:val="1"/>
                <w:color w:val="auto"/>
                <w:w w:val="99"/>
              </w:rPr>
              <w:t>410 North Scottsdale Road, Suite 1300</w:t>
            </w:r>
          </w:p>
        </w:tc>
        <w:tc>
          <w:tcPr>
            <w:tcW w:w="28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36"/>
        </w:trPr>
        <w:tc>
          <w:tcPr>
            <w:tcW w:w="3960" w:type="dxa"/>
            <w:vAlign w:val="bottom"/>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7"/>
              </w:rPr>
              <w:t>Tempe, Arizona</w:t>
            </w:r>
          </w:p>
        </w:tc>
        <w:tc>
          <w:tcPr>
            <w:tcW w:w="2860" w:type="dxa"/>
            <w:vAlign w:val="bottom"/>
          </w:tcPr>
          <w:p>
            <w:pPr>
              <w:spacing w:after="0"/>
              <w:rPr>
                <w:sz w:val="24"/>
                <w:szCs w:val="24"/>
                <w:color w:val="auto"/>
              </w:rPr>
            </w:pPr>
          </w:p>
        </w:tc>
        <w:tc>
          <w:tcPr>
            <w:tcW w:w="2860" w:type="dxa"/>
            <w:vAlign w:val="bottom"/>
          </w:tcPr>
          <w:p>
            <w:pPr>
              <w:jc w:val="right"/>
              <w:ind w:right="1321"/>
              <w:spacing w:after="0"/>
              <w:rPr>
                <w:sz w:val="20"/>
                <w:szCs w:val="20"/>
                <w:color w:val="auto"/>
              </w:rPr>
            </w:pPr>
            <w:r>
              <w:rPr>
                <w:rFonts w:ascii="Times New Roman" w:cs="Times New Roman" w:eastAsia="Times New Roman" w:hAnsi="Times New Roman"/>
                <w:sz w:val="20"/>
                <w:szCs w:val="20"/>
                <w:b w:val="1"/>
                <w:bCs w:val="1"/>
                <w:color w:val="auto"/>
              </w:rPr>
              <w:t>85288</w:t>
            </w:r>
          </w:p>
        </w:tc>
      </w:tr>
      <w:tr>
        <w:trPr>
          <w:trHeight w:val="258"/>
        </w:trPr>
        <w:tc>
          <w:tcPr>
            <w:tcW w:w="3960" w:type="dxa"/>
            <w:vAlign w:val="bottom"/>
          </w:tcPr>
          <w:p>
            <w:pPr>
              <w:jc w:val="center"/>
              <w:ind w:left="481"/>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2860" w:type="dxa"/>
            <w:vAlign w:val="bottom"/>
          </w:tcPr>
          <w:p>
            <w:pPr>
              <w:spacing w:after="0"/>
              <w:rPr>
                <w:sz w:val="22"/>
                <w:szCs w:val="22"/>
                <w:color w:val="auto"/>
              </w:rPr>
            </w:pPr>
          </w:p>
        </w:tc>
        <w:tc>
          <w:tcPr>
            <w:tcW w:w="286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7"/>
              </w:rPr>
              <w:t>(Zip code)</w:t>
            </w:r>
          </w:p>
        </w:tc>
      </w:tr>
      <w:tr>
        <w:trPr>
          <w:trHeight w:val="608"/>
        </w:trPr>
        <w:tc>
          <w:tcPr>
            <w:tcW w:w="3960" w:type="dxa"/>
            <w:vAlign w:val="bottom"/>
          </w:tcPr>
          <w:p>
            <w:pPr>
              <w:ind w:left="1840"/>
              <w:spacing w:after="0"/>
              <w:rPr>
                <w:sz w:val="20"/>
                <w:szCs w:val="20"/>
                <w:color w:val="auto"/>
              </w:rPr>
            </w:pPr>
            <w:r>
              <w:rPr>
                <w:rFonts w:ascii="Times New Roman" w:cs="Times New Roman" w:eastAsia="Times New Roman" w:hAnsi="Times New Roman"/>
                <w:sz w:val="20"/>
                <w:szCs w:val="20"/>
                <w:b w:val="1"/>
                <w:bCs w:val="1"/>
                <w:color w:val="auto"/>
              </w:rPr>
              <w:t>Julie Coletti</w:t>
            </w:r>
          </w:p>
        </w:tc>
        <w:tc>
          <w:tcPr>
            <w:tcW w:w="2860" w:type="dxa"/>
            <w:vAlign w:val="bottom"/>
          </w:tcPr>
          <w:p>
            <w:pPr>
              <w:spacing w:after="0"/>
              <w:rPr>
                <w:sz w:val="24"/>
                <w:szCs w:val="24"/>
                <w:color w:val="auto"/>
              </w:rPr>
            </w:pPr>
          </w:p>
        </w:tc>
        <w:tc>
          <w:tcPr>
            <w:tcW w:w="2860" w:type="dxa"/>
            <w:vAlign w:val="bottom"/>
          </w:tcPr>
          <w:p>
            <w:pPr>
              <w:jc w:val="right"/>
              <w:ind w:right="921"/>
              <w:spacing w:after="0"/>
              <w:rPr>
                <w:sz w:val="20"/>
                <w:szCs w:val="20"/>
                <w:color w:val="auto"/>
              </w:rPr>
            </w:pPr>
            <w:r>
              <w:rPr>
                <w:rFonts w:ascii="Times New Roman" w:cs="Times New Roman" w:eastAsia="Times New Roman" w:hAnsi="Times New Roman"/>
                <w:sz w:val="20"/>
                <w:szCs w:val="20"/>
                <w:b w:val="1"/>
                <w:bCs w:val="1"/>
                <w:color w:val="auto"/>
              </w:rPr>
              <w:t>(602) 742-2000</w:t>
            </w:r>
          </w:p>
        </w:tc>
      </w:tr>
    </w:tbl>
    <w:p>
      <w:pPr>
        <w:jc w:val="center"/>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349" w:lineRule="exact"/>
        <w:rPr>
          <w:sz w:val="24"/>
          <w:szCs w:val="24"/>
          <w:color w:val="auto"/>
        </w:rPr>
      </w:pPr>
    </w:p>
    <w:p>
      <w:pPr>
        <w:ind w:left="80"/>
        <w:spacing w:after="0" w:line="283"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submitted, and provide the period to which the information in this Form applies:</w:t>
      </w:r>
    </w:p>
    <w:p>
      <w:pPr>
        <w:spacing w:after="0" w:line="19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20"/>
          <w:szCs w:val="20"/>
          <w:color w:val="auto"/>
        </w:rPr>
        <w:t>Rule 13p-1 under the Securities Exchange Act (17 CFR 240.13p-1) for the reporting period from January 1 to December 31, 2025.</w:t>
      </w:r>
    </w:p>
    <w:p>
      <w:pPr>
        <w:spacing w:after="0" w:line="66"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43"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Conflict Minerals Disclosure and Report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accordance with Rule 13p-1 promulgated under the Securities Exchange Act of 1934, as amended, Align Technology, Inc. (the “Company”) is filing a Conflict Minerals Report for the reporting period from January 1, 2025 to December 31, 2025, a copy of which is attached hereto as Exhibit 1.01.</w:t>
      </w:r>
    </w:p>
    <w:p>
      <w:pPr>
        <w:spacing w:after="0" w:line="204"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 xml:space="preserve">A copy of this Specialized Disclosure Report on Form SD and the associated Conflict Minerals Report </w:t>
      </w:r>
      <w:r>
        <w:rPr>
          <w:rFonts w:ascii="Times New Roman" w:cs="Times New Roman" w:eastAsia="Times New Roman" w:hAnsi="Times New Roman"/>
          <w:sz w:val="21"/>
          <w:szCs w:val="21"/>
          <w:color w:val="auto"/>
        </w:rPr>
        <w:t>are</w:t>
      </w:r>
      <w:r>
        <w:rPr>
          <w:rFonts w:ascii="Times New Roman" w:cs="Times New Roman" w:eastAsia="Times New Roman" w:hAnsi="Times New Roman"/>
          <w:sz w:val="20"/>
          <w:szCs w:val="20"/>
          <w:color w:val="auto"/>
        </w:rPr>
        <w:t xml:space="preserve"> publicly available through the Company’s website at https://investor.aligntech.com/financial-information/sec-filings. The</w:t>
      </w:r>
    </w:p>
    <w:p>
      <w:pPr>
        <w:sectPr>
          <w:pgSz w:w="11900" w:h="16838" w:orient="portrait"/>
          <w:cols w:equalWidth="0" w:num="1">
            <w:col w:w="11240"/>
          </w:cols>
          <w:pgMar w:left="320" w:top="61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Company’s website and the information accessible through it are not incorporated into this Specialized Disclosure Report on Form SD.</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1.02</w:t>
      </w:r>
      <w:r>
        <w:rPr>
          <w:sz w:val="20"/>
          <w:szCs w:val="20"/>
          <w:color w:val="auto"/>
        </w:rPr>
        <w:tab/>
      </w:r>
      <w:r>
        <w:rPr>
          <w:rFonts w:ascii="Times New Roman" w:cs="Times New Roman" w:eastAsia="Times New Roman" w:hAnsi="Times New Roman"/>
          <w:sz w:val="19"/>
          <w:szCs w:val="19"/>
          <w:b w:val="1"/>
          <w:bCs w:val="1"/>
          <w:color w:val="auto"/>
        </w:rPr>
        <w:t>Exhibit</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Company’s Conflict Minerals Report for the reporting period from January 1, 2025 to December 31, 2025 is filed as Exhibit 1.01 to this Specialized Disclosure Report on Form SD and is incorporated herein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3.01</w:t>
      </w:r>
      <w:r>
        <w:rPr>
          <w:sz w:val="20"/>
          <w:szCs w:val="20"/>
          <w:color w:val="auto"/>
        </w:rPr>
        <w:tab/>
      </w:r>
      <w:r>
        <w:rPr>
          <w:rFonts w:ascii="Times New Roman" w:cs="Times New Roman" w:eastAsia="Times New Roman" w:hAnsi="Times New Roman"/>
          <w:sz w:val="19"/>
          <w:szCs w:val="19"/>
          <w:b w:val="1"/>
          <w:bCs w:val="1"/>
          <w:color w:val="auto"/>
        </w:rPr>
        <w:t>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Align Technology, Inc.’s Conflict Minerals Report for the reporting period from January 1 to December 31, 2025</w:t>
      </w:r>
      <w:r>
        <w:rPr>
          <w:rFonts w:ascii="Times New Roman" w:cs="Times New Roman" w:eastAsia="Times New Roman" w:hAnsi="Times New Roman"/>
          <w:sz w:val="20"/>
          <w:szCs w:val="20"/>
          <w:color w:val="000000"/>
        </w:rPr>
        <w:t>.</w:t>
      </w:r>
    </w:p>
    <w:p>
      <w:pPr>
        <w:sectPr>
          <w:pgSz w:w="11900" w:h="16838" w:orient="portrait"/>
          <w:cols w:equalWidth="0" w:num="1">
            <w:col w:w="11240"/>
          </w:cols>
          <w:pgMar w:left="320" w:top="4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ALIGN TECHNOLOGY, INC.</w:t>
      </w:r>
    </w:p>
    <w:p>
      <w:pPr>
        <w:spacing w:after="0" w:line="256" w:lineRule="exact"/>
        <w:rPr>
          <w:sz w:val="20"/>
          <w:szCs w:val="20"/>
          <w:color w:val="auto"/>
        </w:rPr>
      </w:pPr>
    </w:p>
    <w:p>
      <w:pPr>
        <w:ind w:left="20"/>
        <w:spacing w:after="0"/>
        <w:tabs>
          <w:tab w:leader="none" w:pos="560" w:val="left"/>
          <w:tab w:leader="none" w:pos="9160" w:val="left"/>
        </w:tabs>
        <w:rPr>
          <w:sz w:val="20"/>
          <w:szCs w:val="20"/>
          <w:color w:val="auto"/>
        </w:rPr>
      </w:pPr>
      <w:r>
        <w:rPr>
          <w:rFonts w:ascii="Times New Roman" w:cs="Times New Roman" w:eastAsia="Times New Roman" w:hAnsi="Times New Roman"/>
          <w:sz w:val="20"/>
          <w:szCs w:val="20"/>
          <w:color w:val="auto"/>
        </w:rPr>
        <w:t>By:</w:t>
        <w:tab/>
        <w:t>/s/ JULIE COLETTI</w:t>
      </w:r>
      <w:r>
        <w:rPr>
          <w:sz w:val="20"/>
          <w:szCs w:val="20"/>
          <w:color w:val="auto"/>
        </w:rPr>
        <w:tab/>
      </w:r>
      <w:r>
        <w:rPr>
          <w:rFonts w:ascii="Times New Roman" w:cs="Times New Roman" w:eastAsia="Times New Roman" w:hAnsi="Times New Roman"/>
          <w:sz w:val="19"/>
          <w:szCs w:val="19"/>
          <w:color w:val="auto"/>
        </w:rPr>
        <w:t>Date: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40005</wp:posOffset>
            </wp:positionV>
            <wp:extent cx="6780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Julie Coletti</w:t>
      </w:r>
    </w:p>
    <w:p>
      <w:pPr>
        <w:ind w:left="580"/>
        <w:spacing w:after="0"/>
        <w:rPr>
          <w:sz w:val="20"/>
          <w:szCs w:val="20"/>
          <w:color w:val="auto"/>
        </w:rPr>
      </w:pPr>
      <w:r>
        <w:rPr>
          <w:rFonts w:ascii="Times New Roman" w:cs="Times New Roman" w:eastAsia="Times New Roman" w:hAnsi="Times New Roman"/>
          <w:sz w:val="20"/>
          <w:szCs w:val="20"/>
          <w:color w:val="auto"/>
        </w:rPr>
        <w:t>Executive Vice President, Chief Legal and Regulatory Officer</w:t>
      </w:r>
    </w:p>
    <w:p>
      <w:pPr>
        <w:sectPr>
          <w:pgSz w:w="11900" w:h="16838" w:orient="portrait"/>
          <w:cols w:equalWidth="0" w:num="1">
            <w:col w:w="11240"/>
          </w:cols>
          <w:pgMar w:left="320" w:top="4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CONFLICT MINERALS REPORT OF</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REPORTING PERIOD FROM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 TO DECEMBER 31, 2025</w:t>
      </w:r>
    </w:p>
    <w:p>
      <w:pPr>
        <w:spacing w:after="0" w:line="41"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Introduction</w:t>
      </w:r>
    </w:p>
    <w:p>
      <w:pPr>
        <w:spacing w:after="0" w:line="2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is the Conflict Minerals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Report of Align Technology, Inc. (“we,” “our,” “us,” or the “Company”) prepared for calendar year 2025 in accordance with Rule 13p-1 (“Rule 13p-1”) under the Securities Exchange Act of 1934 (the “Act”). Numerous terms in this Report are defined in Rule 13p-1 of the Act and SEC Release No. 34-67716 (August 22, 2012) under the Act (the “Adopting Release”). The reader is referred to these sources for the definitions of defined terms contained herein.</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accordance with Rule 13p-1, we undertook efforts to determine the presence and source of the conflict minerals within our products. The Company designed its efforts in conformity with the internationally recognized due diligence framework set forth in the </w:t>
      </w:r>
      <w:r>
        <w:rPr>
          <w:rFonts w:ascii="Times New Roman" w:cs="Times New Roman" w:eastAsia="Times New Roman" w:hAnsi="Times New Roman"/>
          <w:sz w:val="18"/>
          <w:szCs w:val="18"/>
          <w:i w:val="1"/>
          <w:iCs w:val="1"/>
          <w:color w:val="auto"/>
        </w:rPr>
        <w:t>Organisation for Economic Co-operation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Development (“OECD”) Due Diligence Guidance for Responsible Supply Chains of Minerals from Conflict-Affected and High-Risk Areas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(“OECD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Diligence Guidance”) and related Supplements.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statements below are based on the activities performed to date in good faith by the Company and are based on the infrastructure and information available at the time of this filing. Factors that could affect the accuracy of these statements include, but are not limited to, incomplete supplier data or available smelter data, errors or omissions by suppliers or smelters, evolving identification of smelters, incomplete information from industry or other third-party sources, continuing guidance regarding the SEC final rules, and other issues.</w:t>
      </w:r>
    </w:p>
    <w:p>
      <w:pPr>
        <w:spacing w:after="0" w:line="270" w:lineRule="exact"/>
        <w:rPr>
          <w:sz w:val="20"/>
          <w:szCs w:val="20"/>
          <w:color w:val="auto"/>
        </w:rPr>
      </w:pPr>
    </w:p>
    <w:p>
      <w:pPr>
        <w:ind w:right="9840" w:firstLine="8"/>
        <w:spacing w:after="0" w:line="542" w:lineRule="auto"/>
        <w:tabs>
          <w:tab w:leader="none" w:pos="648"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b w:val="1"/>
          <w:bCs w:val="1"/>
          <w:u w:val="single" w:color="auto"/>
          <w:color w:val="auto"/>
        </w:rPr>
        <w:t>Company Profile</w:t>
      </w:r>
    </w:p>
    <w:p>
      <w:pPr>
        <w:spacing w:after="0" w:line="1" w:lineRule="exact"/>
        <w:rPr>
          <w:sz w:val="20"/>
          <w:szCs w:val="20"/>
          <w:color w:val="auto"/>
        </w:rPr>
      </w:pPr>
    </w:p>
    <w:p>
      <w:pPr>
        <w:jc w:val="both"/>
        <w:ind w:right="140"/>
        <w:spacing w:after="0" w:line="211" w:lineRule="auto"/>
        <w:rPr>
          <w:sz w:val="20"/>
          <w:szCs w:val="20"/>
          <w:color w:val="auto"/>
        </w:rPr>
      </w:pPr>
      <w:r>
        <w:rPr>
          <w:rFonts w:ascii="Times New Roman" w:cs="Times New Roman" w:eastAsia="Times New Roman" w:hAnsi="Times New Roman"/>
          <w:sz w:val="18"/>
          <w:szCs w:val="18"/>
          <w:color w:val="auto"/>
        </w:rPr>
        <w:t>The Company is a global medical device company primarily engaged in the design, manufacture and marketing of Invisalign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clear aligners for the treatment of malocclusions, or the misalignment of teeth, by orthodontists and general dental practitioners (“GPs”), Vivera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retainers for retention, iTero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intraoral scanners and services for dentistry, and exocad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computer-aided design and computer-aided manufacturing (“CAD/CAM”) software for dental laboratories and dental practitioners.</w:t>
      </w:r>
    </w:p>
    <w:p>
      <w:pPr>
        <w:spacing w:after="0" w:line="22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this rule as we have determined that, during 2025, conflict minerals were likely necessary to the functionality or production of products we manufactured or contracted to manufacture. The Company, as a purchaser of component parts, is many steps removed from the mining of conflict minerals. We do not purchase raw ore or unrefined conflict minerals, nor do we conduct purchasing activities directly in the Democratic Republic of the Congo (“DRC”) or adjoining countries.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Minerals Policy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developed a policy statement to support the goals expressed by Congress in enacting Section 1502 of the Dodd-Frank Wall Street Reform and Consumer Protection Act. The policy highlights the Company’s commitment to complying with the reporting and due diligence obligations required by the SEC rule and the Company’s expectations from its suppliers. In addition, the policy includes language encouraging suppliers to source responsibly and that we expect our suppliers to conduct the necessary inquiry and, where appropriate, additional due diligence, to provide us with confirmation of the source(s) of the materials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9" w:lineRule="exact"/>
        <w:rPr>
          <w:sz w:val="20"/>
          <w:szCs w:val="20"/>
          <w:color w:val="auto"/>
        </w:rPr>
      </w:pPr>
    </w:p>
    <w:p>
      <w:pPr>
        <w:jc w:val="both"/>
        <w:ind w:firstLine="8"/>
        <w:spacing w:after="0" w:line="236"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term “conflict mineral” is defined in Section 1502(e)(4) of the Dodd-Frank Wall Street Reform and Consumer Protection Act as (A) columbite- tantalite, also known as coltan (the metal ore from which tantalum is extracted); cassiterite (the metal ore from which tin is extracted); gold; wolframite (the metal ore from which tungsten is extracted); or their derivatives; or (B) any other mineral or its derivatives determined by the Secretary of State to be financing conflict in the Democratic Republic of the Congo (“DRC”) or an adjoining country.</w:t>
      </w:r>
    </w:p>
    <w:p>
      <w:pPr>
        <w:spacing w:after="0" w:line="1" w:lineRule="exact"/>
        <w:rPr>
          <w:rFonts w:ascii="Times New Roman" w:cs="Times New Roman" w:eastAsia="Times New Roman" w:hAnsi="Times New Roman"/>
          <w:sz w:val="23"/>
          <w:szCs w:val="23"/>
          <w:color w:val="auto"/>
          <w:vertAlign w:val="superscript"/>
        </w:rPr>
      </w:pPr>
    </w:p>
    <w:p>
      <w:pPr>
        <w:spacing w:after="0" w:line="22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OECD (2016), OECD Due Diligence Guidance for Responsible Supply Chains of Minerals from Conflict-Affected and High-Risk Areas: Third Edition, OECD Publishing, Paris. http://dx.doi.org/10.1787/9789264252479-en</w:t>
      </w:r>
    </w:p>
    <w:p>
      <w:pPr>
        <w:sectPr>
          <w:pgSz w:w="11900" w:h="16838" w:orient="portrait"/>
          <w:cols w:equalWidth="0" w:num="1">
            <w:col w:w="11240"/>
          </w:cols>
          <w:pgMar w:left="320" w:top="114"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their processes and ultimately contained in our products. The policy resides on our corporate website (https://investor.aligntech.com/corporate-gov/documents).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 Information</w:t>
      </w:r>
    </w:p>
    <w:p>
      <w:pPr>
        <w:spacing w:after="0" w:line="25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We have conducted a good faith reasonable country of origin inquiry (“RCOI”) to determine whether the necessary conflict minerals originated in the DRC or an adjoining country or came from recycled or scrap sources.</w:t>
      </w:r>
    </w:p>
    <w:p>
      <w:pPr>
        <w:spacing w:after="0" w:line="1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Company’s RCOI process included reviewing the products manufactured or contracted to be manufactured during the Reporting Period to identify products that should be deemed in-scope as described by the Adopting Release and conducting an inquiry of our direct suppliers of the in-scope products using the Responsible Minerals Initiative’s (“RMI”) Conflict Minerals Reporting Template (“CMRT”). Based on the results of our RCOI which indicated sourcing from the DRC or an adjoining country, we exercised due diligence on the source and chain of custody of the conflict minerals in accordance with the OECD Due Diligence Guidance. Our due diligence efforts are discussed further in this Conflict Minerals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Program Design</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designed its conflict minerals program to conform, in all material respects, with the five-step framework of the OECD Due Diligence Guidance, the Supplement on Tin, Tantalum, and Tungsten, and the Supplement on Gold, specifically as they relate to our position in the minerals supply chain as a “downstream” company:</w:t>
      </w:r>
    </w:p>
    <w:p>
      <w:pPr>
        <w:spacing w:after="0" w:line="20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Step 1:</w:t>
      </w:r>
      <w:r>
        <w:rPr>
          <w:sz w:val="20"/>
          <w:szCs w:val="20"/>
          <w:color w:val="auto"/>
        </w:rPr>
        <w:tab/>
      </w:r>
      <w:r>
        <w:rPr>
          <w:rFonts w:ascii="Times New Roman" w:cs="Times New Roman" w:eastAsia="Times New Roman" w:hAnsi="Times New Roman"/>
          <w:sz w:val="17"/>
          <w:szCs w:val="17"/>
          <w:color w:val="auto"/>
        </w:rPr>
        <w:t>Establish strong company management systems</w:t>
      </w:r>
    </w:p>
    <w:p>
      <w:pPr>
        <w:spacing w:after="0" w:line="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Step 2:</w:t>
      </w:r>
      <w:r>
        <w:rPr>
          <w:sz w:val="20"/>
          <w:szCs w:val="20"/>
          <w:color w:val="auto"/>
        </w:rPr>
        <w:tab/>
      </w:r>
      <w:r>
        <w:rPr>
          <w:rFonts w:ascii="Times New Roman" w:cs="Times New Roman" w:eastAsia="Times New Roman" w:hAnsi="Times New Roman"/>
          <w:sz w:val="17"/>
          <w:szCs w:val="17"/>
          <w:color w:val="auto"/>
        </w:rPr>
        <w:t>Identify and assess risks in the supply chain</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Step 3:</w:t>
      </w:r>
      <w:r>
        <w:rPr>
          <w:sz w:val="20"/>
          <w:szCs w:val="20"/>
          <w:color w:val="auto"/>
        </w:rPr>
        <w:tab/>
      </w:r>
      <w:r>
        <w:rPr>
          <w:rFonts w:ascii="Times New Roman" w:cs="Times New Roman" w:eastAsia="Times New Roman" w:hAnsi="Times New Roman"/>
          <w:sz w:val="17"/>
          <w:szCs w:val="17"/>
          <w:color w:val="auto"/>
        </w:rPr>
        <w:t>Design and implement a strategy to respond to identified risks</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Step 4:</w:t>
      </w:r>
      <w:r>
        <w:rPr>
          <w:sz w:val="20"/>
          <w:szCs w:val="20"/>
          <w:color w:val="auto"/>
        </w:rPr>
        <w:tab/>
      </w:r>
      <w:r>
        <w:rPr>
          <w:rFonts w:ascii="Times New Roman" w:cs="Times New Roman" w:eastAsia="Times New Roman" w:hAnsi="Times New Roman"/>
          <w:sz w:val="17"/>
          <w:szCs w:val="17"/>
          <w:color w:val="auto"/>
        </w:rPr>
        <w:t>Carry out independent third-party audit of smelter/refiner's due diligence practices</w:t>
      </w:r>
    </w:p>
    <w:p>
      <w:pPr>
        <w:spacing w:after="0" w:line="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Step 5:</w:t>
      </w:r>
      <w:r>
        <w:rPr>
          <w:sz w:val="20"/>
          <w:szCs w:val="20"/>
          <w:color w:val="auto"/>
        </w:rPr>
        <w:tab/>
      </w:r>
      <w:r>
        <w:rPr>
          <w:rFonts w:ascii="Times New Roman" w:cs="Times New Roman" w:eastAsia="Times New Roman" w:hAnsi="Times New Roman"/>
          <w:sz w:val="17"/>
          <w:szCs w:val="17"/>
          <w:color w:val="auto"/>
        </w:rPr>
        <w:t>Report annually on supply chain due diligence.</w:t>
      </w:r>
    </w:p>
    <w:p>
      <w:pPr>
        <w:spacing w:after="0" w:line="28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Due Diligence Measures Performed by The Company</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describes the measures taken to reasonably determine the country of origin and to exercise due diligence in the mineral supply chain in conformance with the OECD Due Diligence Guidance.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252" w:lineRule="exact"/>
        <w:rPr>
          <w:sz w:val="20"/>
          <w:szCs w:val="20"/>
          <w:color w:val="auto"/>
        </w:rPr>
      </w:pPr>
    </w:p>
    <w:p>
      <w:pPr>
        <w:jc w:val="both"/>
        <w:ind w:left="300" w:hanging="292"/>
        <w:spacing w:after="0" w:line="257"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team – The Company established a conflict minerals team that includes individuals from the relevant business units and departments, including compliance, finance, procurement, sales, and legal. The team was structured to include the involvement from those in upper management roles to help ensure that critical information, including the Company’s conflict minerals policy, reached relevant employees and suppliers.</w:t>
      </w:r>
    </w:p>
    <w:p>
      <w:pPr>
        <w:spacing w:after="0" w:line="1" w:lineRule="exact"/>
        <w:rPr>
          <w:rFonts w:ascii="Times New Roman" w:cs="Times New Roman" w:eastAsia="Times New Roman" w:hAnsi="Times New Roman"/>
          <w:sz w:val="18"/>
          <w:szCs w:val="18"/>
          <w:color w:val="auto"/>
        </w:rPr>
      </w:pPr>
    </w:p>
    <w:p>
      <w:pPr>
        <w:ind w:left="300" w:hanging="292"/>
        <w:spacing w:after="0" w:line="250" w:lineRule="auto"/>
        <w:tabs>
          <w:tab w:leader="none" w:pos="2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policy – The Company adopted and published a policy establishing the expectations of our suppliers. The policy resides on our corporate website (https://investor.aligntech.com/corporate-gov/documents).</w:t>
      </w:r>
    </w:p>
    <w:p>
      <w:pPr>
        <w:ind w:left="300" w:hanging="292"/>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engagement – We educate our employees on our conflict minerals process, our goals, and reporting obligations as a supplier and a public filer.</w:t>
      </w:r>
    </w:p>
    <w:p>
      <w:pPr>
        <w:spacing w:after="0" w:line="9" w:lineRule="exact"/>
        <w:rPr>
          <w:rFonts w:ascii="Times New Roman" w:cs="Times New Roman" w:eastAsia="Times New Roman" w:hAnsi="Times New Roman"/>
          <w:sz w:val="18"/>
          <w:szCs w:val="18"/>
          <w:color w:val="auto"/>
        </w:rPr>
      </w:pPr>
    </w:p>
    <w:p>
      <w:pPr>
        <w:jc w:val="both"/>
        <w:ind w:left="300" w:hanging="292"/>
        <w:spacing w:after="0" w:line="250" w:lineRule="auto"/>
        <w:tabs>
          <w:tab w:leader="none" w:pos="2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 Suppliers are routinely informed of the conflict minerals disclosure requirements as well as recommendations for developing, implementing, and documenting a conflict minerals compliance program. Stakeholders can communicate directly and confidentially with our compliance officer.</w:t>
      </w:r>
    </w:p>
    <w:p>
      <w:pPr>
        <w:spacing w:after="0" w:line="1" w:lineRule="exact"/>
        <w:rPr>
          <w:rFonts w:ascii="Times New Roman" w:cs="Times New Roman" w:eastAsia="Times New Roman" w:hAnsi="Times New Roman"/>
          <w:sz w:val="18"/>
          <w:szCs w:val="18"/>
          <w:color w:val="auto"/>
        </w:rPr>
      </w:pPr>
    </w:p>
    <w:p>
      <w:pPr>
        <w:jc w:val="both"/>
        <w:ind w:left="300" w:hanging="292"/>
        <w:spacing w:after="0" w:line="250" w:lineRule="auto"/>
        <w:tabs>
          <w:tab w:leader="none" w:pos="2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level grievance mechanism – As recommended by the OECD Due Diligence Guidance, the Company has a grievance mechanism in place as a risk-awareness system for conflict minerals issues. The policy statement provides a contact for internal and external stakeholders to reach out to regarding questions and concerns.</w:t>
      </w:r>
    </w:p>
    <w:p>
      <w:pPr>
        <w:spacing w:after="0" w:line="1" w:lineRule="exact"/>
        <w:rPr>
          <w:rFonts w:ascii="Times New Roman" w:cs="Times New Roman" w:eastAsia="Times New Roman" w:hAnsi="Times New Roman"/>
          <w:sz w:val="18"/>
          <w:szCs w:val="18"/>
          <w:color w:val="auto"/>
        </w:rPr>
      </w:pPr>
    </w:p>
    <w:p>
      <w:pPr>
        <w:ind w:left="300" w:right="20" w:hanging="292"/>
        <w:spacing w:after="0" w:line="260" w:lineRule="auto"/>
        <w:tabs>
          <w:tab w:leader="none" w:pos="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management – The Company will maintain records relating to our conflict minerals program in accordance with the recommended record retention guidelines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the following steps as part of our risk assessment process:</w:t>
      </w:r>
    </w:p>
    <w:p>
      <w:pPr>
        <w:spacing w:after="0" w:line="252" w:lineRule="exact"/>
        <w:rPr>
          <w:sz w:val="20"/>
          <w:szCs w:val="20"/>
          <w:color w:val="auto"/>
        </w:rPr>
      </w:pPr>
    </w:p>
    <w:p>
      <w:pPr>
        <w:ind w:left="400" w:hanging="301"/>
        <w:spacing w:after="0" w:line="261" w:lineRule="auto"/>
        <w:tabs>
          <w:tab w:leader="none" w:pos="3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products in scope – Our conflict minerals team conducted a detailed review of the products manufactured or contracted to be manufactured during the Reporting Period to identify products that should be deemed in-scope as described by the Adopting Release.</w:t>
      </w:r>
    </w:p>
    <w:p>
      <w:pPr>
        <w:jc w:val="both"/>
        <w:ind w:left="400" w:hanging="301"/>
        <w:spacing w:after="0" w:line="254" w:lineRule="auto"/>
        <w:tabs>
          <w:tab w:leader="none" w:pos="3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RCOI – The Company utilized the most recent version of the industry-developed CMRT to query our suppliers for conflict minerals information. We requested this information from the Tier 1 suppliers who provide materials and components for the products deemed in-scope by our conflict minerals team. We evaluated the responses from the templates submitted by our suppliers to determine our reporting obligation based on this RCOI. See Appendix I for a list of countries of origin identified through the RCOI process.</w:t>
      </w:r>
    </w:p>
    <w:p>
      <w:pPr>
        <w:spacing w:after="0" w:line="1" w:lineRule="exact"/>
        <w:rPr>
          <w:rFonts w:ascii="Times New Roman" w:cs="Times New Roman" w:eastAsia="Times New Roman" w:hAnsi="Times New Roman"/>
          <w:sz w:val="18"/>
          <w:szCs w:val="18"/>
          <w:color w:val="auto"/>
        </w:rPr>
      </w:pPr>
    </w:p>
    <w:p>
      <w:pPr>
        <w:ind w:left="400" w:hanging="301"/>
        <w:spacing w:after="0" w:line="258" w:lineRule="auto"/>
        <w:tabs>
          <w:tab w:leader="none" w:pos="3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additional follow-up – The Company contacted direct suppliers multiple times to request detailed conflict minerals information. We also worked to clarify and validate the accuracy of information provided by our suppliers.</w:t>
      </w:r>
    </w:p>
    <w:p>
      <w:pPr>
        <w:jc w:val="both"/>
        <w:ind w:left="400" w:hanging="301"/>
        <w:spacing w:after="0" w:line="254" w:lineRule="auto"/>
        <w:tabs>
          <w:tab w:leader="none" w:pos="3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smelters or refiners (“SORs”) – The Company compiled a list of SORs in our supply chain using our suppliers’ responses in their CMRTs. The Company reconciled this list to the list of smelter facilities designated by the RMI’s Responsible Minerals Assurance Process (“RMAP”). The RMAP completes independent, third-party audits of smelters and refiners to determine which can be validated as having systems in place that help ensure the minerals are responsibly sourced according to the OECD Due Diligence Guidance. The company also utilized information provided by the London Bullion Market Association (“LBMA”), and Responsible Jewelry Council (“RJC”) cross-recognition audit programs. The Company maintains a database of smelter aliases to reconcile suppliers’ smelters lists to the list of RMI SORs. We have provided that list in this report within section IV – Product Description; Processing Facilities.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the following steps as part of our risk management plan:</w:t>
      </w:r>
    </w:p>
    <w:p>
      <w:pPr>
        <w:spacing w:after="0" w:line="252" w:lineRule="exact"/>
        <w:rPr>
          <w:sz w:val="20"/>
          <w:szCs w:val="20"/>
          <w:color w:val="auto"/>
        </w:rPr>
      </w:pPr>
    </w:p>
    <w:p>
      <w:pPr>
        <w:ind w:left="400" w:hanging="285"/>
        <w:spacing w:after="0" w:line="261" w:lineRule="auto"/>
        <w:tabs>
          <w:tab w:leader="none" w:pos="3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results to senior management – As necessary, the Conflict Minerals team reports the results of our RCOI to upper management which included the team’s plan to respond to risks identified in the due diligence processes.</w:t>
      </w:r>
    </w:p>
    <w:p>
      <w:pPr>
        <w:ind w:left="380" w:hanging="276"/>
        <w:spacing w:after="0"/>
        <w:tabs>
          <w:tab w:leader="none" w:pos="3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plan – The Company used established risk rating criteria to evaluate suppliers based on the responses</w:t>
      </w:r>
    </w:p>
    <w:p>
      <w:pPr>
        <w:spacing w:after="0" w:line="9" w:lineRule="exact"/>
        <w:rPr>
          <w:rFonts w:ascii="Times New Roman" w:cs="Times New Roman" w:eastAsia="Times New Roman" w:hAnsi="Times New Roman"/>
          <w:sz w:val="18"/>
          <w:szCs w:val="18"/>
          <w:color w:val="auto"/>
        </w:rPr>
      </w:pPr>
    </w:p>
    <w:p>
      <w:pPr>
        <w:jc w:val="both"/>
        <w:ind w:left="400" w:hanging="296"/>
        <w:spacing w:after="0" w:line="250"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within their CMRT as well as any additional documentation furnished to support those responses and the suppliers’ due diligence processes. The resulting risk ratings were used to develop specific supplier outreach and training to address the identified risks and to take corrective actions with suppliers determined not to be in compliance with the Company’s conflict minerals policy. Further actions will include additional outreach to suppliers who failed to respond to our multiple requests for information; provided inconsistent, ambiguous, incomplete, or erroneous information, or indicated they had received responses from less than 50% of their in-scope suppliers. Our team further reviews the responses to verify the validity of SORs reported by our suppliers, the audit status of such SORs and the country of origin of the minerals processed at such facilities.</w:t>
      </w:r>
    </w:p>
    <w:p>
      <w:pPr>
        <w:spacing w:after="0" w:line="2" w:lineRule="exact"/>
        <w:rPr>
          <w:rFonts w:ascii="Times New Roman" w:cs="Times New Roman" w:eastAsia="Times New Roman" w:hAnsi="Times New Roman"/>
          <w:sz w:val="18"/>
          <w:szCs w:val="18"/>
          <w:color w:val="auto"/>
        </w:rPr>
      </w:pPr>
    </w:p>
    <w:p>
      <w:pPr>
        <w:ind w:left="400" w:hanging="296"/>
        <w:spacing w:after="0" w:line="260" w:lineRule="auto"/>
        <w:tabs>
          <w:tab w:leader="none" w:pos="3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SORs – As part of the risk mitigation process, the Company reconciled the list of SORs collected from suppliers to the list of smelter facilities validated by the RMI. The Company maintains a database of smelter aliases to reconcile suppliers’ smelters lists to the list of RMI SORs.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using information provided by independent third party audit programs, including the RMI RMAP, LBMA, and RJC, to confirm the existence and verify the OECD-conformance status of SORs identified during our due diligence.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smelters that had not been audited as conformant, the Company sent a communication to encourage participation in the RMAP and requested the SOR to provide the mines and/or locations the SOR sources from to assist in identifying all countries of origin.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00"/>
          </w:cols>
          <w:pgMar w:left="320" w:top="1417" w:right="479" w:bottom="1440" w:gutter="0" w:footer="0" w:header="0"/>
        </w:sectPr>
      </w:pPr>
    </w:p>
    <w:bookmarkStart w:id="6" w:name="page7"/>
    <w:bookmarkEnd w:id="6"/>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this Conflict Minerals Report has been filed with the SEC and is available through our website at http://investor.aligntech.com/sec.cfm.</w:t>
      </w:r>
    </w:p>
    <w:p>
      <w:pPr>
        <w:spacing w:after="0" w:line="3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Product Description; Processing Facilities</w:t>
      </w:r>
    </w:p>
    <w:p>
      <w:pPr>
        <w:spacing w:after="0" w:line="25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Product Description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Company has two operating segments: (1) Clear Aligner, which includes the Invisalign System; and (2) Imaging Systems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CAD/CAM Services (“SCCS”), which includes the Company’s iTero intraoral scanners and services for dentistry and exocad computer-aided design and computer-aided manufacturing (“CAD/CAM”) software for dental laboratories and dental practitioners.</w:t>
      </w:r>
    </w:p>
    <w:p>
      <w:pPr>
        <w:spacing w:after="0" w:line="19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Processin</w:t>
      </w: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u w:val="single" w:color="auto"/>
          <w:color w:val="auto"/>
        </w:rPr>
        <w:t>Facilities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Based on our due diligence process and the information received from our suppliers, the following facilities were identified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suppliers as the smelters and refiners of the tin, tantalum, tungsten and/or gold present in and necessary to the functionality of products manufactured by the Company in the calendar year ended December 31, 2025. The information from our suppliers is still evolving and may contain company-level declarations. As such, this smelter list is presented in good faith as the best information we have to date. For 2025, we identified 238 SORs in our supply chain, 202 have been audited as conformant with the RMAP. This list may contain smelters that are not actually in our supply chain and/or there may be other smelters not yet identified in our due diligence process. We will continue to update the list as our information and the relevant third-party data from RMI, LBMA, and RJC becomes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198755</wp:posOffset>
            </wp:positionV>
            <wp:extent cx="4937760" cy="2880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5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Smelter ID</w:t>
            </w:r>
          </w:p>
        </w:tc>
      </w:tr>
      <w:tr>
        <w:trPr>
          <w:trHeight w:val="31"/>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Abington Reldan Metals, LLC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CID002708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Advanced Chemical Company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CID000015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Agosi AG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CID000035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Aida Chemical Industries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CID000019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 Etihad Gold Refinery DMCC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ARAB EMIRATES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CID002560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Alexy Metals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CID003500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Almalyk Mining and Metallurgical Complex (AMMC)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UZBEKISTAN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CID000041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AngloGold Ashanti Corrego do Sitio Mineracao</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CID000058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Argor-Heraeus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SWITZERLAND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CID000077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440" w:right="319" w:bottom="1440" w:gutter="0" w:footer="0" w:header="0"/>
          <w:type w:val="continuous"/>
        </w:sectPr>
      </w:pPr>
    </w:p>
    <w:bookmarkStart w:id="7" w:name="page8"/>
    <w:bookmarkEnd w:id="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ASAHI METALFINE, Inc.</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CID000082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Asahi Refining Canada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CANADA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CID000924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Asahi Refining USA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CID000920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Asaka Riken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CID000090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Augmont Enterprises Private Limited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CID003461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Aurubis AG, Hamburg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CID000113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Bangalore Refinery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CID002863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Bangko Sentral ng Pilipinas (Central Bank of the Philippines)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PHILIPPINES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CID000128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Boliden Mineral AB (Ronnskar)</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SWEDEN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CID000157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 Hafner GmbH + Co. KG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CID000176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Caridad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CID000180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Cendres + Metaux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SWITZERLAND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CID000189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Chimet S.p.A.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ITALY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CID000233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Chugai Mining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CID000264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Coimpa Industrial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CID004010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Daye Non-Ferrous Metals Mining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CID000343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Dowa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CID000401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DSC (Do Sung Corporation)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CID000359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Eco-System Recycling Co., Ltd. East Plant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CID000425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Eco-System Recycling Co., Ltd. North Plant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CID003424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Eco-System Recycling Co., Ltd. West Plant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CID003425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Elite Industech Co., Ltd.</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CID004755</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Emirates Gold DMCC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ARAB EMIRATES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CID002561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GG Refinery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TANZANIA, UNITED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CID004506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GGC Gujrat Gold Centre Pvt.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CID002852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Glencore Canada Corporation - CCR Refinery</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CANADA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CID000185</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 by Gold Colombia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COLOMBIA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CID003641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 Corporation - The Perth Mint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AUSTRALIA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CID002030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Great Wall Precious Metals Co., Ltd. of CBPM</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CID001909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Heimerle + Meule GmbH</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CID000694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Heraeus Germany GmbH Co. KG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CID000711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Heraeus Metals Hong Kong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HONG KONG</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CID000707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Impala Platinum - Platinum Metals Refinery (PMR)</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AFRICA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CID004714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Inner Mongolia Qiankun Gold and Silver Refinery Share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CID000801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Ishifuku Metal Industry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CID000807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Istanbul Gold Refinery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TURKEY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CID000814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Italpreziosi</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ITALY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CID002765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 Mint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CID000823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Copper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CID000855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JX Advanced Metals Corporation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CID000937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Kazakhmys Smelting LLC</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KAZAKHSTAN</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CID000956</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Kazzinc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KAZAKHSTAN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CID000957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Kennecott Utah Copper LLC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CID000969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KGHM Polska Miedz Spolka Akcyjna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CID002511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Kojima Chemicals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CID000981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Zinc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CID002605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L'Orfebre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ANDORRA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CID002762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LS MnM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CID001078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LT Metal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CID000689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Materion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CID001113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Matsuda Sangyo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CID001119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 Concentrators SA (Pty)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AFRICA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CID003575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Metalor Technologies (Hong Kong)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CID001149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Metalor Technologies (Singapore) Pte.,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SINGAPORE</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CID001152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60"/>
          </w:cols>
          <w:pgMar w:left="320" w:top="1440" w:right="319" w:bottom="0" w:gutter="0" w:footer="0" w:header="0"/>
          <w:type w:val="continuous"/>
        </w:sectPr>
      </w:pPr>
    </w:p>
    <w:bookmarkStart w:id="8" w:name="page9"/>
    <w:bookmarkEnd w:id="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Metalor Technologies (Suzhou) Ltd.</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CID001147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Metalor Technologies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SWITZERLAND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CID001153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Metalor USA Refining Corporation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CID001157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Metalurgica Met-Mex Penoles S.A. De C.V.</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CID001161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Mitsubishi Materials Corporation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CID001188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Mitsui Mining and Smelting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CID001193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MKS PAMP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SWITZERLAND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CID001352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MMTC-PAMP India Pvt.,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Nadir Metal Rafineri San. Ve Tic. A.S.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TURKEY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CID001220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Navoi Mining and Metallurgical Combinat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UZBEKISTAN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CID001236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NH Recytech Company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CID003189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Nihon Material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CID001259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NOBLE METAL SERVICES</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CID003690</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Oegussa Oesterreichische Gold- und Silber-Scheideanstalt Gesm.b.H.</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AUSTRIA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CID002779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Ohura Precious Metal Industry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CID001325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Planta Recuperadora de Metales SpA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CHILE</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CID002919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Aneka Tambang (Persero) Tbk</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CID001397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PX Precinox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SWITZERLAND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CID001498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Rand Refinery (Pty)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AFRICA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CID001512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REMONDIS PMR B.V.</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NETHERLANDS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CID002582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Royal Canadian Mint</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CANADA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CID001534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SAAMP</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FRANCE</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CID002761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Safimet S.p.A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ITALY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CID002973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SAFINA A.S.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CZECHIA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CID002290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SEMPSA Joyeria Plateria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SPAIN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CID001585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Shandong Gold Smelting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CID001916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Shandong Zhaojin Gold &amp; Silver Refinery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CID001622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Shenzhen Zhonghenglong Real Industry Co., Ltd.</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CID002527</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Sichuan Tianze Precious Metals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CID001736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Applied Materials Technology Corp.</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CID001761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Sumitomo Metal Mining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CID001798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SungEel HiMetal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CID002918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T.C.A S.p.A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ITALY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CID002580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Tanaka Kikinzoku Kogyo K.K.</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CID001875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Tokuriki Honten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CID001938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TOO Tau-Ken-Altyn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KAZAKHSTAN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CID002615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Torecom</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KOREA, REPUBLIC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CID001955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Umicore S.A. Business Unit Precious Metals Refining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BELGIUM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CID001980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Precious Metal Refining,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CID001993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Valcambi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SWITZERLAND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CID002003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WEEEREFINING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FRANCE</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CID003615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WIELAND Edelmetalle GmbH</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CID002778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Yamakin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CID002100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Yokohama Metal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CID002129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Zhongyuan Gold Smelter of Zhongjin Gold Corporation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CID002224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Gold</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Zijin Mining Group Gold Smelting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CID002243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AMG Brasil</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CID001076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 Block Metals, LLC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F&amp;X Electro-Materials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CID000460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FIR Metals &amp; Resource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Global Advanced Metals Aizu</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CID002558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Global Advanced Metals Boyertown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CID002557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Guangdong Rising Rare Metals-EO Materials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CID000291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Hengyang King Xing Lifeng New Materials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CID002492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60"/>
          </w:cols>
          <w:pgMar w:left="320" w:top="1440" w:right="319" w:bottom="0" w:gutter="0" w:footer="0" w:header="0"/>
          <w:type w:val="continuous"/>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Dinghai Tantalum &amp; Niobium Co., Ltd.</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CID002512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Suns Nonferrous Materials Co. Ltd.</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CID004813</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Tuohong New Raw Material</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CID002842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JiuJiang JinXin Nonferrous Metals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CID000914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Jiujiang Tanbre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CID000917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Jiujiang Zhongao Tantalum &amp; Niobium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KEMET de Mexico</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MEXICO</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CID002539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Materion Newton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Metallurgical Products India Pvt.,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CID001163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Mineracao Taboca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CID001175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Mitsui Kinzoku Company, Limited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CID001192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Ningxia Orient Tantalum Industry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CID001277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NPM Silmet OU</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ESTONIA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CID001200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PowerX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RWANDA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CID004054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Resind Industria e Comercio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CID002707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Taki Chemical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CID001869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TANIOBIS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THAILAND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TANIOBIS GmbH</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TANIOBIS Japan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TANIOBIS Smelting GmbH &amp; Co. KG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CID002550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Telex Metals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CID001891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Ulba Metallurgical Plant JSC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KAZAKHSTAN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CID001969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XIMEI RESOURCES (GUANGDONG) LIMITED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CID000616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XinXing HaoRong Electronic Material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Tantalum</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Yanling Jincheng Tantalum &amp; Niobium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CID001522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Alpha Assembly Solutions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CID000292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An Vinh Joint Stock Mineral Processing Company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CID002703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Aurubis Beerse</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BELGIUM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CID002773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Aurubis Berango</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SPAIN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CID002774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Chenzhou Yunxiang Mining and Metallurgy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CID000228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 Tin Group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CID001070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82"/>
        </w:trPr>
        <w:tc>
          <w:tcPr>
            <w:tcW w:w="1360" w:type="dxa"/>
            <w:vAlign w:val="bottom"/>
            <w:tcBorders>
              <w:left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6"/>
                <w:szCs w:val="16"/>
                <w:color w:val="auto"/>
              </w:rPr>
              <w:t>CRM Fundicao De Metais E Comercio De Equipamentos Eletronicos Do Brasil</w:t>
            </w:r>
          </w:p>
        </w:tc>
        <w:tc>
          <w:tcPr>
            <w:tcW w:w="2980" w:type="dxa"/>
            <w:vAlign w:val="bottom"/>
            <w:tcBorders>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CID003486</w:t>
            </w: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Ltda</w:t>
            </w:r>
          </w:p>
        </w:tc>
        <w:tc>
          <w:tcPr>
            <w:tcW w:w="29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10"/>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CRM Synergies EMEA, S.L.U.</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SPAIN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CID003524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CV Ayi Jaya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CID002570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Dongguan Best Alloys Co., Ltd.</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CID000377</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Dowa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CID000402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Empresa Metallurgica Vinto</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BOLIVIA (PLURINATIONAL STATE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CID000438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Estanho de Rondonia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CID000448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Fabrica Auricchio Industria e Comercio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CID003582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Fenix Metals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CID000468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Gejiu City Fuxiang Industry and Trade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CID003410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Gejiu Non-Ferrous Metal Processing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CID000538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Global Advanced Metals Greenbushes Pty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AUSTRALIA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CID004754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Guangdong Hanhe Non-ferrous Metal Limited Company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CID003116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New Nanshan Technology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CID001231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Luna Smelter,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RWANDA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CID003387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Ma'anshan Weitai Tin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CID003379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Magnu's Minerais Metais e Ligas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CID002468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Malaysia Smelting Corporation Berhad (Port Klang)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MALAYSIA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CID004434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Melt Metais e Ligas S.A.</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CID002500</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Metallic Resources,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CID001142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Mineracao Taboca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CID001173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2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60"/>
          </w:cols>
          <w:pgMar w:left="320" w:top="1440" w:right="319" w:bottom="253" w:gutter="0" w:footer="0" w:header="0"/>
          <w:type w:val="continuous"/>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Mining Minerals Resources SARL</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CONGO, DEMOCRATIC REPUBLIC OF</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CID004065</w:t>
            </w: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w:t>
            </w:r>
          </w:p>
        </w:tc>
        <w:tc>
          <w:tcPr>
            <w:tcW w:w="1520" w:type="dxa"/>
            <w:vAlign w:val="bottom"/>
            <w:tcBorders>
              <w:bottom w:val="single" w:sz="8" w:color="auto"/>
              <w:right w:val="single" w:sz="8" w:color="auto"/>
            </w:tcBorders>
          </w:tcPr>
          <w:p>
            <w:pPr>
              <w:spacing w:after="0"/>
              <w:rPr>
                <w:sz w:val="19"/>
                <w:szCs w:val="19"/>
                <w:color w:val="auto"/>
              </w:rPr>
            </w:pPr>
          </w:p>
        </w:tc>
      </w:tr>
      <w:tr>
        <w:trPr>
          <w:trHeight w:val="210"/>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Minsur</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PERU</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CID001182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Mitsubishi Materials Corporation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CID001191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Nghe Tinh Non-Ferrous Metals Joint Stock Company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CID002573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O.M. Manufacturing (Thailand)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THAILAND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CID001314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O.M. Manufacturing Philippines,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PHILIPPINES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CID002517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Operaciones Metalurgicas S.A.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BOLIVIA (PLURINATIONAL STATE OF)</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CID001337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Precious Minerals and Smelting Limited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CID003409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Aries Kencana Sejahtera</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CID000309</w:t>
            </w:r>
          </w:p>
        </w:tc>
      </w:tr>
      <w:tr>
        <w:trPr>
          <w:trHeight w:val="209"/>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Artha Cipta Langgeng</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CID001399</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ATD Makmur Mandiri Jaya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Bangka Prima Tin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CID002776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Cipta Persada Mulia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CID002696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7"/>
        </w:trPr>
        <w:tc>
          <w:tcPr>
            <w:tcW w:w="13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Masbro Alam Stania</w:t>
            </w:r>
          </w:p>
        </w:tc>
        <w:tc>
          <w:tcPr>
            <w:tcW w:w="2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CID003380</w:t>
            </w: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Mitra Stania Prima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CID001453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Mitra Sukses Globalindo</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CID003449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Premium Tin Indonesia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CID000313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Prima Timah Utama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CID001458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Putera Sarana Shakti (PT PSS)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CID003868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Rajehan Ariq</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CID002593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Timah Tbk Kundur</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CID001477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PT Timah Tbk Mentok</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INDONESIA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CID001482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Resind Industria e Comercio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CID002706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Rui Da Hung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CID001539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Super Ligas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CID002756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55"/>
        </w:trPr>
        <w:tc>
          <w:tcPr>
            <w:tcW w:w="1360" w:type="dxa"/>
            <w:vAlign w:val="bottom"/>
            <w:tcBorders>
              <w:left w:val="single" w:sz="8" w:color="auto"/>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Takehara PVD Materials Plant / PVD Materials Division of MITSUI MINING &amp;</w:t>
            </w:r>
          </w:p>
        </w:tc>
        <w:tc>
          <w:tcPr>
            <w:tcW w:w="2980" w:type="dxa"/>
            <w:vAlign w:val="bottom"/>
            <w:tcBorders>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CID004403</w:t>
            </w:r>
          </w:p>
        </w:tc>
      </w:tr>
      <w:tr>
        <w:trPr>
          <w:trHeight w:val="213"/>
        </w:trPr>
        <w:tc>
          <w:tcPr>
            <w:tcW w:w="1360" w:type="dxa"/>
            <w:vAlign w:val="bottom"/>
            <w:tcBorders>
              <w:left w:val="single" w:sz="8" w:color="auto"/>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SMELTING CO., LTD.</w:t>
            </w:r>
          </w:p>
        </w:tc>
        <w:tc>
          <w:tcPr>
            <w:tcW w:w="29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r>
      <w:tr>
        <w:trPr>
          <w:trHeight w:val="207"/>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Thaisarco</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THAILAND</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CID001898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 Smelting Branch of Yunnan Tin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CID002180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Tin Technology &amp; Refining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CID003325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VQB Mineral and Trading Group JSC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CID002015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White Solder Metalurgia e Mineracao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CID002036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Woodcross Smelting Company Limited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UGANDA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CID004724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Yunnan Chengfeng Non-ferrous Metals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CID002158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Tin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Yunnan Yunfan Non-ferrous Metals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CID003397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A.L.M.T. Corp.</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CID000004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Asia Tungsten Products Vietnam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CID002502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 Molybdenum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CID002641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Chongyi Zhangyuan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CID000258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Cronimet Brasil Ltda</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BRAZIL</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CID003468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Fujian Xinlu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CID003609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Ganzhou Jiangwu Ferrotungsten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CID002315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Ganzhou Seadragon W &amp; Mo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CID002494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Global Tungsten &amp; Powders LLC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CID000568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Guangdong Xianglu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CID000218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H.C. Starck Tungsten GmbH</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Hubei Green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CID003417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Hunan Jintai New Material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CID000769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182"/>
        </w:trPr>
        <w:tc>
          <w:tcPr>
            <w:tcW w:w="1360" w:type="dxa"/>
            <w:vAlign w:val="bottom"/>
            <w:tcBorders>
              <w:left w:val="single" w:sz="8" w:color="auto"/>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6"/>
                <w:szCs w:val="16"/>
                <w:color w:val="auto"/>
              </w:rPr>
              <w:t>Hunan Shizhuyuan Nonferrous Metals Co., Ltd. Chenzhou Tungsten Products</w:t>
            </w:r>
          </w:p>
        </w:tc>
        <w:tc>
          <w:tcPr>
            <w:tcW w:w="2980" w:type="dxa"/>
            <w:vAlign w:val="bottom"/>
            <w:tcBorders>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CID002513</w:t>
            </w:r>
          </w:p>
        </w:tc>
      </w:tr>
      <w:tr>
        <w:trPr>
          <w:trHeight w:val="223"/>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54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Branch</w:t>
            </w:r>
          </w:p>
        </w:tc>
        <w:tc>
          <w:tcPr>
            <w:tcW w:w="29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r>
      <w:tr>
        <w:trPr>
          <w:trHeight w:val="210"/>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 New Metals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JAPAN</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CID000825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Jiangwu H.C. Starck Tungsten Products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CID002551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Gan Bei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CID002321</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60"/>
          </w:cols>
          <w:pgMar w:left="320" w:top="1440" w:right="319" w:bottom="199" w:gutter="0" w:footer="0" w:header="0"/>
          <w:type w:val="continuous"/>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3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Xinsheng Tungsten Industry Co., Ltd.</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CID002317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Jiangxi Yaosheng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CID002316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Jing Yuan Tungsten Technology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CID005012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KENEE MINING VIETNAM COMPANY LIMITED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CID004619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Kennametal Fallon</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CID000966</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Kennametal Huntsville</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CID000105</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Lianyou Metals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CID003407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Lianyou Resources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TAIWAN, PROVINCE OF 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CID004397</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Malipo Haiyu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CID002319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Masan High-Tech Materials</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Niagara Refining LLC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CID002589</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Philippine Carreytech Metal Corp.</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PHILIPPINES</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CID004438</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Shinwon Tungsten (Fujian Shanghang)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CID004430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TANIOBIS Smelting GmbH &amp; Co. KG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GERMANY</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CID002542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Tungsten Vietnam Joint Stock Company</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VIET NAM</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CID003993</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Wolfram Bergbau und Hutten AG</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AUSTRIA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CID002044</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Xiamen Tungsten (H.C.)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CID002320</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r>
        <w:trPr>
          <w:trHeight w:val="204"/>
        </w:trPr>
        <w:tc>
          <w:tcPr>
            <w:tcW w:w="13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Tungsten</w:t>
            </w:r>
          </w:p>
        </w:tc>
        <w:tc>
          <w:tcPr>
            <w:tcW w:w="5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Xiamen Tungsten Co.,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CHINA</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CID002082</w:t>
            </w: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540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60"/>
          </w:cols>
          <w:pgMar w:left="320" w:top="1440" w:right="319" w:bottom="1440" w:gutter="0" w:footer="0" w:header="0"/>
        </w:sectPr>
      </w:pPr>
    </w:p>
    <w:bookmarkStart w:id="12" w:name="page13"/>
    <w:bookmarkEnd w:id="12"/>
    <w:p>
      <w:pPr>
        <w:spacing w:after="0" w:line="271"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Future Due Diligence</w:t>
      </w:r>
    </w:p>
    <w:p>
      <w:pPr>
        <w:spacing w:after="0" w:line="25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to our direct suppliers. Over time, we anticipate that the amount of information available globally on the traceability and sourcing of these ores will increase and improve our knowledge. We will continue to make inquiries to our direct suppliers and undertake additional risk assessments when potentially relevant changes in facts or circumstances are identified. If we become aware of a supplier whose due diligence needs improvement, we may continue the trade relationship while that supplier improves its compliance program. We expect our suppliers to take similar measures with their suppliers to help ensure alignment throughout the supply chain.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those above, the Company will undertake the following steps during the next compliance period:</w:t>
      </w:r>
    </w:p>
    <w:p>
      <w:pPr>
        <w:spacing w:after="0" w:line="252" w:lineRule="exact"/>
        <w:rPr>
          <w:sz w:val="20"/>
          <w:szCs w:val="20"/>
          <w:color w:val="auto"/>
        </w:rPr>
      </w:pP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conflict minerals policy statement and make any appropriate updates, as necessary.</w:t>
      </w:r>
    </w:p>
    <w:p>
      <w:pPr>
        <w:spacing w:after="0" w:line="27" w:lineRule="exact"/>
        <w:rPr>
          <w:rFonts w:ascii="Times New Roman" w:cs="Times New Roman" w:eastAsia="Times New Roman" w:hAnsi="Times New Roman"/>
          <w:sz w:val="18"/>
          <w:szCs w:val="18"/>
          <w:color w:val="auto"/>
        </w:rPr>
      </w:pP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supplier and employee training materials and make any appropriate updates, as necessary.</w:t>
      </w:r>
    </w:p>
    <w:p>
      <w:pPr>
        <w:spacing w:after="0" w:line="9" w:lineRule="exact"/>
        <w:rPr>
          <w:rFonts w:ascii="Times New Roman" w:cs="Times New Roman" w:eastAsia="Times New Roman" w:hAnsi="Times New Roman"/>
          <w:sz w:val="18"/>
          <w:szCs w:val="18"/>
          <w:color w:val="auto"/>
        </w:rPr>
      </w:pPr>
    </w:p>
    <w:p>
      <w:pPr>
        <w:ind w:left="440" w:hanging="337"/>
        <w:spacing w:after="0" w:line="236"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request clarifications and collect responses from suppliers using the most recent revision of the CMRT.</w:t>
      </w:r>
    </w:p>
    <w:p>
      <w:pPr>
        <w:ind w:left="460" w:hanging="356"/>
        <w:spacing w:after="0" w:line="234" w:lineRule="auto"/>
        <w:tabs>
          <w:tab w:leader="none" w:pos="4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that did not provide a response in 2025 or provided inconsistent, ambiguous, incomplete, or erroneous responses to enhance our data collection for 2026.</w:t>
      </w:r>
    </w:p>
    <w:p>
      <w:pPr>
        <w:spacing w:after="0" w:line="1" w:lineRule="exact"/>
        <w:rPr>
          <w:rFonts w:ascii="Times New Roman" w:cs="Times New Roman" w:eastAsia="Times New Roman" w:hAnsi="Times New Roman"/>
          <w:sz w:val="18"/>
          <w:szCs w:val="18"/>
          <w:color w:val="auto"/>
        </w:rPr>
      </w:pP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track performance of risk mitigation efforts, including the performance of suppliers deemed high-risk.</w:t>
      </w:r>
    </w:p>
    <w:p>
      <w:pPr>
        <w:spacing w:after="0" w:line="7" w:lineRule="exact"/>
        <w:rPr>
          <w:rFonts w:ascii="Times New Roman" w:cs="Times New Roman" w:eastAsia="Times New Roman" w:hAnsi="Times New Roman"/>
          <w:sz w:val="18"/>
          <w:szCs w:val="18"/>
          <w:color w:val="auto"/>
        </w:rPr>
      </w:pP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smelters by sending letters to those that have not been audited as conformant.</w:t>
      </w:r>
    </w:p>
    <w:p>
      <w:pPr>
        <w:spacing w:after="0" w:line="9" w:lineRule="exact"/>
        <w:rPr>
          <w:rFonts w:ascii="Times New Roman" w:cs="Times New Roman" w:eastAsia="Times New Roman" w:hAnsi="Times New Roman"/>
          <w:sz w:val="18"/>
          <w:szCs w:val="18"/>
          <w:color w:val="auto"/>
        </w:rPr>
      </w:pP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send messages to our suppliers to engage with smelters that have not been audited as conformant.</w:t>
      </w:r>
    </w:p>
    <w:p>
      <w:pPr>
        <w:spacing w:after="0" w:line="9" w:lineRule="exact"/>
        <w:rPr>
          <w:rFonts w:ascii="Times New Roman" w:cs="Times New Roman" w:eastAsia="Times New Roman" w:hAnsi="Times New Roman"/>
          <w:sz w:val="18"/>
          <w:szCs w:val="18"/>
          <w:color w:val="auto"/>
        </w:rPr>
      </w:pP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from suppliers product-level or user-defined level responses when useful.</w:t>
      </w:r>
    </w:p>
    <w:p>
      <w:pPr>
        <w:spacing w:after="0" w:line="9" w:lineRule="exact"/>
        <w:rPr>
          <w:rFonts w:ascii="Times New Roman" w:cs="Times New Roman" w:eastAsia="Times New Roman" w:hAnsi="Times New Roman"/>
          <w:sz w:val="18"/>
          <w:szCs w:val="18"/>
          <w:color w:val="auto"/>
        </w:rPr>
      </w:pPr>
    </w:p>
    <w:p>
      <w:pPr>
        <w:ind w:left="460" w:right="140" w:hanging="356"/>
        <w:spacing w:after="0" w:line="250" w:lineRule="auto"/>
        <w:tabs>
          <w:tab w:leader="none" w:pos="4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and validate RCOI results to information collected via independent third-party audit programs, such as the RMI, and through our Company’s own coordinated outreach to smelters.</w:t>
      </w:r>
    </w:p>
    <w:p>
      <w:pPr>
        <w:ind w:left="440" w:hanging="337"/>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responsible sourcing from the DRC and adjoining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APPENDIX I – Countries of Origin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this Appendix is based on the information collected from the Company’s suppliers.</w:t>
      </w: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6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Australia</w:t>
            </w:r>
          </w:p>
        </w:tc>
        <w:tc>
          <w:tcPr>
            <w:tcW w:w="56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Myanmar</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Benin</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Namibia</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Bolivia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Nicaragua</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Brazil</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Niger</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Burundi</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Nigeria</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Canada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Papua New Guinea</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Chile</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Peru</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Philippines</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Colombia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Portugal</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Congo, Democratic Republic of the</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Rwanda</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Ethiopia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Sierra Leone</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France</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South Africa</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Germany</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Spain</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Guyana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Sweden</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Tanzania</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Indonesia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Thailand</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Uganda</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Laos</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Liberia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United States of America</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Madagascar</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Uzbekistan</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Vietnam</w:t>
            </w:r>
          </w:p>
        </w:tc>
      </w:tr>
      <w:tr>
        <w:trPr>
          <w:trHeight w:val="237"/>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Mongolia</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Zambia</w:t>
            </w:r>
          </w:p>
        </w:tc>
      </w:tr>
      <w:tr>
        <w:trPr>
          <w:trHeight w:val="236"/>
        </w:trPr>
        <w:tc>
          <w:tcPr>
            <w:tcW w:w="5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Mozambique</w:t>
            </w:r>
          </w:p>
        </w:tc>
        <w:tc>
          <w:tcPr>
            <w:tcW w:w="56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Zimbabwe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9"/>
    </w:lvl>
  </w:abstractNum>
  <w:abstractNum w:abstractNumId="3">
    <w:nsid w:val="7545E146"/>
    <w:multiLevelType w:val="hybridMultilevel"/>
    <w:lvl w:ilvl="0">
      <w:lvlJc w:val="left"/>
      <w:lvlText w:val="%1."/>
      <w:numFmt w:val="upperLetter"/>
      <w:start w:val="35"/>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1."/>
      <w:numFmt w:val="upperLetter"/>
      <w:start w:val="6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lvl w:ilvl="1">
      <w:lvlJc w:val="left"/>
      <w:lvlText w:val="%2."/>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Letter"/>
      <w:start w:val="1"/>
    </w:lvl>
  </w:abstractNum>
  <w:abstractNum w:abstractNumId="10">
    <w:nsid w:val="1190CDE7"/>
    <w:multiLevelType w:val="hybridMultilevel"/>
    <w:lvl w:ilvl="0">
      <w:lvlJc w:val="left"/>
      <w:lvlText w:val="%1."/>
      <w:numFmt w:val="upperLetter"/>
      <w:start w:val="2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2026-05-29T16:44:49Z</dcterms:created>
  <dcterms:modified xsi:type="dcterms:W3CDTF">2026-05-29T16:44:49Z</dcterms:modified>
</cp:coreProperties>
</file>