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3" w:lineRule="exact"/>
        <w:rPr>
          <w:sz w:val="24"/>
          <w:szCs w:val="24"/>
          <w:color w:val="auto"/>
        </w:rPr>
      </w:pPr>
    </w:p>
    <w:p>
      <w:pPr>
        <w:ind w:left="418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0-32259</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tbl>
      <w:tblPr>
        <w:tblLayout w:type="fixed"/>
        <w:tblInd w:w="1800" w:type="dxa"/>
        <w:tblCellMar>
          <w:top w:w="0" w:type="dxa"/>
          <w:left w:w="0" w:type="dxa"/>
          <w:bottom w:w="0" w:type="dxa"/>
          <w:right w:w="0" w:type="dxa"/>
        </w:tblCellMar>
      </w:tblPr>
      <w:tr>
        <w:trPr>
          <w:trHeight w:val="206"/>
        </w:trPr>
        <w:tc>
          <w:tcPr>
            <w:tcW w:w="5840" w:type="dxa"/>
            <w:vAlign w:val="bottom"/>
          </w:tcPr>
          <w:p>
            <w:pPr>
              <w:jc w:val="center"/>
              <w:ind w:left="185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17"/>
                <w:szCs w:val="17"/>
                <w:color w:val="auto"/>
              </w:rPr>
            </w:pPr>
          </w:p>
        </w:tc>
      </w:tr>
      <w:tr>
        <w:trPr>
          <w:trHeight w:val="337"/>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1"/>
              </w:rPr>
              <w:t>Delaware</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94-3267295</w:t>
            </w:r>
          </w:p>
        </w:tc>
      </w:tr>
      <w:tr>
        <w:trPr>
          <w:trHeight w:val="249"/>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(State or other jurisdiction of</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incorporation or organization)</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Identification Number)</w:t>
            </w:r>
          </w:p>
        </w:tc>
      </w:tr>
      <w:tr>
        <w:trPr>
          <w:trHeight w:val="289"/>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4"/>
              </w:rPr>
              <w:t>2820 Orchard Parkway</w:t>
            </w:r>
          </w:p>
        </w:tc>
        <w:tc>
          <w:tcPr>
            <w:tcW w:w="1720" w:type="dxa"/>
            <w:vAlign w:val="bottom"/>
          </w:tcPr>
          <w:p>
            <w:pPr>
              <w:spacing w:after="0"/>
              <w:rPr>
                <w:sz w:val="24"/>
                <w:szCs w:val="24"/>
                <w:color w:val="auto"/>
              </w:rPr>
            </w:pPr>
          </w:p>
        </w:tc>
      </w:tr>
      <w:tr>
        <w:trPr>
          <w:trHeight w:val="189"/>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91"/>
              </w:rPr>
              <w:t>San Jose, California 95134</w:t>
            </w:r>
          </w:p>
        </w:tc>
        <w:tc>
          <w:tcPr>
            <w:tcW w:w="1720" w:type="dxa"/>
            <w:vAlign w:val="bottom"/>
          </w:tcPr>
          <w:p>
            <w:pPr>
              <w:spacing w:after="0"/>
              <w:rPr>
                <w:sz w:val="16"/>
                <w:szCs w:val="16"/>
                <w:color w:val="auto"/>
              </w:rPr>
            </w:pPr>
          </w:p>
        </w:tc>
      </w:tr>
      <w:tr>
        <w:trPr>
          <w:trHeight w:val="210"/>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720" w:type="dxa"/>
            <w:vAlign w:val="bottom"/>
          </w:tcPr>
          <w:p>
            <w:pPr>
              <w:spacing w:after="0"/>
              <w:rPr>
                <w:sz w:val="18"/>
                <w:szCs w:val="18"/>
                <w:color w:val="auto"/>
              </w:rPr>
            </w:pPr>
          </w:p>
        </w:tc>
      </w:tr>
      <w:tr>
        <w:trPr>
          <w:trHeight w:val="33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3"/>
              </w:rPr>
              <w:t>(408) 470-1000</w:t>
            </w:r>
          </w:p>
        </w:tc>
        <w:tc>
          <w:tcPr>
            <w:tcW w:w="1720" w:type="dxa"/>
            <w:vAlign w:val="bottom"/>
          </w:tcPr>
          <w:p>
            <w:pPr>
              <w:spacing w:after="0"/>
              <w:rPr>
                <w:sz w:val="24"/>
                <w:szCs w:val="24"/>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720" w:type="dxa"/>
            <w:vAlign w:val="bottom"/>
          </w:tcPr>
          <w:p>
            <w:pPr>
              <w:spacing w:after="0"/>
              <w:rPr>
                <w:sz w:val="18"/>
                <w:szCs w:val="18"/>
                <w:color w:val="auto"/>
              </w:rPr>
            </w:pPr>
          </w:p>
        </w:tc>
      </w:tr>
      <w:tr>
        <w:trPr>
          <w:trHeight w:val="257"/>
        </w:trPr>
        <w:tc>
          <w:tcPr>
            <w:tcW w:w="5840" w:type="dxa"/>
            <w:vAlign w:val="bottom"/>
          </w:tcPr>
          <w:p>
            <w:pPr>
              <w:jc w:val="center"/>
              <w:ind w:left="193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22"/>
                <w:szCs w:val="22"/>
                <w:color w:val="auto"/>
              </w:rPr>
            </w:pPr>
          </w:p>
        </w:tc>
      </w:tr>
    </w:tbl>
    <w:p>
      <w:pPr>
        <w:spacing w:after="0" w:line="6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x</w:t>
            </w:r>
          </w:p>
        </w:tc>
        <w:tc>
          <w:tcPr>
            <w:tcW w:w="3860" w:type="dxa"/>
            <w:vAlign w:val="bottom"/>
          </w:tcPr>
          <w:p>
            <w:pPr>
              <w:spacing w:after="0"/>
              <w:rPr>
                <w:sz w:val="22"/>
                <w:szCs w:val="22"/>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Accelerated filer</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o</w:t>
            </w:r>
          </w:p>
        </w:tc>
        <w:tc>
          <w:tcPr>
            <w:tcW w:w="386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680" w:type="dxa"/>
            <w:vAlign w:val="bottom"/>
          </w:tcPr>
          <w:p>
            <w:pPr>
              <w:ind w:left="800"/>
              <w:spacing w:after="0"/>
              <w:rPr>
                <w:sz w:val="20"/>
                <w:szCs w:val="20"/>
                <w:color w:val="auto"/>
              </w:rPr>
            </w:pPr>
            <w:r>
              <w:rPr>
                <w:rFonts w:ascii="Arial" w:cs="Arial" w:eastAsia="Arial" w:hAnsi="Arial"/>
                <w:sz w:val="16"/>
                <w:szCs w:val="16"/>
                <w:color w:val="auto"/>
              </w:rPr>
              <w:t>Smaller reporting company</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Emerging growth company</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15" w:lineRule="exact"/>
        <w:rPr>
          <w:sz w:val="24"/>
          <w:szCs w:val="24"/>
          <w:color w:val="auto"/>
        </w:rPr>
      </w:pPr>
    </w:p>
    <w:p>
      <w:pPr>
        <w:ind w:left="440" w:right="248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 The number of shares outstanding of the registrant’s Common Stock, $0.0001 par value, as of April 27, 2018 was 80,149,641.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287655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201930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4">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5">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2">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2">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2">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Invisalign, Align, the Invisalign logo, ClinCheck, Made to Move, Invisalign Assist, Invisalign Teen, Invisalign Go,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436,924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310,341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74,716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327,408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235,625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151,148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22,804</w:t>
            </w:r>
          </w:p>
        </w:tc>
        <w:tc>
          <w:tcPr>
            <w:tcW w:w="0" w:type="dxa"/>
            <w:vAlign w:val="bottom"/>
          </w:tcPr>
          <w:p>
            <w:pPr>
              <w:spacing w:after="0"/>
              <w:rPr>
                <w:sz w:val="1"/>
                <w:szCs w:val="1"/>
                <w:color w:val="auto"/>
              </w:rPr>
            </w:pPr>
          </w:p>
        </w:tc>
      </w:tr>
      <w:tr>
        <w:trPr>
          <w:trHeight w:val="237"/>
        </w:trPr>
        <w:tc>
          <w:tcPr>
            <w:tcW w:w="812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229,216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173,952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61,673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9"/>
        </w:trPr>
        <w:tc>
          <w:tcPr>
            <w:tcW w:w="8120" w:type="dxa"/>
            <w:vAlign w:val="bottom"/>
          </w:tcPr>
          <w:p>
            <w:pPr>
              <w:ind w:left="40"/>
              <w:spacing w:after="0"/>
              <w:rPr>
                <w:sz w:val="20"/>
                <w:szCs w:val="20"/>
                <w:color w:val="auto"/>
              </w:rPr>
            </w:pPr>
            <w:r>
              <w:rPr>
                <w:rFonts w:ascii="Arial" w:cs="Arial" w:eastAsia="Arial" w:hAnsi="Arial"/>
                <w:sz w:val="18"/>
                <w:szCs w:val="18"/>
                <w:color w:val="auto"/>
              </w:rPr>
              <w:t>Net income before provision for (benefit from) income taxes and equity</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in losses of investee</w:t>
            </w: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100,545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63,318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79,904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81,628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81,534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8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95,866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69,420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 in unrealized gains (losses) on investments, net of tax</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96,779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68,976</w:t>
            </w: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449,511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164,740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272,031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 of $2,735 and $5,814,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35,866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31,688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80,948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1,168,776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1,158,367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400,528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348,793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89,068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43,893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1,782,731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1,784,009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180,093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195,562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267,713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517,985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500,051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17,937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15,579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655,271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629,721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(Notes 8 and 9)</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80,144 and 80,040 issued and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858,632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886,435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267,336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267,274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1,154,288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1,782,731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1,784,009</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5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Equity in losses of investee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(40,891)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Long-term income tax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77,332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(59,569)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(169,777)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11,684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Loan advances to equity investee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Loan repayment from equity investee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109,269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(148,462)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(131,412)</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450,125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393,019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cash equivalents, and restricted cash at end of the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498,619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261,607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or accrued liabilities related to property, plant and equipment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state fairly our results of operations for the three months ended March 31, 2018 and 2017, our comprehensive income for the three months ended March 31, 2018 and 2017, our financial position as of March 31, 2018 and our cash flows for the three months ended March 31, 2018 and 2017. The Condensed Consolidated Balance Sheet as of December 31, 2017 was derived from the December 31, 2017 audited financial statements and have been recast to reflect the adoption of accounting standards as described below. It does not include all disclosures required by accounting principles generally accepted in the United States of America (“U.S.”).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fiscal year 2018, we adopted the Accounting Standards Codification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using the full retrospective method and Accounting Standards Update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on a retrospective basis. Condensed Consolidated Balance Sheet as of December 31, 2017 and Condensed Consolidated Statement of Cash Flow for the three months ended March 31, 2017 have been recast to comply with the adoption of these standards.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months ended March 31, 2018 are not necessarily indicative of the results that may be expected for the year ending December 31, 2018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2017.</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equity method investments, useful lives of intangible assets and property and equipment, revenue recognition, stock-based compensation,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described in Note 1 “Summary of Significant Accounting Policies” of the Notes to Consolidated Financial Statements included in our Annual Report on Form 10-K. Significant changes to the Revenue Recognition policy as a result of ASC 606 adoption are discussed below:</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revenues are derived primarily from the sale of aligners, scanners, and services from our Clear Aligner and Scanner segments. We enter into sales contracts that may consist of multiple distinct performance obligations where certain performance obligations of the sales contract are not delivered in one reporting period. We measure and allocate revenue according to Accounting Standards Codification (“ASC”) 606-10, “</w:t>
      </w:r>
      <w:r>
        <w:rPr>
          <w:rFonts w:ascii="Arial" w:cs="Arial" w:eastAsia="Arial" w:hAnsi="Arial"/>
          <w:sz w:val="18"/>
          <w:szCs w:val="18"/>
          <w:i w:val="1"/>
          <w:iCs w:val="1"/>
          <w:color w:val="auto"/>
        </w:rPr>
        <w:t>Revenues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identify a performance obligation as distinct if both the following criteria are true: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Determining the standalone selling price (“SSP”) and allocation of consideration from a contract to the individual performance obligations, and the appropriate timing of revenue recognition, is the result of significant qualitative and quantitative judgments. Management considers a variety of factors such as historical sales, usage rates, costs, and expected margin, which may vary over time depending upon the unique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facts and circumstances related to each performance obligation in making these estimates. While changes in the allocation of the SSP between performance obligations will not affect the amount of total revenue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enter into contracts (“treatment plan(s)”) that involve multiple future performance obligations. Invisalign Full, Invisalign Teen, and Invisalign Assist products include optional additional aligners at no charge for a period of up to five years after initial shipment and Invisalign Go includes optional additional aligners at no charge for a period of up to two years after initial shipment. Invisalign Teen also includes up to six optional replacement aligners in the price of the product and may be ordered by the dental professional any time throughout treatment. Invisalign Lite includes one optional case refinement in the price of the product. Case refinement is a finishing tool used to adjust a patient’s teeth to the desired final position and may be elected by the dental professional at any time during treatment; however, it is generally ordered in the last stages of orthodontic treatment.</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determined that our treatment plans comprise the following performance obligations that also represent distinct deliverables: initial aligners, additional aligners, case refinement, and replacement aligners. The Company elected to take the practical expedient to consider shipping and handling costs as activities to fulfill the performance obligation. We allocate revenue for each treatment plan based on each unit’s SSP and recognize the revenue over the manufacturing period, typically 1-3 days, as the aligners do not have an alternative use and we have enforceable rights to payment. As we collect most consideration upfront, we considered whether a significant financing component exists. However, as the delivery of the performance obligations are at the customer’s discretion, we concluded that no significant financing component exists.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Scanners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sell intraoral scanners and CAD/CAM services through both our direct sales force and distribution partners. The intraoral scanner sales price includes one year of warranty and unlimited scanning services. The customer may, for additional fees, also select extended warranty and unlimited scanning services for periods beyond the initial year. When intraoral scanners are sold with an unlimited scanning service agreement and/or extended warranty, we allocate revenue based on each element’s SSP. We estimate the SSP of each element, taking into consideration historical prices as well as our discounting strategies. Revenue is then recognized over time as the monthly services are rendered and upon shipment for the scanner, as that is when we deem the customer to have obtained control.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both Clear Aligner and iTero scanner segments, the Company offers an assurance warranty, which provides the customer assurance that the product will function as the parties intended because it complies with agreed-upon specifications, and thus is not treated as a separate performance obligation and will continue to be accrued in accordance with the FASB guidance on guarantees.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Volume Discounts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certain situations, we offer promotions in which the discount will increase depending upon the volume purchased over time. We concluded that in these situations, the promotions can represent either variable consideration or options, depending upon the specifics of the promotion. In the event the promotion contains an option, the option is considered a material right and therefore, included in the accounting for the initial arrangement. We estimate the average anticipated discount over the lifetime of the promotion or contract, and apply that discount to each unit as it is sold. On a quarterly basis, we review our estimates and if needed, updates are made and changes are applied prospectively.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to Obtain a Contract</w:t>
      </w:r>
    </w:p>
    <w:p>
      <w:pPr>
        <w:spacing w:after="0" w:line="225"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We offer a variety of commission plans to our salesforce; each plan has multiple components. To match the costs to obtain a contract to the associated revenue, we evaluate the individual components and capitalize the eligible components, recognizing the costs over the treatment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Unfulfilled Performance Obligations for Clear Aligners and Scanners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unfilled performance obligations as of March 31, 2018 and the estimated revenue expected to be recognized in the future related to these performance obligations are $309 million. This includes performance obligations from the Clear Aligner segment, primarily the shipment of additional aligners, which are fulfilled over 1-5 years, and performance obligations from the iTero scanner segment, primarily contracted deliveries of additional scanners and support, which are fulfilled over 1-5 years. The estimate includes both product and service unfulfilled performance obligations and the time range reflect our best estimate of when the Company will transfer control to the customer and may change based on customer usage patterns, timing of shipments, readiness of customers’ facilities for installation, and manufacturing availability.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timing of revenue recognition results in deferred revenues on the Condensed Consolidated Balance Sheet. We usually collect the entire treatment fee prior to all performance obligations being performed and payment terms vary from net 30 to net 90. Contract liabilities are recorded as deferred revenue balances, which are generated based upon timing of invoices and recognition patterns, not payments. If the revenue recognition exceeds the billing, the exceeded amount is considered unbilled receivable and a contract asset. Conversely, if the billing occurs prior to the revenue recognition, the amount is considered deferred revenue and a contract liability.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 New Accounting Updates Recently Adopted</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May 2014, the Financial Accounting Standards Board (“FASB”) released ASU 2014-9,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We adopted the guidance in the first quarter of fiscal year 2018 by applying the full retrospective method. We have completed the financial statement impact of adoption including, but not limited to, volume-based discount programs, sales commissions and the identification of performance obligations. The impact of adoption was primarily related to the Clear Aligner segment. Our disaggregation of revenue can be found in Note 14 “Segments and Geographical Information.” The Company elected to take the practical expedient to exclude from the transaction price all taxes assessed by a governmental authority. In preparation for adoption of the standard, we have reviewed and, where necessary, implemented additional key system functionalities and internal controls to enable the preparation of financial information. Prior periods have been retrospectively adjusted, and we recognized cumulative effect of adopting the guidance as an adjustment to our opening balance of retained earnings as of January 1, 2016. The adoption of ASU 2014-09 did not have a material impact on our Condensed Consolidated Statements of Operations, Condensed Consolidated Statements of Comprehensive Income or Condensed Consolidated Statements of Cash Flows for the historical periods presented in the Item 1 Financial Statements section. Consolidated balance sheet line items, which reflect the adoption of the ASU 2014-09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2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Asset Accounts: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324,189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49,334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Liability and Stockholders’ Equity Accounts: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195,562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266,842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267,713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263,356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267,274</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which clarifies the presentation and classification of certain cash receipts and cash payments in the statements of cash flows. The amendments are effective for fiscal years and interim periods within those years beginning after December 15, 2017. </w:t>
      </w:r>
      <w:r>
        <w:rPr>
          <w:rFonts w:ascii="Arial" w:cs="Arial" w:eastAsia="Arial" w:hAnsi="Arial"/>
          <w:sz w:val="18"/>
          <w:szCs w:val="18"/>
          <w:color w:val="252525"/>
        </w:rPr>
        <w:t>We adopted the standard in the first quarter of fiscal year 2018 on a retrospective basis which did not</w:t>
      </w:r>
      <w:r>
        <w:rPr>
          <w:rFonts w:ascii="Arial" w:cs="Arial" w:eastAsia="Arial" w:hAnsi="Arial"/>
          <w:sz w:val="18"/>
          <w:szCs w:val="18"/>
          <w:color w:val="auto"/>
        </w:rPr>
        <w:t xml:space="preserve"> </w:t>
      </w:r>
      <w:r>
        <w:rPr>
          <w:rFonts w:ascii="Arial" w:cs="Arial" w:eastAsia="Arial" w:hAnsi="Arial"/>
          <w:sz w:val="18"/>
          <w:szCs w:val="18"/>
          <w:color w:val="252525"/>
        </w:rPr>
        <w:t>have an impact on our consolidated statements of cash flows.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 Restricted Cash,”</w:t>
      </w:r>
      <w:r>
        <w:rPr>
          <w:rFonts w:ascii="Arial" w:cs="Arial" w:eastAsia="Arial" w:hAnsi="Arial"/>
          <w:sz w:val="17"/>
          <w:szCs w:val="17"/>
          <w:color w:val="auto"/>
        </w:rPr>
        <w:t xml:space="preserve"> </w:t>
      </w:r>
      <w:r>
        <w:rPr>
          <w:rFonts w:ascii="Arial" w:cs="Arial" w:eastAsia="Arial" w:hAnsi="Arial"/>
          <w:sz w:val="17"/>
          <w:szCs w:val="17"/>
          <w:color w:val="252525"/>
        </w:rPr>
        <w:t>which provides guidance to address the classification</w:t>
      </w:r>
      <w:r>
        <w:rPr>
          <w:rFonts w:ascii="Arial" w:cs="Arial" w:eastAsia="Arial" w:hAnsi="Arial"/>
          <w:sz w:val="17"/>
          <w:szCs w:val="17"/>
          <w:color w:val="auto"/>
        </w:rPr>
        <w:t xml:space="preserve"> </w:t>
      </w:r>
      <w:r>
        <w:rPr>
          <w:rFonts w:ascii="Arial" w:cs="Arial" w:eastAsia="Arial" w:hAnsi="Arial"/>
          <w:sz w:val="17"/>
          <w:szCs w:val="17"/>
          <w:color w:val="252525"/>
        </w:rPr>
        <w:t>and presentation of changes in restricted cash in the statements of cash flows</w:t>
      </w:r>
      <w:r>
        <w:rPr>
          <w:rFonts w:ascii="Arial" w:cs="Arial" w:eastAsia="Arial" w:hAnsi="Arial"/>
          <w:sz w:val="17"/>
          <w:szCs w:val="17"/>
          <w:color w:val="000000"/>
        </w:rPr>
        <w:t>. The amendments are effective for fiscal years and interim periods within those</w:t>
      </w:r>
      <w:r>
        <w:rPr>
          <w:rFonts w:ascii="Arial" w:cs="Arial" w:eastAsia="Arial" w:hAnsi="Arial"/>
          <w:sz w:val="17"/>
          <w:szCs w:val="17"/>
          <w:color w:val="252525"/>
        </w:rPr>
        <w:t xml:space="preserve"> </w:t>
      </w:r>
      <w:r>
        <w:rPr>
          <w:rFonts w:ascii="Arial" w:cs="Arial" w:eastAsia="Arial" w:hAnsi="Arial"/>
          <w:sz w:val="17"/>
          <w:szCs w:val="17"/>
          <w:color w:val="000000"/>
        </w:rPr>
        <w:t>years beginning after December 15, 2017 on a retrospective basis. We adopted the guidance in the first quarter of fiscal year 2018 on a retrospective basis and presented the changes in the total of cash, cash equivalents, and restricted cash in the consolidated statements of cash flows. Consolidated statement of cash flows line items, which reflect the adoption of the ASU 2016-18,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(148,462)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(131,412)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389,275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393,019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261,027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261,607</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52525"/>
        </w:rPr>
        <w:t>In May 2017, the FASB issued ASU 2017-09, “</w:t>
      </w:r>
      <w:r>
        <w:rPr>
          <w:rFonts w:ascii="Arial" w:cs="Arial" w:eastAsia="Arial" w:hAnsi="Arial"/>
          <w:sz w:val="17"/>
          <w:szCs w:val="17"/>
          <w:i w:val="1"/>
          <w:iCs w:val="1"/>
          <w:color w:val="252525"/>
        </w:rPr>
        <w:t>Compensation</w:t>
      </w:r>
      <w:r>
        <w:rPr>
          <w:rFonts w:ascii="Arial" w:cs="Arial" w:eastAsia="Arial" w:hAnsi="Arial"/>
          <w:sz w:val="17"/>
          <w:szCs w:val="17"/>
          <w:i w:val="1"/>
          <w:iCs w:val="1"/>
          <w:color w:val="000000"/>
        </w:rPr>
        <w:t>—</w:t>
      </w:r>
      <w:r>
        <w:rPr>
          <w:rFonts w:ascii="Arial" w:cs="Arial" w:eastAsia="Arial" w:hAnsi="Arial"/>
          <w:sz w:val="17"/>
          <w:szCs w:val="17"/>
          <w:i w:val="1"/>
          <w:iCs w:val="1"/>
          <w:color w:val="252525"/>
        </w:rPr>
        <w:t>Stock Compensation (Topic 718): Scope of Modification Accounting,”</w:t>
      </w:r>
      <w:r>
        <w:rPr>
          <w:rFonts w:ascii="Arial" w:cs="Arial" w:eastAsia="Arial" w:hAnsi="Arial"/>
          <w:sz w:val="17"/>
          <w:szCs w:val="17"/>
          <w:color w:val="252525"/>
        </w:rPr>
        <w:t xml:space="preserve"> to clarify when to account for a change to the terms or conditions of a share-based payment award as a modification. </w:t>
      </w:r>
      <w:r>
        <w:rPr>
          <w:rFonts w:ascii="Arial" w:cs="Arial" w:eastAsia="Arial" w:hAnsi="Arial"/>
          <w:sz w:val="17"/>
          <w:szCs w:val="17"/>
          <w:color w:val="000000"/>
        </w:rPr>
        <w:t>The amendments are effective for fiscal years and interim</w:t>
      </w:r>
      <w:r>
        <w:rPr>
          <w:rFonts w:ascii="Arial" w:cs="Arial" w:eastAsia="Arial" w:hAnsi="Arial"/>
          <w:sz w:val="17"/>
          <w:szCs w:val="17"/>
          <w:color w:val="252525"/>
        </w:rPr>
        <w:t xml:space="preserve"> </w:t>
      </w:r>
      <w:r>
        <w:rPr>
          <w:rFonts w:ascii="Arial" w:cs="Arial" w:eastAsia="Arial" w:hAnsi="Arial"/>
          <w:sz w:val="17"/>
          <w:szCs w:val="17"/>
          <w:color w:val="000000"/>
        </w:rPr>
        <w:t>periods within those years beginning after December 15, 2017 on a prospective basis. We adopted the standard in the first quarter of fiscal year 2018 on a prospective basis which did not have an impact on our consolidated financial statements and related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(ii) Recent Accounting Updates Not Yet Effective</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(Topic 842)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We plan to adopt the standard in the first quarter of fiscal year 2019 by electing practical expedients available in the standard. While we are currently evaluating the impact of the adoption of this guidance on our consolidated financial statements, we expect the adoption will have a material increase in assets and liabilities on our consolidated balance sheet.</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52525"/>
        </w:rPr>
        <w:t>In June 2016, the FASB issued ASU 2016-13, “</w:t>
      </w:r>
      <w:r>
        <w:rPr>
          <w:rFonts w:ascii="Arial" w:cs="Arial" w:eastAsia="Arial" w:hAnsi="Arial"/>
          <w:sz w:val="17"/>
          <w:szCs w:val="17"/>
          <w:i w:val="1"/>
          <w:iCs w:val="1"/>
          <w:color w:val="252525"/>
        </w:rPr>
        <w:t>Financial Instruments - Credit Losses</w:t>
      </w:r>
      <w:r>
        <w:rPr>
          <w:rFonts w:ascii="Arial" w:cs="Arial" w:eastAsia="Arial" w:hAnsi="Arial"/>
          <w:sz w:val="17"/>
          <w:szCs w:val="17"/>
          <w:color w:val="252525"/>
        </w:rPr>
        <w:t>” (Topic 326)</w:t>
      </w:r>
      <w:r>
        <w:rPr>
          <w:rFonts w:ascii="Arial" w:cs="Arial" w:eastAsia="Arial" w:hAnsi="Arial"/>
          <w:sz w:val="17"/>
          <w:szCs w:val="17"/>
          <w:i w:val="1"/>
          <w:iCs w:val="1"/>
          <w:color w:val="252525"/>
        </w:rPr>
        <w:t>.</w:t>
      </w:r>
      <w:r>
        <w:rPr>
          <w:rFonts w:ascii="Arial" w:cs="Arial" w:eastAsia="Arial" w:hAnsi="Arial"/>
          <w:sz w:val="17"/>
          <w:szCs w:val="17"/>
          <w:color w:val="252525"/>
        </w:rPr>
        <w:t xml:space="preserve"> </w:t>
      </w:r>
      <w:r>
        <w:rPr>
          <w:rFonts w:ascii="Arial" w:cs="Arial" w:eastAsia="Arial" w:hAnsi="Arial"/>
          <w:sz w:val="17"/>
          <w:szCs w:val="17"/>
          <w:color w:val="000000"/>
        </w:rPr>
        <w:t>The FASB issued this update to provide financial</w:t>
      </w:r>
      <w:r>
        <w:rPr>
          <w:rFonts w:ascii="Arial" w:cs="Arial" w:eastAsia="Arial" w:hAnsi="Arial"/>
          <w:sz w:val="17"/>
          <w:szCs w:val="17"/>
          <w:color w:val="252525"/>
        </w:rPr>
        <w:t xml:space="preserve"> </w:t>
      </w:r>
      <w:r>
        <w:rPr>
          <w:rFonts w:ascii="Arial" w:cs="Arial" w:eastAsia="Arial" w:hAnsi="Arial"/>
          <w:sz w:val="17"/>
          <w:szCs w:val="17"/>
          <w:color w:val="000000"/>
        </w:rPr>
        <w:t xml:space="preserve">statement users with more 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Arial" w:cs="Arial" w:eastAsia="Arial" w:hAnsi="Arial"/>
          <w:sz w:val="17"/>
          <w:szCs w:val="17"/>
          <w:color w:val="252525"/>
        </w:rPr>
        <w:t>The updated guidance is effective for annual periods beginning after December 15, 2019, including interim periods within those fiscal years. Early</w:t>
      </w:r>
      <w:r>
        <w:rPr>
          <w:rFonts w:ascii="Arial" w:cs="Arial" w:eastAsia="Arial" w:hAnsi="Arial"/>
          <w:sz w:val="17"/>
          <w:szCs w:val="17"/>
          <w:color w:val="000000"/>
        </w:rPr>
        <w:t xml:space="preserve"> </w:t>
      </w:r>
      <w:r>
        <w:rPr>
          <w:rFonts w:ascii="Arial" w:cs="Arial" w:eastAsia="Arial" w:hAnsi="Arial"/>
          <w:sz w:val="17"/>
          <w:szCs w:val="17"/>
          <w:color w:val="252525"/>
        </w:rPr>
        <w:t xml:space="preserve">adoption of the update is permitted in fiscal years beginning after December 15, 2018, including interim periods within those fiscal years. </w:t>
      </w:r>
      <w:r>
        <w:rPr>
          <w:rFonts w:ascii="Arial" w:cs="Arial" w:eastAsia="Arial" w:hAnsi="Arial"/>
          <w:sz w:val="17"/>
          <w:szCs w:val="17"/>
          <w:color w:val="000000"/>
        </w:rPr>
        <w:t>We are currently</w:t>
      </w:r>
      <w:r>
        <w:rPr>
          <w:rFonts w:ascii="Arial" w:cs="Arial" w:eastAsia="Arial" w:hAnsi="Arial"/>
          <w:sz w:val="17"/>
          <w:szCs w:val="17"/>
          <w:color w:val="252525"/>
        </w:rPr>
        <w:t xml:space="preserve"> </w:t>
      </w:r>
      <w:r>
        <w:rPr>
          <w:rFonts w:ascii="Arial" w:cs="Arial" w:eastAsia="Arial" w:hAnsi="Arial"/>
          <w:sz w:val="17"/>
          <w:szCs w:val="17"/>
          <w:color w:val="000000"/>
        </w:rPr>
        <w:t>evaluating the impact of this guidance on our consolidated financial statements and related disclosures.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to simplify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and early adoption is permitted. We are currently evaluating the impact of this guidance on our consolidated financial statements and related disclosures.</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which gives entities the option to reclassify to retained earnings the tax effects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U.S. Tax Cuts and Jobs Act (the “TCJA”) related to items in accumulated other comprehensive income. The amendments are effective for fiscal years and interim periods within those years beginning after December 15, 2018 on a retrospective basis and early adoption is permitted. We are currently evaluating the impact of this guidance on our consolidated financial statements and related disclosures.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2018 and December 31, 2017, the estimated fair value of our short-term and long-term marketable securities, classified as available for sale, are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20,447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20,446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106,583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106,251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28,146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28,095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165,176</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164,740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Long-term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7,032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3,265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10,297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Short-term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58,503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58,502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145,728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145,557</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60,650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60,580</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272,280</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272,031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Long-term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15,023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25,067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24,993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40,090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91"/>
        <w:spacing w:after="0" w:line="302" w:lineRule="auto"/>
        <w:rPr>
          <w:sz w:val="20"/>
          <w:szCs w:val="20"/>
          <w:color w:val="auto"/>
        </w:rPr>
      </w:pPr>
      <w:r>
        <w:rPr>
          <w:rFonts w:ascii="Arial" w:cs="Arial" w:eastAsia="Arial" w:hAnsi="Arial"/>
          <w:sz w:val="16"/>
          <w:szCs w:val="16"/>
          <w:color w:val="auto"/>
        </w:rPr>
        <w:t>Cash equivalents are not included in the table above as the gross unrealized gains and losses are not material. We have no short-term or long-term investments that have been in a continuous material unrealized loss position for greater than twelve months as of March 31, 2018 and December 31, 2017. Amounts reclassified to earnings from accumulated other comprehensive income (loss), net related to unrealized gains or losses were not material for the three months ended March 31, 2018 and 2017. For the three months ended March 31, 2018 and 2017, realized gains or losses were not material.</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fixed-income securities investment portfolio consists of investments that have a maximum effective maturity of 40 months on any individual security.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these investments upon maturity or sale. The weighted average remaining duration of these securities was approximately five months and six months as of March 31, 2018 and December 31, 2017, respectively.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March 31, 2018 and December 31, 2017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2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272,031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32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39,948</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174,952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311,979</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measure the fair value of financial assets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Quoted (unadjusted) prices in active markets for identical assets or liabilities. Our Level 1 assets consist of money market funds and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treasury bonds. We did not hold any Level 1 liabilities as of March 31, 2018 and December 31, 2017.</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in Level 1, such as quoted prices for similar assets or liabilities in active markets, quoted</w:t>
      </w:r>
      <w:r>
        <w:rPr>
          <w:rFonts w:ascii="Arial" w:cs="Arial" w:eastAsia="Arial" w:hAnsi="Arial"/>
          <w:sz w:val="17"/>
          <w:szCs w:val="17"/>
          <w:i w:val="1"/>
          <w:iCs w:val="1"/>
          <w:color w:val="auto"/>
        </w:rPr>
        <w:t xml:space="preserve"> </w:t>
      </w:r>
      <w:r>
        <w:rPr>
          <w:rFonts w:ascii="Arial" w:cs="Arial" w:eastAsia="Arial" w:hAnsi="Arial"/>
          <w:sz w:val="17"/>
          <w:szCs w:val="17"/>
          <w:color w:val="auto"/>
        </w:rPr>
        <w:t>prices for identical or similar assets or liabilities in markets that are not active, or other inputs that are observable or can be corroborated by observable market data for substantially the full term of the asset or liability. Our Level 2 assets consist of commercial paper, corporate bonds, U.S. government agency bonds, certificates of deposit and our Israeli funds that are mainly invested in insurance policies.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We did not hold any Level 2 liabilities as of March 31, 2018 and December 31, 2017.</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to the valuation methodology that are supported by little or no market activity and that are significant to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 Certain investments in private companies contain embedded derivatives, which do not require bifurcation as we elected to measure these investments at fair value. Our Level 3 assets consist of convertible short-term notes receivable.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reconciliation of assets measured and recorded at fair value on a recurring basis using significant unobservable inputs Level 3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1"/>
              </w:rPr>
              <w:t>Notes Receivable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9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recognized in earnings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4,859</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Subsequent to March 31, 2018, in April 2018, the convertible notes receivable issued to a privately held company was converted into equity shares as a result of qualified financing secured by the company. We did not hold any Level 3 liabilities as of March 31, 2018 and December 31,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March 31, 2018 and December 31,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Balance as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March 31, 2018</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38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255,373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255,373</w:t>
            </w:r>
          </w:p>
        </w:tc>
        <w:tc>
          <w:tcPr>
            <w:tcW w:w="6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20,446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20,446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8,947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28,095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6,966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Short-term notes receivable</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438,298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283,468</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149,971</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as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5"/>
              </w:rPr>
              <w:t>December 31, 2017</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(Level 2)</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253,155</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253,155</w:t>
            </w:r>
          </w:p>
        </w:tc>
        <w:tc>
          <w:tcPr>
            <w:tcW w:w="6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58,502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58,502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145,557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3,006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60,580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60,580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4,386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14,955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14,955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Short-term notes receivable</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4,476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581,947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313,735</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263,736</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2018, we began entering into foreign currency forward contracts to minimize the short-term impact of foreign currency exchange rate fluctuations on certain trade and intercompany receivables and payables. These forward contracts are classified within level 2 of the fair value hierarchy. There was no net gain or loss from the settlement of foreign currency forward contracts during the three months ended March 31, 2018. As of March 31, 2018, the fair value of foreign exchange forward contracts outstanding was not material.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March 31, 2018 (in thousands):</w:t>
      </w:r>
    </w:p>
    <w:p>
      <w:pPr>
        <w:spacing w:after="0" w:line="253"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 2018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gridSpan w:val="3"/>
            <w:shd w:val="clear" w:color="auto" w:fill="CCEEFF"/>
          </w:tcPr>
          <w:p>
            <w:pPr>
              <w:jc w:val="center"/>
              <w:ind w:right="300"/>
              <w:spacing w:after="0" w:line="159" w:lineRule="exact"/>
              <w:rPr>
                <w:sz w:val="20"/>
                <w:szCs w:val="20"/>
                <w:color w:val="auto"/>
              </w:rPr>
            </w:pPr>
            <w:r>
              <w:rPr>
                <w:rFonts w:ascii="Arial" w:cs="Arial" w:eastAsia="Arial" w:hAnsi="Arial"/>
                <w:sz w:val="14"/>
                <w:szCs w:val="14"/>
                <w:b w:val="1"/>
                <w:bCs w:val="1"/>
                <w:color w:val="auto"/>
                <w:w w:val="94"/>
              </w:rPr>
              <w:t>Local Currency</w:t>
            </w: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ind w:right="75"/>
              <w:spacing w:after="0" w:line="159" w:lineRule="exact"/>
              <w:rPr>
                <w:sz w:val="20"/>
                <w:szCs w:val="20"/>
                <w:color w:val="auto"/>
              </w:rPr>
            </w:pPr>
            <w:r>
              <w:rPr>
                <w:rFonts w:ascii="Arial" w:cs="Arial" w:eastAsia="Arial" w:hAnsi="Arial"/>
                <w:sz w:val="14"/>
                <w:szCs w:val="14"/>
                <w:b w:val="1"/>
                <w:bCs w:val="1"/>
                <w:color w:val="auto"/>
                <w:w w:val="95"/>
              </w:rPr>
              <w:t>Notional Contract</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gridSpan w:val="2"/>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center"/>
              <w:ind w:right="75"/>
              <w:spacing w:after="0"/>
              <w:rPr>
                <w:sz w:val="20"/>
                <w:szCs w:val="20"/>
                <w:color w:val="auto"/>
              </w:rPr>
            </w:pPr>
            <w:r>
              <w:rPr>
                <w:rFonts w:ascii="Arial" w:cs="Arial" w:eastAsia="Arial" w:hAnsi="Arial"/>
                <w:sz w:val="14"/>
                <w:szCs w:val="14"/>
                <w:b w:val="1"/>
                <w:bCs w:val="1"/>
                <w:color w:val="auto"/>
                <w:w w:val="96"/>
              </w:rPr>
              <w:t>Amount (USD)</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w:t>
            </w:r>
          </w:p>
        </w:tc>
        <w:tc>
          <w:tcPr>
            <w:tcW w:w="18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€40,000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49,244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61,859</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Inventories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340"/>
              <w:spacing w:after="0"/>
              <w:rPr>
                <w:sz w:val="20"/>
                <w:szCs w:val="20"/>
                <w:color w:val="auto"/>
              </w:rPr>
            </w:pPr>
            <w:r>
              <w:rPr>
                <w:rFonts w:ascii="Arial" w:cs="Arial" w:eastAsia="Arial" w:hAnsi="Arial"/>
                <w:sz w:val="18"/>
                <w:szCs w:val="18"/>
                <w:color w:val="auto"/>
              </w:rPr>
              <w:t>Inventories consist of the following (in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3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12,157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31,688</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Other Assets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340"/>
              <w:spacing w:after="0"/>
              <w:rPr>
                <w:sz w:val="20"/>
                <w:szCs w:val="20"/>
                <w:color w:val="auto"/>
              </w:rPr>
            </w:pPr>
            <w:r>
              <w:rPr>
                <w:rFonts w:ascii="Arial" w:cs="Arial" w:eastAsia="Arial" w:hAnsi="Arial"/>
                <w:sz w:val="18"/>
                <w:szCs w:val="18"/>
                <w:color w:val="auto"/>
              </w:rPr>
              <w:t>Other assets consist of the following (in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3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commissions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Loan receivable</w:t>
            </w:r>
          </w:p>
        </w:tc>
        <w:tc>
          <w:tcPr>
            <w:tcW w:w="18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340"/>
              <w:spacing w:after="0"/>
              <w:rPr>
                <w:sz w:val="20"/>
                <w:szCs w:val="20"/>
                <w:color w:val="auto"/>
              </w:rPr>
            </w:pPr>
            <w:r>
              <w:rPr>
                <w:rFonts w:ascii="Arial" w:cs="Arial" w:eastAsia="Arial" w:hAnsi="Arial"/>
                <w:sz w:val="18"/>
                <w:szCs w:val="18"/>
                <w:color w:val="auto"/>
              </w:rPr>
              <w:t>Accrued liabilities consist of the following (in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3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103,004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27,318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fixed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Accrued sales return reserve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11,152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180,093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195,562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0" w:firstLine="8"/>
        <w:spacing w:after="0" w:line="217" w:lineRule="auto"/>
        <w:tabs>
          <w:tab w:leader="none" w:pos="97"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December 31, 2017 balance has been reclassified from accounts receivable, net to reflect the adoption of ASU 2014-09 (</w:t>
      </w:r>
      <w:r>
        <w:rPr>
          <w:rFonts w:ascii="Arial" w:cs="Arial" w:eastAsia="Arial" w:hAnsi="Arial"/>
          <w:sz w:val="16"/>
          <w:szCs w:val="16"/>
          <w:i w:val="1"/>
          <w:iCs w:val="1"/>
          <w:color w:val="auto"/>
        </w:rPr>
        <w:t>Refer to Note 1 “Summary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of the Notes to Condensed Consolidated Financial Statements </w:t>
      </w:r>
      <w:r>
        <w:rPr>
          <w:rFonts w:ascii="Arial" w:cs="Arial" w:eastAsia="Arial" w:hAnsi="Arial"/>
          <w:sz w:val="16"/>
          <w:szCs w:val="16"/>
          <w:color w:val="auto"/>
        </w:rPr>
        <w:t>for more information).</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balance for accrued warranty and update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March 31, 2018 and 2017 consists of the following activity (in thousands):</w:t>
      </w:r>
    </w:p>
    <w:p>
      <w:pPr>
        <w:spacing w:after="0" w:line="163"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Charged to 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i w:val="1"/>
                <w:iCs w:val="1"/>
                <w:color w:val="auto"/>
              </w:rPr>
              <w:t>Deferred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revenues consist of the following (in thousands):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13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 - current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267,713</w:t>
            </w:r>
          </w:p>
        </w:tc>
        <w:tc>
          <w:tcPr>
            <w:tcW w:w="0" w:type="dxa"/>
            <w:vAlign w:val="bottom"/>
          </w:tcPr>
          <w:p>
            <w:pPr>
              <w:spacing w:after="0"/>
              <w:rPr>
                <w:sz w:val="1"/>
                <w:szCs w:val="1"/>
                <w:color w:val="auto"/>
              </w:rPr>
            </w:pPr>
          </w:p>
        </w:tc>
      </w:tr>
      <w:tr>
        <w:trPr>
          <w:trHeight w:val="298"/>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Deferred revenues - long-term </w:t>
            </w:r>
            <w:r>
              <w:rPr>
                <w:rFonts w:ascii="Arial" w:cs="Arial" w:eastAsia="Arial" w:hAnsi="Arial"/>
                <w:sz w:val="21"/>
                <w:szCs w:val="21"/>
                <w:color w:val="auto"/>
                <w:vertAlign w:val="superscript"/>
              </w:rPr>
              <w:t>1</w:t>
            </w:r>
          </w:p>
        </w:tc>
        <w:tc>
          <w:tcPr>
            <w:tcW w:w="280" w:type="dxa"/>
            <w:vAlign w:val="bottom"/>
          </w:tcPr>
          <w:p>
            <w:pPr>
              <w:spacing w:after="0"/>
              <w:rPr>
                <w:sz w:val="24"/>
                <w:szCs w:val="24"/>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Included in other long-term liabilities on our Condensed Consolidated Balance Sheets</w:t>
      </w:r>
    </w:p>
    <w:p>
      <w:pPr>
        <w:spacing w:after="0" w:line="15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three months ended March 31, 2018 and March 31, 2017, the Company recognized revenue of $437 million and $310 million, respectively, of which $86 million and $51 million were included in the deferred revenues balance at December 31, 2017 and December 31,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Method Investments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25, 2016, we acquired a 17% equity interest, on a fully diluted basis, in SmileDirectClub, LLC (“SDC”) for $46.7 million. The investment is accounted for under an equity method investment and the investee, SDC, is considered a related party. The investment is reported in our Condensed Consolidated Balance Sheet under equity method investments, and we record our proportional share of SDC’s losses within equity in losses of investee, net of tax, in our Condensed Consolidated Statement of Operations. On July 24, 2017, we purchased an additional 2% equity interest in SDC for $12.8 million. As a result of this purchase, we hold a 19% equity interest in SDC on a fully diluted basis. As of March 31, 2018 and December 31, 2017, the balance of our equity method investments was $52.8 million and $54.6 million, respectively.</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We eliminate unrealized profit on outstanding intercompany transactions. As of March 31, 2018 and December 31, 2017, the balance of accounts receivable due from SDC was $8.1 million and $14.3 million, respectively. For the three months ended March 31, 2018 and 2017, net revenues recognized from SDC were $5.3 million and $0.6 million, respectively.</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2016, we entered into a Loan and Security Agreement (the “Loan Agreement”) with SDC and amended on July 24, 2017 where we agreed to provide SDC a loan of up to $30.0 million in one or more advances. On February 7, 2018, $30.0 million of outstanding loan advances and related accrued interest were repaid in full, and the Loan Agreement was terminate (</w:t>
      </w:r>
      <w:r>
        <w:rPr>
          <w:rFonts w:ascii="Arial" w:cs="Arial" w:eastAsia="Arial" w:hAnsi="Arial"/>
          <w:sz w:val="18"/>
          <w:szCs w:val="18"/>
          <w:i w:val="1"/>
          <w:iCs w:val="1"/>
          <w:color w:val="auto"/>
        </w:rPr>
        <w:t>Refer to Note 8 “Legal Proceedings” of the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SDC legal proceedings discussion).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2017, we completed the acquisitions of certain of our distributors for the total cash consideration of approximately $9.5 million including cash acquired. We recorded $1.9 million of net tangible liabilities, $8.2 million of identifiable intangible assets and $3.2 million of goodwill. The goodwill is primarily related to the benefit we expect to obtain from direct sales as we believe that the transition from our distributor arrangements to a direct sales model will increase our net revenues in the region as we will experience higher average sales prices (“ASP”) compared to our discounted ASP under the distribution agreements. The goodwill is not deductible for tax purposes.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 forma results of operations for these acquisitions have not been presented as they were not material to our results of operations, either individually or in aggregate, for the three months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change in the carrying value of goodwill for the three months ended March 31, 2018,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64,614</w:t>
            </w:r>
          </w:p>
        </w:tc>
      </w:tr>
      <w:tr>
        <w:trPr>
          <w:trHeight w:val="270"/>
        </w:trPr>
        <w:tc>
          <w:tcPr>
            <w:tcW w:w="9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64,621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period were a result of foreign currency translation.</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fourth quarter of fiscal 2017, we performed the annual goodwill impairment testing and found no impairment as the fair value of our Clear Aligner reporting unit was significantly in excess of the carrying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Long-Lived Assets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long-lived assets are being amortized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80" w:type="dxa"/>
            <w:vAlign w:val="bottom"/>
          </w:tcPr>
          <w:p>
            <w:pPr>
              <w:spacing w:after="0"/>
              <w:rPr>
                <w:sz w:val="16"/>
                <w:szCs w:val="16"/>
                <w:color w:val="auto"/>
              </w:rPr>
            </w:pPr>
          </w:p>
        </w:tc>
        <w:tc>
          <w:tcPr>
            <w:tcW w:w="142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March 31, 2018</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5,586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80" w:type="dxa"/>
            <w:vAlign w:val="bottom"/>
          </w:tcPr>
          <w:p>
            <w:pPr>
              <w:spacing w:after="0"/>
              <w:rPr>
                <w:sz w:val="16"/>
                <w:szCs w:val="16"/>
                <w:color w:val="auto"/>
              </w:rPr>
            </w:pPr>
          </w:p>
        </w:tc>
        <w:tc>
          <w:tcPr>
            <w:tcW w:w="142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1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March 31, 2018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61"/>
        </w:trPr>
        <w:tc>
          <w:tcPr>
            <w:tcW w:w="98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r>
      <w:tr>
        <w:trPr>
          <w:trHeight w:val="244"/>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w:t>
            </w:r>
          </w:p>
        </w:tc>
      </w:tr>
      <w:tr>
        <w:trPr>
          <w:trHeight w:val="243"/>
        </w:trPr>
        <w:tc>
          <w:tcPr>
            <w:tcW w:w="9820" w:type="dxa"/>
            <w:vAlign w:val="bottom"/>
          </w:tcPr>
          <w:p>
            <w:pPr>
              <w:jc w:val="right"/>
              <w:ind w:right="9012"/>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6,343</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2"/>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3,882</w:t>
            </w:r>
          </w:p>
        </w:tc>
      </w:tr>
      <w:tr>
        <w:trPr>
          <w:trHeight w:val="243"/>
        </w:trPr>
        <w:tc>
          <w:tcPr>
            <w:tcW w:w="9820" w:type="dxa"/>
            <w:vAlign w:val="bottom"/>
          </w:tcPr>
          <w:p>
            <w:pPr>
              <w:jc w:val="right"/>
              <w:ind w:right="9012"/>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2"/>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2,435</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for the three months ended March 31, 2018 and 2017 was $1.4 million for both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27, 2018, we entered into a new credit facility for a $200.0 million revolving line of credit, with a $50.0 million letter of credit sublimit, and a maturity date of February 27, 2021, replacing the existing credit facility which we had $50.0 million revolving line of credit with a $10.0 million letter of credit. The credit facility requires us to comply with specific financial conditions and performance requirements. The loans bear interest, at our option, at either a rate based on the reserve adjusted LIBOR for the applicable interest period or a base rate, in each case plus a margin. The base rate is the highest of the credit facility’s publicly announced prime rate, the federal funds rate plus 0.50% and one month LIBOR plus 1.0%. The margin ranges from 1.25% to 1.75% for LIBOR loans and 0.25% to 0.75% for base rate loans. Interest on the loans is payable quarterly in arrears with respect to base rate loans and at the end of an interest period (and at three month intervals if the interest period exceeds three months) in the case of LIBOR loans. Principal, together with accrued and unpaid interest, is due on the maturity date. As of March 31, 2018, we had no outstanding borrowings under this credit facility and were in compliance with the conditions and performance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Infringement Lawsuit</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SDC Dispute</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April 5, 2018, SDC Financial LLC, SmileDirectClub LLC, and the Members of SDC Financial LLC other than Align (collectively, the "SDC Entities") initiated proceedings that seek, among other forms of relief, to preliminarily and permanently enjoin all activities related to the Invisalign store pilot project, require Align to close the existing Invisalign stores, prohibit Align from opening any additional stores, and allow the SDC Entities to exercise a right to repurchase all of Align's SDC Financial LLC membership interests for a purchase price equal to the current capital account balance. We dispute the allegations that we have breached our obligations to the SDC Entities, including the allegation that the SDC Entities are entitled to exercise a repurchase right and we will oppose and vigorously defend ourselves in the proceedings. This dispute does not impact Align’s existing supply agreement with SDC which remains in place through 2019 and includes a minimum volume commitment. We are currently unable to predict the outcome of this amended complaint and therefore cannot determine the likelihood of loss nor estimate a range of possible loss, if any.</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2018,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13,508</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15,061</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11,056</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9,270</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7,107</w:t>
            </w:r>
          </w:p>
        </w:tc>
      </w:tr>
      <w:tr>
        <w:trPr>
          <w:trHeight w:val="243"/>
        </w:trPr>
        <w:tc>
          <w:tcPr>
            <w:tcW w:w="978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10,537</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66,539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Sublease income is not material and excluded from the table above.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25, 2016, we entered into a Loan and Security Agreement (the “Loan Agreement”) with SmileDirectClub, LLC (“SDC”) and subsequently amended on July 24, 2017 to provide a loan of up to $30.0 million in one or more advances to SDC (the “Loan Facility”). On February 7, 2018, $30.0 million of outstanding advances and related accrued interest were repaid in full, and the Loan Agreement was terminated (</w:t>
      </w:r>
      <w:r>
        <w:rPr>
          <w:rFonts w:ascii="Arial" w:cs="Arial" w:eastAsia="Arial" w:hAnsi="Arial"/>
          <w:sz w:val="17"/>
          <w:szCs w:val="17"/>
          <w:i w:val="1"/>
          <w:iCs w:val="1"/>
          <w:color w:val="auto"/>
        </w:rPr>
        <w:t>Refer to Note 4 “Equity Method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Investments” of the Notes to Condensed Consolidated Financial Statements </w:t>
      </w:r>
      <w:r>
        <w:rPr>
          <w:rFonts w:ascii="Arial" w:cs="Arial" w:eastAsia="Arial" w:hAnsi="Arial"/>
          <w:sz w:val="17"/>
          <w:szCs w:val="17"/>
          <w:color w:val="auto"/>
        </w:rPr>
        <w:t>for more information on our investments in SDC).</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2018, we had no material off-balance sheet arrangements that have, or are reasonably likely to have, a current or future material effect on our consolidated financial condition, results of operations, liquidity, capital expenditures or capital resources other than certain items disclosed in Note 9 “Commitments and Contingencies” of the Notes to Consolidated Financial Statements included in our Annual Report on Form 10-K.</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2018, we did not have any material indemnification claims that were probable or reasonably possible.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2018, the 2005 Incentive Plan (as amended) has a total reserve of 27,783,379 shares of which 6,302,917 shares are available for issuance.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months ended March 31, 2018 and 2017 is as follows (in thousands):</w:t>
      </w:r>
    </w:p>
    <w:p>
      <w:pPr>
        <w:spacing w:after="0" w:line="125"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8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925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2,171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14,812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not granted options since 2011 and all outstanding options were fully vested and associated stock-based compensation expenses was recognized as of December 31, 2015. Activity for the three months ended March 31, 2018 under the stock option plans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Contractual Term (in</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7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 or expired</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Outstanding as of March 31, 2018</w:t>
            </w:r>
          </w:p>
        </w:tc>
        <w:tc>
          <w:tcPr>
            <w:tcW w:w="17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at March 31, 2018</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March 31, 2018</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14,369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fair value of restricted stock units (“RSUs”) is based on our closing stock price on the date of grant. A summary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 RSUs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220" w:type="dxa"/>
            <w:vAlign w:val="bottom"/>
          </w:tcPr>
          <w:p>
            <w:pPr>
              <w:spacing w:after="0"/>
              <w:rPr>
                <w:sz w:val="12"/>
                <w:szCs w:val="12"/>
                <w:color w:val="auto"/>
              </w:rPr>
            </w:pPr>
          </w:p>
        </w:tc>
        <w:tc>
          <w:tcPr>
            <w:tcW w:w="12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254.22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2018</w:t>
            </w:r>
          </w:p>
        </w:tc>
        <w:tc>
          <w:tcPr>
            <w:tcW w:w="1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1,056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119.34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265,087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2018, we expect to recognize $105.2 million of total unamortized compensation cost, net of estimated forfeitures, related to RSUs over a weighted average period of 2.5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Market-performance Based Restricted Stock Units (“MSUs”)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an annual basis, we grant market-performance based restricted stock units (“MSUs”) to our executive officers. Each MSU represents the right to one share of Align’s common stock. The actual number of MSUs which will be eligible to vest will be based on the performance of Align’s stock price relative to the performance of the NASDAQ Composite Index over the vesting period, generally two to three years, up to 250% of the MSUs initially granted.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performance for the three months ended March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 MSUs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220" w:type="dxa"/>
            <w:vAlign w:val="bottom"/>
          </w:tcPr>
          <w:p>
            <w:pPr>
              <w:spacing w:after="0"/>
              <w:rPr>
                <w:sz w:val="12"/>
                <w:szCs w:val="12"/>
                <w:color w:val="auto"/>
              </w:rPr>
            </w:pPr>
          </w:p>
        </w:tc>
        <w:tc>
          <w:tcPr>
            <w:tcW w:w="12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221.18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2018</w:t>
            </w:r>
          </w:p>
        </w:tc>
        <w:tc>
          <w:tcPr>
            <w:tcW w:w="1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392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98,468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2018, we expect to recognize $28.6 million of total unamortized compensation cost, net of estimated forfeitures, related to MSUs over a weighted average period of 1.3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2010, our shareholders approved the 2010 Employee Stock Purchase Plan (the “2010 Purchase Plan”) which will continue until terminated by either the Board of Directors or its administrator. The maximum number of shares available for purchase under the 2010 Purchase Plan is 2,400,000 shares. As of March 31, 2018, we have 647,363 shares available for future issuance.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108"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64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37"/>
        </w:trPr>
        <w:tc>
          <w:tcPr>
            <w:tcW w:w="86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0"/>
                <w:szCs w:val="20"/>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26.09</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2018, there was $2.4 million of total unamortized compensation costs related to employee stock purchases which we expect to be recognized over a weighted average period of 0.7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Repurchase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2014 Repurchase Program</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January 2017, we repurchased on the open market approximately 0.04 million shares of our common stock at an average price of $96.37 per share, including commission for an aggregate purchase price of approximately $3.8 million, completing the April 2014 Repurchase Program.</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2016 Repurchase Program</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On April 28, 2016, we announced that our Board of Directors had authorized a plan to repurchase up to $300.0 million of the Company’s stock (“April 2016 Repurchase Program”).</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May 2017, we entered into an accelerated share repurchase agreement ("2017 ASR") to repurchase $50.0 million of our common stock. The 2017 ASR was completed in August 2017. We received a total of approximately 0.4 million shares for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share price of $146.48. In November 2017, we repurchased on the open market approximately 0.2 million shares of our common stock at an average price of $243.40 per share, including commissions, for an aggregate purchase price of approximately $50.0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2018, we repurchased on the open market approximately 0.4 million shares of our common stock at an average price of $252.24 per share, including commission for an aggregate purchase price of approximately $100.0 million. As of March 31, 2018, we have $100.0 million remaining under the April 2016 Repurchase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Accounting for 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provision for (benefit from) income taxes was $2.9 million and $(7.2) million for the three months ended March 31, 2018 and 2017, respectively, representing effective tax rates of 2.9% and (11.4)%, respectively. As a result of the enactment of the U.S. Tax Cuts and Jobs Act (the “TCJA”), the U.S. federal statutory tax rate decreased from 35% to 21% effective January 1, 2018. Our effective tax rate differs from the statutory federal income tax rate of 21% and 35% for the three months ended March 31, 2018 and 2017, respectively, mainly as a result of recognition of excess tax benefits related to stock-based compensation and certain foreign earnings, primarily from the Netherlands and Costa Rica, being taxed at lower tax rates. The increase in effective tax rate for the three months ended March 31, 2018 compared to the same period in 2017 is primarily attributable to the decrease in corporate tax rate from 35% to 21% pursuant to the enactment of the TCJA, which reduced the excess tax benefits related to stock-based compensation, and the benefits from foreign earnings being taxed at a lower tax rate.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and 2017, we recognized excess tax benefits of $23.3 million and $21.3 million, respectively, in our provision for (benefit from) income taxes.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file U.S. federal, U.S. state, and non-U.S. income tax returns. Our major tax jurisdictions include U.S. federal, the State of California and the Netherlands. For U.S. federal and state tax returns, we are no longer subject to tax examinations for years before 2000. With few exceptions, we are no longer subject to examination by foreign tax authorities for years before 2010.</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total gross unrecognized tax benefits, excluding interest and penalties, was $50.3 million and $47.7 million as of March 31, 2018 and December 31, 2017, respectively, all of which would impact our effective tax rate if recognized. Our total interest and penalties accrued as of March 31, 2018 was $3.3 million. We have elected to recognize interest and penalties related to unrecognized tax benefits as a component of income taxes. The timing and resolution of income tax examinations is uncertain, and the amounts ultimately paid, if any, upon resolution of issues raised by the taxing authorities may differ materially from the amounts accrued for each year. It is reasonably possible that the gross unrecognized tax benefits related to the years that are subject to examination could decrease, whether by payment, release, or a combination of both, in the next 12 months by $28 million, which would impact our effective tax rate. During the three months ended March 31, 2018, we received notice that we are under examination by the Internal Revenue Service for the tax year of 2015.</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and 2017. For the three months ended March 31, 2018, the reduction in income taxes due to the reduced tax rate was minimal.</w:t>
      </w:r>
    </w:p>
    <w:p>
      <w:pPr>
        <w:spacing w:after="0" w:line="16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2017, undistributed earnings of the Company totaled $606.5 million. We reassessed our capital needs and investment strategy with regard to the indefinite reinvestment of the undistributed earnings from certain of our foreign subsidiaries as a result of the one-time transition tax on cumulative foreign earnings under the TCJA. During the fourth quarter of 2017, we determined that approximately $591.9 million of the total undistributed foreign earnings are no longer considered to be indefinitely reinvested outside the U.S. As a result, in the fourth quarter of 2017, we have recorded a deferred tax liability of approximately $3.3 million, which represents the provisional amount of U.S. state income taxes that would be due in the event these foreign earnings are distributed. The remaining amount of undistributed foreign earnings of approximately $14.7 million continues to be indefinitely reinvested in our international operations. Since U.S. federal income tax has already been provided under the provisions of the TCJA, the additional tax impact of the distribution of such foreign earnings to the U.S. parent would be limited to U.S. state income and withholding taxes and is not significant.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2017, we recorded a provisional tax charge of $84.3 million related to the one-time transition tax liability and other tax impact of the TJCA. In the first quarter of 2018, we recorded an additional provisional tax charge of $2.4 million, primarily resulting from further analysis of our cumulative foreign earnings balances affecting the transition tax liability. As we complete our analysis of the TJCA, we may make further adjustments to the provisional amounts, which may impact our provision for income taxes in the period in which the adjustments are made.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TCJA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as a period expense only. Given the complexity of the GILTI provisions, we are still evaluating the effects of the GILTI provisions and have not yet determined our accounting policy. As of March 31, 2018, as we are still evaluating the GILTI provisions and our analysis of future taxable income that is subject to GILTI, we have included GILTI related to current-year operations only in our estimated annual effective tax rate and have not provided additional GILTI on deferred items.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our ESPP.</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10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8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95,866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69,420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79,904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shares, diluted</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81,628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81,534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and 2017, potentially anti-dilutive shares excluded from diluted net income per share related to RSUs, MSUs, stock options and ESPP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gross profit and income from operations.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accounting and finance, legal and regulatory, and other separately managed general and administrative costs outside the operating segments.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225"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Non-Comprehensive Products include our Invisalign Express, Invisalign Lite, Invisalign i7 and Invisalign Go products in addition to revenues from the sale of aligners to SmileDirectClub (“SDC”) under our supply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eliminate unrealized profit on outstanding intercompany transactions.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78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385,505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282,399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51,419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27,942</w:t>
            </w:r>
          </w:p>
        </w:tc>
        <w:tc>
          <w:tcPr>
            <w:tcW w:w="0" w:type="dxa"/>
            <w:vAlign w:val="bottom"/>
          </w:tcPr>
          <w:p>
            <w:pPr>
              <w:spacing w:after="0"/>
              <w:rPr>
                <w:sz w:val="1"/>
                <w:szCs w:val="1"/>
                <w:color w:val="auto"/>
              </w:rPr>
            </w:pP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436,924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310,341</w:t>
            </w:r>
          </w:p>
        </w:tc>
        <w:tc>
          <w:tcPr>
            <w:tcW w:w="0" w:type="dxa"/>
            <w:vAlign w:val="bottom"/>
          </w:tcPr>
          <w:p>
            <w:pPr>
              <w:spacing w:after="0"/>
              <w:rPr>
                <w:sz w:val="1"/>
                <w:szCs w:val="1"/>
                <w:color w:val="auto"/>
              </w:rPr>
            </w:pPr>
          </w:p>
        </w:tc>
      </w:tr>
      <w:tr>
        <w:trPr>
          <w:trHeight w:val="67"/>
        </w:trPr>
        <w:tc>
          <w:tcPr>
            <w:tcW w:w="8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0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296,976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219,947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15,678</w:t>
            </w:r>
          </w:p>
        </w:tc>
        <w:tc>
          <w:tcPr>
            <w:tcW w:w="0" w:type="dxa"/>
            <w:vAlign w:val="bottom"/>
          </w:tcPr>
          <w:p>
            <w:pPr>
              <w:spacing w:after="0"/>
              <w:rPr>
                <w:sz w:val="1"/>
                <w:szCs w:val="1"/>
                <w:color w:val="auto"/>
              </w:rPr>
            </w:pP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327,408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235,625</w:t>
            </w:r>
          </w:p>
        </w:tc>
        <w:tc>
          <w:tcPr>
            <w:tcW w:w="0" w:type="dxa"/>
            <w:vAlign w:val="bottom"/>
          </w:tcPr>
          <w:p>
            <w:pPr>
              <w:spacing w:after="0"/>
              <w:rPr>
                <w:sz w:val="1"/>
                <w:szCs w:val="1"/>
                <w:color w:val="auto"/>
              </w:rPr>
            </w:pPr>
          </w:p>
        </w:tc>
      </w:tr>
      <w:tr>
        <w:trPr>
          <w:trHeight w:val="67"/>
        </w:trPr>
        <w:tc>
          <w:tcPr>
            <w:tcW w:w="8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161,454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114,734</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43"/>
        </w:trPr>
        <w:tc>
          <w:tcPr>
            <w:tcW w:w="878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(59,065)</w:t>
            </w: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98,192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61,673</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43"/>
        </w:trPr>
        <w:tc>
          <w:tcPr>
            <w:tcW w:w="8780" w:type="dxa"/>
            <w:vAlign w:val="bottom"/>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reconciles total segment income from operations in the table above to net income before provision for (benefit from) income taxes and equity losses of investee, net of tax (in thousands):</w:t>
      </w:r>
    </w:p>
    <w:p>
      <w:pPr>
        <w:spacing w:after="0" w:line="108"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Total segment income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177,536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120,738</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(59,065)</w:t>
            </w:r>
          </w:p>
        </w:tc>
      </w:tr>
      <w:tr>
        <w:trPr>
          <w:trHeight w:val="237"/>
        </w:trPr>
        <w:tc>
          <w:tcPr>
            <w:tcW w:w="8780" w:type="dxa"/>
            <w:vAlign w:val="bottom"/>
          </w:tcPr>
          <w:p>
            <w:pPr>
              <w:ind w:left="28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98,192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61,673</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1,195</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450</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before provision for (benefit from) income taxes and equity in losses of investee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100,545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63,318</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p>
      <w:pPr>
        <w:spacing w:after="0" w:line="163"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7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64"/>
        </w:trPr>
        <w:tc>
          <w:tcPr>
            <w:tcW w:w="878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183,273</w:t>
            </w:r>
          </w:p>
        </w:tc>
      </w:tr>
      <w:tr>
        <w:trPr>
          <w:trHeight w:val="243"/>
        </w:trPr>
        <w:tc>
          <w:tcPr>
            <w:tcW w:w="878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139,531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99,799</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27,269</w:t>
            </w: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436,924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310,341</w:t>
            </w:r>
          </w:p>
        </w:tc>
      </w:tr>
      <w:tr>
        <w:trPr>
          <w:trHeight w:val="27"/>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80" w:hanging="72"/>
        <w:spacing w:after="0"/>
        <w:tabs>
          <w:tab w:leader="none" w:pos="8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Net revenues are attributed to countries based on location of where revenue is recognized.</w:t>
      </w:r>
    </w:p>
    <w:p>
      <w:pPr>
        <w:spacing w:after="0" w:line="167" w:lineRule="exact"/>
        <w:rPr>
          <w:rFonts w:ascii="Arial" w:cs="Arial" w:eastAsia="Arial" w:hAnsi="Arial"/>
          <w:sz w:val="19"/>
          <w:szCs w:val="19"/>
          <w:color w:val="auto"/>
          <w:vertAlign w:val="superscript"/>
        </w:rPr>
      </w:pPr>
    </w:p>
    <w:p>
      <w:pPr>
        <w:ind w:left="340"/>
        <w:spacing w:after="0"/>
        <w:rPr>
          <w:rFonts w:ascii="Arial" w:cs="Arial" w:eastAsia="Arial" w:hAnsi="Arial"/>
          <w:sz w:val="19"/>
          <w:szCs w:val="19"/>
          <w:color w:val="auto"/>
          <w:vertAlign w:val="superscript"/>
        </w:rPr>
      </w:pPr>
      <w:r>
        <w:rPr>
          <w:rFonts w:ascii="Arial" w:cs="Arial" w:eastAsia="Arial" w:hAnsi="Arial"/>
          <w:sz w:val="18"/>
          <w:szCs w:val="18"/>
          <w:color w:val="auto"/>
        </w:rPr>
        <w:t>Tangible long-lived assets are presented below by geographic area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164,165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143,673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128,171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Costa Rica</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48,470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400,528</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348,793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80" w:hanging="72"/>
        <w:spacing w:after="0"/>
        <w:tabs>
          <w:tab w:leader="none" w:pos="8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Long-lived assets are attributed to countries based on entity that owns the assets.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sales growth of our intra-oral scanner sales in international markets, our expectations regarding the financial and strategic benefits of establishing regional order acquisition, treatment planning and manufacturing facilities, as well as the anticipated timing of such facilities being operational, our expectations regarding the continued expansion of our international markets, impact of the U.S. Tax Cuts and Jobs Act,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2, Item 1A “Risk Factors.” We undertake no obligation to revise or update these forward-looking statements. Given these risks and uncertainties, readers are cautioned not to place undue reliance on such forward-looking statements.</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2017, as filed with the Securities and Exchange Commission.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successful execution of our business strategy in 2018 and beyond may be affected by a number of other factors including:</w:t>
      </w:r>
    </w:p>
    <w:p>
      <w:pPr>
        <w:spacing w:after="0" w:line="225" w:lineRule="exact"/>
        <w:rPr>
          <w:sz w:val="20"/>
          <w:szCs w:val="20"/>
          <w:color w:val="auto"/>
        </w:rPr>
      </w:pPr>
    </w:p>
    <w:p>
      <w:pPr>
        <w:jc w:val="both"/>
        <w:ind w:left="660" w:hanging="260"/>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New Invisalign Product Portfolio and Pricing</w:t>
      </w:r>
      <w:r>
        <w:rPr>
          <w:rFonts w:ascii="Arial" w:cs="Arial" w:eastAsia="Arial" w:hAnsi="Arial"/>
          <w:sz w:val="18"/>
          <w:szCs w:val="18"/>
          <w:color w:val="auto"/>
        </w:rPr>
        <w:t>. In April 2018, we announced that we are expanding Invisalign product portfolio that includes new</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greater flexibility to treat a broader range of patients. The new Invisalign product portfolio offers doctors more choices by extending desirable features across the entire portfolio and creating new Invisalign treatment packages, as well as new options to treat young patients with early mixed dentition (with a mixture of primary/baby and permanent teeth). The new end-to-end Invisalign portfolio will include clear aligner product offerings for almost every patient age group and case complexity to make it easier for our doctors to tailor treatment planning to the needs of each patient. Pricing and availability for the new Invisalign product offerings and the associated terms and conditions will vary by region and will be effective July 1, 2018. We have begun educating our customers on these upcoming portfolio changes, and we believe our doctors can benefit from the flexible offerings.</w:t>
      </w:r>
    </w:p>
    <w:p>
      <w:pPr>
        <w:spacing w:after="0" w:line="192" w:lineRule="exact"/>
        <w:rPr>
          <w:rFonts w:ascii="Arial" w:cs="Arial" w:eastAsia="Arial" w:hAnsi="Arial"/>
          <w:sz w:val="18"/>
          <w:szCs w:val="18"/>
          <w:color w:val="auto"/>
        </w:rPr>
      </w:pPr>
    </w:p>
    <w:p>
      <w:pPr>
        <w:jc w:val="both"/>
        <w:ind w:left="660" w:hanging="260"/>
        <w:spacing w:after="0" w:line="26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New Invisalign Products and Feature Enhancements</w:t>
      </w:r>
      <w:r>
        <w:rPr>
          <w:rFonts w:ascii="Arial" w:cs="Arial" w:eastAsia="Arial" w:hAnsi="Arial"/>
          <w:sz w:val="17"/>
          <w:szCs w:val="17"/>
          <w:color w:val="auto"/>
        </w:rPr>
        <w:t>. Product innovation drives greater treatment predictability and clinical applicability and ease of</w:t>
      </w:r>
      <w:r>
        <w:rPr>
          <w:rFonts w:ascii="Arial" w:cs="Arial" w:eastAsia="Arial" w:hAnsi="Arial"/>
          <w:sz w:val="17"/>
          <w:szCs w:val="17"/>
          <w:i w:val="1"/>
          <w:iCs w:val="1"/>
          <w:color w:val="auto"/>
        </w:rPr>
        <w:t xml:space="preserve"> </w:t>
      </w:r>
      <w:r>
        <w:rPr>
          <w:rFonts w:ascii="Arial" w:cs="Arial" w:eastAsia="Arial" w:hAnsi="Arial"/>
          <w:sz w:val="17"/>
          <w:szCs w:val="17"/>
          <w:color w:val="auto"/>
        </w:rPr>
        <w:t>use for our customers which supports adoption of Invisalign treatment in their practices. Our focus is to develop solutions and features to treat a wide range of cases from simple to complex. In March 2017, we announced Invisalign Teen with mandibular advancement, the first clear aligner solution for Class II correction in growing tween and teen patients. This new offering combines the benefits of the most advanced clear aligner system in the world with features for moving the lower jaw forward while simultaneously aligning the teeth. Invisalign Teen with mandibular advancement is now available in Canada and in select Europe, Middle East and Africa (“EMEA”), Asia Pacific (“APAC”) and Latin America (“LATAM”) countries. Invisalign Teen with mandibular advancement is pending 510(k) clearance and is not yet available in the United States (“U.S.”). In April 2018, we announced Invisalign First clear aligners, a treatment option designed with features specifically for younger patients with early mixed dentition. Phase 1 treatment is early interceptive orthodontic treatment for young patients, traditionally done through arch expanders, or partial metal braces, before all permanent teeth have erupted - typically at ages 6 through 10 years. Invisalign First clear aligners are designed specifically to address a broad range of younger patients’ malocclusions, including shorter clinical crowns, management of erupting dentition, and predictable dental arch expansion. Invisalign First clear aligners will be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right="20"/>
        <w:spacing w:after="0" w:line="336" w:lineRule="auto"/>
        <w:rPr>
          <w:sz w:val="20"/>
          <w:szCs w:val="20"/>
          <w:color w:val="auto"/>
        </w:rPr>
      </w:pPr>
      <w:r>
        <w:rPr>
          <w:rFonts w:ascii="Arial" w:cs="Arial" w:eastAsia="Arial" w:hAnsi="Arial"/>
          <w:sz w:val="17"/>
          <w:szCs w:val="17"/>
          <w:color w:val="auto"/>
        </w:rPr>
        <w:t>commercially available to Invisalign-trained doctors in the U.S., Canada, Australia, New Zealand, Japan, and the EMEA region beginning July 1, 2018.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38" w:lineRule="exact"/>
        <w:rPr>
          <w:sz w:val="20"/>
          <w:szCs w:val="20"/>
          <w:color w:val="auto"/>
        </w:rPr>
      </w:pPr>
    </w:p>
    <w:p>
      <w:pPr>
        <w:jc w:val="both"/>
        <w:ind w:left="660" w:hanging="247"/>
        <w:spacing w:after="0" w:line="28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New iTero Products and Technology Innovation. </w:t>
      </w:r>
      <w:r>
        <w:rPr>
          <w:rFonts w:ascii="Arial" w:cs="Arial" w:eastAsia="Arial" w:hAnsi="Arial"/>
          <w:sz w:val="16"/>
          <w:szCs w:val="16"/>
          <w:color w:val="auto"/>
        </w:rPr>
        <w:t>The iTero scanner is an important component to that customer experience and is central to a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approach as well as overall customer utilization of Invisalign treatment. In April 2018, we expanded the iTero Element portfolio with the launch of the iTero Element 2 and the iTero Element Flex scanners. These additions build on the existing high precision, full-color imaging and fast scan times of the iTero Element portfolio while streamlining orthodontic and restorative workflows. The next-generation iTero Element 2 is designed for greater performance with 2X faster start-up and 25% faster scan processing time compared to the iTero Element. The new iTero Element Flex wand-only configuration is a portable scanner for easy transport from office to office. iTero Element 2 and iTero Element Flex scanners are now available in Canada, the U.S., the majority of European countries, including France, Germany, Italy, Spain, the United Kingdom. The existing iTero Element scanner will continue to be available in all markets. On April 25, 2018 we announced that we received market approval of for the iTero Element intra-oral scanner form the China Food and Drug Administration, and we have begun offering this scanner in China. The iTero Element scanner launch in China not only supports growth of our base Invisalign clear aligner business, but also represents a major milestone for digital dentistry in China. As we continue to expand the markets into which we sell our intra-oral scanners, we expect continued growth for the foreseeable future due to the size of the market opportunity and our relatively low market penetration of these regions. We believe that over the long-term, technology innovation and added features and functionality of our iTero scanners will increase adoption of Invisalign and increase sales of our intraoral scanners; however, it is difficult to predict the rate of adoption which may vary by region and channel.</w:t>
      </w:r>
    </w:p>
    <w:p>
      <w:pPr>
        <w:spacing w:after="0" w:line="171" w:lineRule="exact"/>
        <w:rPr>
          <w:rFonts w:ascii="Arial" w:cs="Arial" w:eastAsia="Arial" w:hAnsi="Arial"/>
          <w:sz w:val="16"/>
          <w:szCs w:val="16"/>
          <w:color w:val="auto"/>
        </w:rPr>
      </w:pPr>
    </w:p>
    <w:p>
      <w:pPr>
        <w:jc w:val="both"/>
        <w:ind w:left="660" w:hanging="247"/>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last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90170</wp:posOffset>
            </wp:positionV>
            <wp:extent cx="5196840" cy="2744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684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0" w:hanging="133"/>
        <w:spacing w:after="0"/>
        <w:tabs>
          <w:tab w:leader="none" w:pos="1600" w:val="left"/>
        </w:tabs>
        <w:numPr>
          <w:ilvl w:val="0"/>
          <w:numId w:val="10"/>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Previously our utilization numbers reflected utilization rates by North American doctors and by International doctors. Beginning in the first quarter of 2018, we are reporting on the Americas region (which includes North America and LATAM) and International region (which includes EMEA and APAC). Our historical utilization numbers have been recasted to reflect this new classification. LATAM utilization has been excluded from above chart due to immateriality.</w:t>
      </w:r>
    </w:p>
    <w:p>
      <w:pPr>
        <w:spacing w:after="0" w:line="187"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utilization in the first quarter of 2018 increased to 5.8 cases per doctor compared to 5.4 in the first quarter of 2017.</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620" w:hanging="396"/>
        <w:spacing w:after="0" w:line="25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Utilization among our North American orthodontist customers reached an all time high in the first quarter of 2018 at</w:t>
      </w:r>
      <w:r>
        <w:rPr>
          <w:rFonts w:ascii="Arial" w:cs="Arial" w:eastAsia="Arial" w:hAnsi="Arial"/>
          <w:sz w:val="18"/>
          <w:szCs w:val="18"/>
          <w:i w:val="1"/>
          <w:iCs w:val="1"/>
          <w:color w:val="auto"/>
        </w:rPr>
        <w:t xml:space="preserve"> </w:t>
      </w:r>
      <w:r>
        <w:rPr>
          <w:rFonts w:ascii="Arial" w:cs="Arial" w:eastAsia="Arial" w:hAnsi="Arial"/>
          <w:sz w:val="18"/>
          <w:szCs w:val="18"/>
          <w:color w:val="auto"/>
        </w:rPr>
        <w:t>15.3 cases per doctor. Compared to 12.6 cases per doctor utilized in the first quarter of 2017, the increase in North American orthodontist utilization in the first quarter of 2018 reflects improvements in product and technology which continues to strengthen our doctors’ clinical confidence such that they now utilize Invisalign more often and on more complex cases, including their teenage patients.</w:t>
      </w:r>
    </w:p>
    <w:p>
      <w:pPr>
        <w:spacing w:after="0" w:line="134" w:lineRule="exact"/>
        <w:rPr>
          <w:rFonts w:ascii="Arial" w:cs="Arial" w:eastAsia="Arial" w:hAnsi="Arial"/>
          <w:sz w:val="18"/>
          <w:szCs w:val="18"/>
          <w:color w:val="auto"/>
        </w:rPr>
      </w:pPr>
    </w:p>
    <w:p>
      <w:pPr>
        <w:jc w:val="both"/>
        <w:ind w:left="1620" w:hanging="396"/>
        <w:spacing w:after="0" w:line="264"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doctor utilization of 5.4 cases per doctor in the first quarter of 2018 compared to 5.2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International utilization reflects growth in both the EMEA and APAC regions due to increasing adoption of the product due in part to its ability to treat more complex cases.</w:t>
      </w:r>
    </w:p>
    <w:p>
      <w:pPr>
        <w:spacing w:after="0" w:line="181" w:lineRule="exact"/>
        <w:rPr>
          <w:sz w:val="20"/>
          <w:szCs w:val="20"/>
          <w:color w:val="auto"/>
        </w:rPr>
      </w:pPr>
    </w:p>
    <w:p>
      <w:pPr>
        <w:jc w:val="both"/>
        <w:ind w:left="660" w:firstLine="324"/>
        <w:spacing w:after="0" w:line="276" w:lineRule="auto"/>
        <w:rPr>
          <w:sz w:val="20"/>
          <w:szCs w:val="20"/>
          <w:color w:val="auto"/>
        </w:rPr>
      </w:pPr>
      <w:r>
        <w:rPr>
          <w:rFonts w:ascii="Arial" w:cs="Arial" w:eastAsia="Arial" w:hAnsi="Arial"/>
          <w:sz w:val="17"/>
          <w:szCs w:val="17"/>
          <w:color w:val="auto"/>
        </w:rPr>
        <w:t>We expect that over the long-term our utilization rates will gradually improve as a result of advancements in product and technology, which continue to strengthen our doctors’ clinical confidence in the use of Invisalign. In addition, since the teenage and younger market makes up 75% of the 10 million total orthodontic case starts each year and as we continue to drive adoption of teenage and younger patients through sales and marketing programs, we expect our utilization rate to improve. Our utilization rates, however, may fluctuate from period to period due to a variety of factors, including seasonal trends in our business along with adoption rates of new products and features.</w:t>
      </w:r>
    </w:p>
    <w:p>
      <w:pPr>
        <w:spacing w:after="0" w:line="119" w:lineRule="exact"/>
        <w:rPr>
          <w:sz w:val="20"/>
          <w:szCs w:val="20"/>
          <w:color w:val="auto"/>
        </w:rPr>
      </w:pPr>
    </w:p>
    <w:p>
      <w:pPr>
        <w:jc w:val="both"/>
        <w:ind w:left="660" w:hanging="247"/>
        <w:spacing w:after="0" w:line="279" w:lineRule="auto"/>
        <w:tabs>
          <w:tab w:leader="none" w:pos="66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Number of New Invisalign Doctors Trained. </w:t>
      </w:r>
      <w:r>
        <w:rPr>
          <w:rFonts w:ascii="Arial" w:cs="Arial" w:eastAsia="Arial" w:hAnsi="Arial"/>
          <w:sz w:val="17"/>
          <w:szCs w:val="17"/>
          <w:color w:val="auto"/>
        </w:rPr>
        <w:t>We continue to expand our Invisalign customer base through the training of new doctors.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Invisalign growth was driven primarily by increased utilization across all regions as well as by the continued expansion of our customer base as we trained a total of 16,500 new Invisalign doctors, of which 62% were trained in the International region. During the first quarter of 2018, we trained 4,250 new Invisalign doctors of which 1,605 were trained in the Americas region and 2,645 in the International region.</w:t>
      </w:r>
    </w:p>
    <w:p>
      <w:pPr>
        <w:spacing w:after="0" w:line="171" w:lineRule="exact"/>
        <w:rPr>
          <w:rFonts w:ascii="Arial" w:cs="Arial" w:eastAsia="Arial" w:hAnsi="Arial"/>
          <w:sz w:val="17"/>
          <w:szCs w:val="17"/>
          <w:i w:val="1"/>
          <w:iCs w:val="1"/>
          <w:color w:val="auto"/>
        </w:rPr>
      </w:pPr>
    </w:p>
    <w:p>
      <w:pPr>
        <w:jc w:val="both"/>
        <w:ind w:left="660" w:hanging="247"/>
        <w:spacing w:after="0" w:line="26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Invisalign Growth. </w:t>
      </w:r>
      <w:r>
        <w:rPr>
          <w:rFonts w:ascii="Arial" w:cs="Arial" w:eastAsia="Arial" w:hAnsi="Arial"/>
          <w:sz w:val="17"/>
          <w:szCs w:val="17"/>
          <w:color w:val="auto"/>
        </w:rPr>
        <w:t>We will continue to focus our efforts towards increasing Invisalign clear aligner adoption by dental professionals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direct EMEA and APAC markets. On a year over year basis, our International Invisalign volume increased 43.4% driven primarily by increased adoption as well as expansion of our customer base in both EMEA and APAC regions. We continue to see growth from our international orthodontists and GP customers and beginning to see more positive traction in the GP channel from segmenting our sales and marketing resources and programs specifically around each channel. In addition, we believe that continuous product introductions and feature improvements, such as Invisalign treatment with mandibular advancement, provides our customers with continued confidence in treating complex cases as well as teen-aged patients with Invisalign clear aligners. In 2018,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the Americas for the foreseeable future due to our continued investment in international market expansion, the size of the market opportunity, and our relatively low market penetration of these regions (Refer to </w:t>
      </w:r>
      <w:r>
        <w:rPr>
          <w:rFonts w:ascii="Arial" w:cs="Arial" w:eastAsia="Arial" w:hAnsi="Arial"/>
          <w:sz w:val="17"/>
          <w:szCs w:val="17"/>
          <w:i w:val="1"/>
          <w:iCs w:val="1"/>
          <w:color w:val="auto"/>
        </w:rPr>
        <w:t>Item 1A Risk Factors - “We are exposed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fluctuations in currency exchange rates, which could negatively affect our financial condition and results of operations.” </w:t>
      </w:r>
      <w:r>
        <w:rPr>
          <w:rFonts w:ascii="Arial" w:cs="Arial" w:eastAsia="Arial" w:hAnsi="Arial"/>
          <w:sz w:val="17"/>
          <w:szCs w:val="17"/>
          <w:color w:val="auto"/>
        </w:rPr>
        <w:t>for information on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risk factors).</w:t>
      </w:r>
    </w:p>
    <w:p>
      <w:pPr>
        <w:spacing w:after="0" w:line="125" w:lineRule="exact"/>
        <w:rPr>
          <w:rFonts w:ascii="Arial" w:cs="Arial" w:eastAsia="Arial" w:hAnsi="Arial"/>
          <w:sz w:val="17"/>
          <w:szCs w:val="17"/>
          <w:color w:val="auto"/>
        </w:rPr>
      </w:pPr>
    </w:p>
    <w:p>
      <w:pPr>
        <w:ind w:left="900" w:hanging="487"/>
        <w:spacing w:after="0" w:line="257"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Establish Regional Order Acquisition, Treatment Planning and Manufacturing Operations. </w:t>
      </w:r>
      <w:r>
        <w:rPr>
          <w:rFonts w:ascii="Arial" w:cs="Arial" w:eastAsia="Arial" w:hAnsi="Arial"/>
          <w:sz w:val="18"/>
          <w:szCs w:val="18"/>
          <w:color w:val="auto"/>
        </w:rPr>
        <w:t>We will continue to establish and expand additional order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treatment planning and manufacturing operations closer to our international customers in order to improve our operational efficiency and to provide doctors confidence in using Invisalign clear aligners to treat more patients and more often (Refer to </w:t>
      </w:r>
      <w:r>
        <w:rPr>
          <w:rFonts w:ascii="Arial" w:cs="Arial" w:eastAsia="Arial" w:hAnsi="Arial"/>
          <w:sz w:val="18"/>
          <w:szCs w:val="18"/>
          <w:i w:val="1"/>
          <w:iCs w:val="1"/>
          <w:color w:val="auto"/>
        </w:rPr>
        <w:t>Item 1A Risk Factors - “As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continue to grow, we are subject to growth related risks, including risks related to excess or constrained capacity at our existing facilities.”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related risk factors).</w:t>
      </w:r>
    </w:p>
    <w:p>
      <w:pPr>
        <w:spacing w:after="0" w:line="134"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fiscal year 2018 due in part to:</w:t>
      </w:r>
    </w:p>
    <w:p>
      <w:pPr>
        <w:spacing w:after="0" w:line="225" w:lineRule="exact"/>
        <w:rPr>
          <w:rFonts w:ascii="Arial" w:cs="Arial" w:eastAsia="Arial" w:hAnsi="Arial"/>
          <w:sz w:val="18"/>
          <w:szCs w:val="18"/>
          <w:i w:val="1"/>
          <w:iCs w:val="1"/>
          <w:color w:val="auto"/>
        </w:rPr>
      </w:pPr>
    </w:p>
    <w:p>
      <w:pPr>
        <w:ind w:left="1620" w:hanging="47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Investments in international expansion in new country markets;</w:t>
      </w:r>
    </w:p>
    <w:p>
      <w:pPr>
        <w:spacing w:after="0" w:line="103" w:lineRule="exact"/>
        <w:rPr>
          <w:rFonts w:ascii="Arial" w:cs="Arial" w:eastAsia="Arial" w:hAnsi="Arial"/>
          <w:sz w:val="18"/>
          <w:szCs w:val="18"/>
          <w:color w:val="auto"/>
        </w:rPr>
      </w:pPr>
    </w:p>
    <w:p>
      <w:pPr>
        <w:ind w:left="1620" w:hanging="47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Investments in manufacturing to enhance our regional capabilities;</w:t>
      </w:r>
    </w:p>
    <w:p>
      <w:pPr>
        <w:spacing w:after="0" w:line="157" w:lineRule="exact"/>
        <w:rPr>
          <w:rFonts w:ascii="Arial" w:cs="Arial" w:eastAsia="Arial" w:hAnsi="Arial"/>
          <w:sz w:val="18"/>
          <w:szCs w:val="18"/>
          <w:color w:val="auto"/>
        </w:rPr>
      </w:pPr>
    </w:p>
    <w:p>
      <w:pPr>
        <w:ind w:left="1620" w:hanging="478"/>
        <w:spacing w:after="0"/>
        <w:tabs>
          <w:tab w:leader="none" w:pos="1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Increases in legal expenses primarily related to the continued protection of our intellectual property rights, including our patents;</w:t>
      </w:r>
    </w:p>
    <w:p>
      <w:pPr>
        <w:spacing w:after="0" w:line="74" w:lineRule="exact"/>
        <w:rPr>
          <w:rFonts w:ascii="Arial" w:cs="Arial" w:eastAsia="Arial" w:hAnsi="Arial"/>
          <w:sz w:val="17"/>
          <w:szCs w:val="17"/>
          <w:color w:val="auto"/>
        </w:rPr>
      </w:pPr>
    </w:p>
    <w:p>
      <w:pPr>
        <w:ind w:left="1620" w:hanging="47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Increases in sales, marketing and customer support resources; and</w:t>
      </w:r>
    </w:p>
    <w:p>
      <w:pPr>
        <w:spacing w:after="0" w:line="103" w:lineRule="exact"/>
        <w:rPr>
          <w:rFonts w:ascii="Arial" w:cs="Arial" w:eastAsia="Arial" w:hAnsi="Arial"/>
          <w:sz w:val="18"/>
          <w:szCs w:val="18"/>
          <w:color w:val="auto"/>
        </w:rPr>
      </w:pPr>
    </w:p>
    <w:p>
      <w:pPr>
        <w:ind w:left="1620" w:hanging="47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Product and technology innovation to enhance product efficiency and operational productivity.</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ind w:left="660" w:hanging="247"/>
        <w:spacing w:after="0" w:line="277"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Repurchases. </w:t>
      </w:r>
      <w:r>
        <w:rPr>
          <w:rFonts w:ascii="Arial" w:cs="Arial" w:eastAsia="Arial" w:hAnsi="Arial"/>
          <w:sz w:val="18"/>
          <w:szCs w:val="18"/>
          <w:color w:val="auto"/>
        </w:rPr>
        <w:t>In February 2018, we repurchased $100.0 million of our common stock on the open market. As of March 31, 2018,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$100.0 million remaining under the April 2016 Repurchase Plan (</w:t>
      </w:r>
      <w:r>
        <w:rPr>
          <w:rFonts w:ascii="Arial" w:cs="Arial" w:eastAsia="Arial" w:hAnsi="Arial"/>
          <w:sz w:val="18"/>
          <w:szCs w:val="18"/>
          <w:i w:val="1"/>
          <w:iCs w:val="1"/>
          <w:color w:val="auto"/>
        </w:rPr>
        <w:t>Refer to Note 11 “Common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Stock Repurchase Program” of the Notes to Condensed Consolidated Financial Statements </w:t>
      </w:r>
      <w:r>
        <w:rPr>
          <w:rFonts w:ascii="Arial" w:cs="Arial" w:eastAsia="Arial" w:hAnsi="Arial"/>
          <w:sz w:val="18"/>
          <w:szCs w:val="18"/>
          <w:color w:val="auto"/>
        </w:rPr>
        <w:t>for details on stock repurchase program).</w:t>
      </w:r>
    </w:p>
    <w:p>
      <w:pPr>
        <w:spacing w:after="0" w:line="185" w:lineRule="exact"/>
        <w:rPr>
          <w:sz w:val="20"/>
          <w:szCs w:val="20"/>
          <w:color w:val="auto"/>
        </w:rPr>
      </w:pPr>
    </w:p>
    <w:p>
      <w:pPr>
        <w:jc w:val="both"/>
        <w:ind w:left="660" w:hanging="260"/>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U.S. Tax Cuts and Jobs Act. </w:t>
      </w:r>
      <w:r>
        <w:rPr>
          <w:rFonts w:ascii="Arial" w:cs="Arial" w:eastAsia="Arial" w:hAnsi="Arial"/>
          <w:sz w:val="16"/>
          <w:szCs w:val="16"/>
          <w:color w:val="auto"/>
        </w:rPr>
        <w:t>The U.S. Tax Cuts and Jobs Act (the “TCJA”) was enacted into law on December 22, 2017 and impacted our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tax rate.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We recorded a provisional one-time transition tax liability of $73.9 million in the fourth quarter of 2017 and an additional $2.4 million in the first quarter of 2018. Additional work is necessary for a more detailed analysis of our historical foreign earnings as well as potential correlative adjustments. Any subsequent adjustment to these amounts will be recorded to provision from (benefit to) income taxes throughout the fiscal year of 2018 when the analysis is complete.</w:t>
      </w:r>
    </w:p>
    <w:p>
      <w:pPr>
        <w:spacing w:after="0" w:line="113" w:lineRule="exact"/>
        <w:rPr>
          <w:rFonts w:ascii="Arial" w:cs="Arial" w:eastAsia="Arial" w:hAnsi="Arial"/>
          <w:sz w:val="16"/>
          <w:szCs w:val="16"/>
          <w:color w:val="auto"/>
        </w:rPr>
      </w:pPr>
    </w:p>
    <w:p>
      <w:pPr>
        <w:jc w:val="both"/>
        <w:ind w:left="660" w:hanging="260"/>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SmileDirectClub. </w:t>
      </w:r>
      <w:r>
        <w:rPr>
          <w:rFonts w:ascii="Arial" w:cs="Arial" w:eastAsia="Arial" w:hAnsi="Arial"/>
          <w:sz w:val="16"/>
          <w:szCs w:val="16"/>
          <w:color w:val="auto"/>
        </w:rPr>
        <w:t>In February 2018, we received a communication on behalf of SDC Financial LLC, SmileDirectClub LLC, and the Members of</w:t>
      </w:r>
      <w:r>
        <w:rPr>
          <w:rFonts w:ascii="Arial" w:cs="Arial" w:eastAsia="Arial" w:hAnsi="Arial"/>
          <w:sz w:val="16"/>
          <w:szCs w:val="16"/>
          <w:i w:val="1"/>
          <w:iCs w:val="1"/>
          <w:color w:val="auto"/>
        </w:rPr>
        <w:t xml:space="preserve"> </w:t>
      </w:r>
      <w:r>
        <w:rPr>
          <w:rFonts w:ascii="Arial" w:cs="Arial" w:eastAsia="Arial" w:hAnsi="Arial"/>
          <w:sz w:val="16"/>
          <w:szCs w:val="16"/>
          <w:color w:val="auto"/>
        </w:rPr>
        <w:t>SDC Financial LLC other than Align (collectively, the "SDC Entities") alleging that the launch and operation of our Invisalign store pilot program constitutes a breach of non-compete provisions applicable to the members of SDC Financial LLC, including Align. As a result of this alleged breach, SDC Financial LLC has notified Align that its members (other than Align) seek to exercise a right to repurchase all of Align’s SDC Financial LLC membership interests for a purchase price equal to the current capital account balance of Align. The SDC Entities also allege that Align has breached confidentiality provisions applicable to the SDC Financial LLC members and demands that Align cease all activities related to the Invisalign store pilot project, close existing Invisalign stores and cease using SDC’s confidential information. On April 5, 2018, the SDC Entities initiated proceedings that seek, among other forms of relief, to preliminarily and permanently enjoin all activities related to the Invisalign store pilot project, require Align to close the existing Invisalign stores, prohibit Align from opening any additional stores, and allow the SDC Entities to exercise a right to repurchase all of Align's SDC Financial LLC membership interests for a purchase price equal to the current capital account balance. We dispute the allegations that we have breached our obligations to the SDC Entities, including the allegation that the SDC Entities are entitled to exercise a repurchase right and we will oppose and vigorously defend ourselves in the proceedings. This dispute does not impact Align’s existing supply agreement with SDC which remains in place through 2019 and includes a minimum volume commitment. We are currently unable to predict the outcome of this amended complaint and therefore cannot determine the likelihood of loss nor estimate a range of possible loss, if any.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900" w:hanging="244"/>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Comprehensive Products include our Invisalign Full, Teen and Assist products.</w:t>
      </w:r>
    </w:p>
    <w:p>
      <w:pPr>
        <w:spacing w:after="0" w:line="225"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Non-Comprehensive Products include our Invisalign Express, Invisalign Lite, Invisalign i7 and Invisalign Go products in addition to revenues from the sale of aligners to SmileDirectClub (“SDC”) under our supply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Non-Case includes our Vivera retainers along with our training and ancillary products for treating malocclusion.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eliminate unrealized profit on outstanding intercompany transactions.</w:t>
      </w:r>
    </w:p>
    <w:p>
      <w:pPr>
        <w:spacing w:after="0" w:line="225"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Effective in the first quarter of 2018, Americas region includes North America and LATAM. International region includes EMEA and APAC. Historical data have been recast to reflect the change.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revenues for our Clear Aligner and Scanner segments by region for the three months ended March 31, 2018 and 2017 are as follows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0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750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500" w:type="dxa"/>
            <w:vAlign w:val="bottom"/>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750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750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750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Clear Aligner case shipments by region for the three months ended March 31, 2018 and 2017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78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97"/>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7540" w:type="dxa"/>
            <w:vAlign w:val="bottom"/>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Americas</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38.8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 case volume</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total net revenues increased by $126.6 million as compared to the same period in 2017 primarily as a result of Clear Aligner case volume growth across all regions as well as increased non-case revenues.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Americas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three months ended March 31, 2018, Americas net revenues increased by $44.0 million as compared to the same period in 2017 primarily due to case volume growth across all channels and products which increased net revenues by $46.8 million. This increase was offset in part by lower average selling prices (“ASP”) which reduced net revenues by $2.8 million. The ASP decline was a result of higher promotional discounts and a shift in product mix towards Non-Comprehensive Products, which collectively reduced revenue by $12.3 million. These factors were partially offset by price increases on our Comprehensive Products effective April 2017 and lower revenue deferrals, which together contributed to net revenues by $8.3 million.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2018, International net revenues increased by $52.8 million as compared to the same period in 2017 primarily driven by case volume growth across all channels and products which increased net revenues by $42.9 million. Additionally, higher ASP contributed $9.9 million to net revenues. This increase was primarily due to the favorable foreign exchange rates of $14.0 million and $5.9 million related to price increases on our Comprehensive Products effective July 2017, partially offset by increased additional aligner deferrals and higher promotional discounts, which collectively reduced net revenues by $9.8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Non-Case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three months ended March 31, 2018, non-case net revenues, consisting of training fees and ancillary product revenues, increased by $6.3 million as compared to the same period in 2017 primarily due to increased Vivera volume and increased training revenue in both Americas and International.</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2018, scanner and services net revenues increased by $23.5 million as compared to the same period in 2017. Scanner and services net revenues increased for the three months ended March 31, 2018 as compared to the same period in 2017 primarily due to an increase in the number of scanners recognized and higher CAD/CAM services resulting from a larger installed base of scanners, offset in part by a decrease in scanner ASP.</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9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183"/>
        </w:trPr>
        <w:tc>
          <w:tcPr>
            <w:tcW w:w="796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88.5</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297.0</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77.0%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77.9%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79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59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21.0</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8.7</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30.4</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3"/>
        </w:trPr>
        <w:tc>
          <w:tcPr>
            <w:tcW w:w="79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71"/>
              <w:spacing w:after="0" w:line="202" w:lineRule="exact"/>
              <w:rPr>
                <w:sz w:val="20"/>
                <w:szCs w:val="20"/>
                <w:color w:val="auto"/>
              </w:rPr>
            </w:pPr>
            <w:r>
              <w:rPr>
                <w:rFonts w:ascii="Arial" w:cs="Arial" w:eastAsia="Arial" w:hAnsi="Arial"/>
                <w:sz w:val="18"/>
                <w:szCs w:val="18"/>
                <w:color w:val="auto"/>
              </w:rPr>
              <w:t>109.5</w:t>
            </w:r>
          </w:p>
        </w:tc>
        <w:tc>
          <w:tcPr>
            <w:tcW w:w="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74.7</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34.8</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327.4</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91.8</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96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74.9%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and training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gross margin percentage decreased as compared to the same period in 2017 primarily due to higher manufacturing spend driven by operational expansion activities, offset in part by a higher ASP.</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gross margin increased compared to the same period in 2017 primarily driven by lower service costs and partially offset by a lower ASP.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83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9"/>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48.5</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8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consulting services, legal expenses, equipment and maintenance costs, depreciation and amortization expense and allocations of corporate overhead expenses including facilities and Information Technology (“IT”).</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three months ended March 31, 2018, selling, general and administrative expense increased compared to the same period in 2017 primarily due to higher compensation related costs of $26.7 million mainly as a result of increased headcount resulting in higher salaries expense, incentive bonuses and fringe benefits. We also incurred higher expenses from advertising and marketing of $8.3 million and equipment and maintenance costs of $6.4 million.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83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29.6</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6.8</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8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payroll and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the three months ended March 31, 2018, research and development expense increased compared to the same period in 2017 primarily due to higher compensation costs as a result of increased headcount resulting in higher salaries expense, incentive bonuses and fringe benefits.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from operations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5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6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196"/>
        </w:trPr>
        <w:tc>
          <w:tcPr>
            <w:tcW w:w="79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5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161.5</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w:t>
            </w: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41.9%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40.6%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79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56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43"/>
        </w:trPr>
        <w:tc>
          <w:tcPr>
            <w:tcW w:w="7960" w:type="dxa"/>
            <w:vAlign w:val="bottom"/>
            <w:gridSpan w:val="5"/>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16.1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9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03"/>
        </w:trPr>
        <w:tc>
          <w:tcPr>
            <w:tcW w:w="796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 xml:space="preserve">Total income from operations </w:t>
            </w:r>
            <w:r>
              <w:rPr>
                <w:rFonts w:ascii="Arial" w:cs="Arial" w:eastAsia="Arial" w:hAnsi="Arial"/>
                <w:sz w:val="23"/>
                <w:szCs w:val="23"/>
                <w:color w:val="auto"/>
                <w:vertAlign w:val="superscript"/>
              </w:rPr>
              <w:t>1</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73"/>
              <w:spacing w:after="0" w:line="202" w:lineRule="exact"/>
              <w:rPr>
                <w:sz w:val="20"/>
                <w:szCs w:val="20"/>
                <w:color w:val="auto"/>
              </w:rPr>
            </w:pPr>
            <w:r>
              <w:rPr>
                <w:rFonts w:ascii="Arial" w:cs="Arial" w:eastAsia="Arial" w:hAnsi="Arial"/>
                <w:sz w:val="18"/>
                <w:szCs w:val="18"/>
                <w:color w:val="auto"/>
              </w:rPr>
              <w:t>98.2</w:t>
            </w:r>
          </w:p>
        </w:tc>
        <w:tc>
          <w:tcPr>
            <w:tcW w:w="3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61.7</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36.5</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5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43"/>
        </w:trPr>
        <w:tc>
          <w:tcPr>
            <w:tcW w:w="796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22.5%</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94" w:lineRule="exact"/>
        <w:rPr>
          <w:sz w:val="20"/>
          <w:szCs w:val="20"/>
          <w:color w:val="auto"/>
        </w:rPr>
      </w:pPr>
    </w:p>
    <w:p>
      <w:pPr>
        <w:ind w:right="100" w:firstLine="8"/>
        <w:spacing w:after="0" w:line="246" w:lineRule="auto"/>
        <w:tabs>
          <w:tab w:leader="none" w:pos="81" w:val="left"/>
        </w:tabs>
        <w:numPr>
          <w:ilvl w:val="0"/>
          <w:numId w:val="17"/>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 xml:space="preserve">Refer to Note 14 “Segments and Geographical Information” of the Notes to Condensed Consolidated Financial Statements </w:t>
      </w:r>
      <w:r>
        <w:rPr>
          <w:rFonts w:ascii="Arial" w:cs="Arial" w:eastAsia="Arial" w:hAnsi="Arial"/>
          <w:sz w:val="15"/>
          <w:szCs w:val="15"/>
          <w:color w:val="auto"/>
        </w:rPr>
        <w:t>for details on unallocated corporate expenses and</w:t>
      </w:r>
      <w:r>
        <w:rPr>
          <w:rFonts w:ascii="Arial" w:cs="Arial" w:eastAsia="Arial" w:hAnsi="Arial"/>
          <w:sz w:val="15"/>
          <w:szCs w:val="15"/>
          <w:i w:val="1"/>
          <w:iCs w:val="1"/>
          <w:color w:val="auto"/>
        </w:rPr>
        <w:t xml:space="preserve"> </w:t>
      </w:r>
      <w:r>
        <w:rPr>
          <w:rFonts w:ascii="Arial" w:cs="Arial" w:eastAsia="Arial" w:hAnsi="Arial"/>
          <w:sz w:val="15"/>
          <w:szCs w:val="15"/>
          <w:color w:val="auto"/>
        </w:rPr>
        <w:t>the reconciliation to Consolidated Income from Operations.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2018, operating margin percentage increased compared to the same period in 2017 due to higher revenues from Clear Aligner as well as favorable foreign exchange rates.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2018, operating margin percentage increased compared to the same period in 2017 due to higher Scanner revenues as well as favorable foreign exchange rates.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(in millions):</w:t>
      </w:r>
    </w:p>
    <w:p>
      <w:pPr>
        <w:spacing w:after="0" w:line="163"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4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includes interest income earned on cash, cash equivalents and investment balances.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2018, interest increased compared to the same period in 2017 mainly due to higher interest rates in addition to a larger investment portfolio.</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(expenses), net (in millions):</w:t>
      </w:r>
    </w:p>
    <w:p>
      <w:pPr>
        <w:spacing w:after="0" w:line="163"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4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Other income (expenses),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(expenses), net, includes foreign currency revaluation gains and losses, gains and losses on foreign currency forward contracts and other miscellaneous charges.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other income (expenses), net decreased compared to the same period in 2017 mainly due to lower foreign exchange gains.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losses of investee, net of tax (in millions):</w:t>
      </w:r>
    </w:p>
    <w:p>
      <w:pPr>
        <w:spacing w:after="0" w:line="163"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4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0.7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2018, equity in losses of investee, net of tax increased compared to the same period in 2017 due to higher losses attributable from our equity method investments including a higher portional share of the losses due to our additional investment in the company made in the third quarter of 2017 (</w:t>
      </w:r>
      <w:r>
        <w:rPr>
          <w:rFonts w:ascii="Arial" w:cs="Arial" w:eastAsia="Arial" w:hAnsi="Arial"/>
          <w:sz w:val="18"/>
          <w:szCs w:val="18"/>
          <w:i w:val="1"/>
          <w:iCs w:val="1"/>
          <w:color w:val="auto"/>
        </w:rPr>
        <w:t>Refer to Note 4 “Equity Method Investments” of the Notes to Condensed Consolidated Financial Statements</w:t>
      </w:r>
      <w:r>
        <w:rPr>
          <w:rFonts w:ascii="Arial" w:cs="Arial" w:eastAsia="Arial" w:hAnsi="Arial"/>
          <w:sz w:val="18"/>
          <w:szCs w:val="18"/>
          <w:color w:val="auto"/>
        </w:rPr>
        <w:t xml:space="preserve"> for details on equity method investments).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8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82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28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2.9</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9"/>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10.1</w:t>
            </w:r>
          </w:p>
        </w:tc>
      </w:tr>
      <w:tr>
        <w:trPr>
          <w:trHeight w:val="27"/>
        </w:trPr>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rates</w:t>
            </w: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w w:val="97"/>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8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three months ended March 31, 2018 and 2017, provision for (benefit from) for income taxes was $2.9 million and $(7.2) million, respectively, representing effective tax rates of 2.9% and (11.4)%, respectively. As a result of the enactment of the U.S. Tax Cuts and Jobs Act (the “TCJA”), the U.S. federal statutory tax rate decreased from 35% to 21% effective January 1, 2018. The increase in effective tax rate for the three months ended March 31, 2018 compared to the same period in 2017 is primarily attributable to the decrease in corporate tax rate from 35% to 21% pursuant to the enactment of the TCJA, which reduced the excess tax benefits related to stock-based compensation and as well as the benefits from foreign earnings being taxed at lower tax rates. For the three months ended March 31, 2018, we recognized excess tax benefits of $23.3 million in our provision for income taxes.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and 2017. For the three months ended March 31, 2018, the reduction in income taxes due to the reduced tax rate was minimal. (</w:t>
      </w:r>
      <w:r>
        <w:rPr>
          <w:rFonts w:ascii="Arial" w:cs="Arial" w:eastAsia="Arial" w:hAnsi="Arial"/>
          <w:sz w:val="18"/>
          <w:szCs w:val="18"/>
          <w:i w:val="1"/>
          <w:iCs w:val="1"/>
          <w:color w:val="auto"/>
        </w:rPr>
        <w:t>Refer to Note 12 "Accounting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for details on 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fund our operations from product sales. As of March 31, 2018 and December 31, 2017, we had the following cash and cash equivalents, and short-term and long-term marketable securities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498,003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449,511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164,740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272,031</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39,948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672,955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761,490</w:t>
            </w:r>
          </w:p>
        </w:tc>
      </w:tr>
      <w:tr>
        <w:trPr>
          <w:trHeight w:val="27"/>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2018, we had $673.0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and certificates of deposit.</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2018, approximately $436.2 million of cash, cash equivalents and short-term and long-term marketable securities was held by our foreign subsidiaries. The TCJA enacted into law on December 22, 2017 included a one-time transition tax on the mandatory deemed repatriation of foreign earnings. Under this provision, we have recorded a provisional amount of liability for this deemed repatriation of $73.9 million in the fourth quarter of 2017 and an additional $2.4 million in the first quarter of 2018, which will be paid over the next eight years. We have repatriated $100.0 million to the U.S. in the first quarter of 2018 and we may further repatriate funds in the future to invest in market expansion opportunities, provide additional working capital, and have greater flexibility to fund our stock repurchase program (</w:t>
      </w:r>
      <w:r>
        <w:rPr>
          <w:rFonts w:ascii="Arial" w:cs="Arial" w:eastAsia="Arial" w:hAnsi="Arial"/>
          <w:sz w:val="18"/>
          <w:szCs w:val="18"/>
          <w:i w:val="1"/>
          <w:iCs w:val="1"/>
          <w:color w:val="auto"/>
        </w:rPr>
        <w:t>Refer to Note 12 "Income Taxes" of the Notes to Condensed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details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p>
      <w:pPr>
        <w:spacing w:after="0" w:line="163"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6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Net cash flow provided by (used in):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47,621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109,269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(148,462)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2,430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(131,412)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2018, cash flows from operations of $77.3 million resulted primarily from our net income of approximately $95.9 million as well as the following: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 was $15.8 million related to equity incentive compensation granted to employees and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Depreciation and amortization of $11.4 million related to our property, plant and equipment and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change in deferred tax assets of $4.1 million.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$36.0 million in accounts receivable which is primarily a result of the increase in net revenues,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of $35.5 million in accrued and other long-term liabilities due to timing of payments and activities,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$28.4 million in deferred revenues corresponding to the increases in case shipments.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investing activities was $109.3 million for the three months ended March 31, 2018 primarily consisted of maturities and sales of marketable securities of $136.4 million and loan repayment from equity investee of $30.0 million. These inflows were partially offset by purchases of property and plant and equipment purchases of $57.6 million.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remainder of 2018, we expect to invest an additional $140.0 million to $170.0 million on capital expenditures primarily related to additional manufacturing capacity to support our international expansion. Although we believe our current investment portfolio has little risk of impairment, we cannot predict future market conditions or market liquidity and can provide no assurance that our investment portfolio will remain unimpaired.</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$139.8 million for the three months ended March 31, 2018 primarily resulting from common stock repurchases of $100.0 million and payroll taxes paid for vesting of restricted stock units through share withholdings of $47.8 million. These outflows were offset in part by $8.0 million from proceeds from the issuance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2018, we repurchased on the open market approximately 0.4 million shares of our common stock at an average price of $252.24 per share, including commission, for an aggregate purchase price of approximately $100.0 million. As of March 31, 2018, we have $100.0 million remaining under the April 2016 Repurchase Plan (Refer to Note 11 “Common Stock Repurchase Program” of the Notes to Condensed Consolidated Financial Statements for details on stock repurchase program).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contractual obligations have not significantly changed since December 31, 2017 as disclosed in our Annual Report on Form 10-K, other than obligations described in the Form 10-Q herein.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2018, we had no off-balance sheet arrangements that have, or are reasonably likely to have, a current or future material effect on our consolidated financial condition, results of operations, liquidity, capital expenditures or capital resources other than certain items disclosed in Note 9 “Commitments and Contingencies” of the Notes to Consolidated Financial Statements included in our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Other than the adoption of the new revenue recognition accounting standard (ASC 606) during the quarter ended March 31, 2018, there have been no material changes to our critical accounting policies and estimates from the information provided in the “Critical Accounting Policies and Estimates” section of our Management’s Discussion and Analysis of Financial Condition and Results of Operations included in our Annual Report on Form 10-K for the year ended December 31, 2017. Significant changes to the Revenue Recognition policy as a result of ASC 606 adoption are discussed in Note 1 “Summary of Significant Accounting Policies” of the Notes to Condensed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March 31, 2018, we had approximately $175.0 million invested in available-for-sale marketable securities. An immediate 10% change in interest rates would not have a material adverse impact on our future operating results and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We do not have interest bearing liabilities as of March 31, 2018, and, therefore, we are not subject to risks from immediate interest rate increases.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March 2018, we entered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The fair value of foreign exchange forward contracts outstanding as of March 31, 2018 was not material.</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financial hedging techniques to minimize the effect of these fluctuations, the impact of an aggregate change of 10% in foreign currency exchange rates relative to the U.S. dollar on our results of operations and financial position could be material.</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2018,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Infringement Lawsuit</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SDC Dispute</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April 5, 2018, SDC Financial LLC, SmileDirectClub LLC, and the Members of SDC Financial LLC other than Align (collectively, the "SDC Entities") initiated proceedings that seek, among other forms of relief, to preliminarily and permanently enjoin all activities related to the Invisalign store pilot project, require Align to close the existing Invisalign stores, prohibit Align from opening any additional stores, and allow the SDC Entities to exercise a right to repurchase all of Align's SDC Financial LLC membership interests for a purchase price equal to the current capital account balance. We dispute the allegations that we have breached our obligations to the SDC Entities, including the allegation that the SDC Entities are entitled to exercise a repurchase right and we will oppose and vigorously defend ourselves in the proceedings. This dispute does not impact Align’s existing supply agreement with SDC which remains in place through 2019 and includes a minimum volume commitment. We are currently unable to predict the outcome of this amended complaint and therefore cannot determine the likelihood of loss nor estimate a range of possible loss, if any.</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 (</w:t>
      </w:r>
      <w:r>
        <w:rPr>
          <w:rFonts w:ascii="Arial" w:cs="Arial" w:eastAsia="Arial" w:hAnsi="Arial"/>
          <w:sz w:val="18"/>
          <w:szCs w:val="18"/>
          <w:i w:val="1"/>
          <w:iCs w:val="1"/>
          <w:color w:val="auto"/>
        </w:rPr>
        <w:t>Refer to Note 8 “Legal Proceedings” of the Notes to Consolidated Financial Statement</w:t>
      </w:r>
      <w:r>
        <w:rPr>
          <w:rFonts w:ascii="Arial" w:cs="Arial" w:eastAsia="Arial" w:hAnsi="Arial"/>
          <w:sz w:val="18"/>
          <w:szCs w:val="18"/>
          <w:color w:val="auto"/>
        </w:rPr>
        <w:t>s for details on legal proceedings).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for any reason, including as a result of a shift in product mix towards lower priced products, our operating results would be harmed.</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Currently, our products compete directly against products manufactured and distributed by various companies, both within and outside the U.S. In addition, as a result of the expiration of certain key patents owned by us, which began in 2017, we expect that existing competitors such as Danaher Corporation, Dentsply Sirona Inc., Straumann AG, 3M, 3Shape and Angel Align as well as new entrants into the clear aligner market such as start-ups will begin offering an orthodontic system more similar to ours in the near future.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started to expire in 2018 which will likely result in increased competition in some of the markets outside the U.S. Large consumer product companies may also enter the orthodontic supply market. Furthermore, we also face competition from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key production steps are performed in operations located outside of the U.S.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In 2017, we opened new treatment planning facilities in Chengdu, China and Cologne, Germany to support our customers within these regions. Our order acquisition, aligner fabrication and shipping operations are conducted in Juarez, Mexico, and we also have order acquisition for the EMEA region in Amsterdam, the Netherlands. We will continue to establish additional order acquisition and treatment planning facilities closer to our international customers in order to improve our operational efficiency. In addition to the research and development efforts conducted in our North America facilities, we also carry out research and development in Moscow, Russia. We also have customer-care, accounts receivable, customer event registration and accounts payable organizations located in San Jose, Costa Rica. In addition, we have operations in Israel where we design and assemble wands, and our intraoral scanner is manufactured. Our reliance on international operations exposes us to risks and uncertainties that may affect our business or results of operation, including:</w:t>
      </w:r>
    </w:p>
    <w:p>
      <w:pPr>
        <w:spacing w:after="0" w:line="169" w:lineRule="exact"/>
        <w:rPr>
          <w:sz w:val="20"/>
          <w:szCs w:val="20"/>
          <w:color w:val="auto"/>
        </w:rPr>
      </w:pPr>
    </w:p>
    <w:p>
      <w:pPr>
        <w:ind w:left="660" w:right="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9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political, social and economic instability, including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04" w:lineRule="exact"/>
        <w:rPr>
          <w:rFonts w:ascii="Arial" w:cs="Arial" w:eastAsia="Arial" w:hAnsi="Arial"/>
          <w:sz w:val="16"/>
          <w:szCs w:val="16"/>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geopolitical instability and the responses to it, such as the possibility of additional sanctions against Russia which continue to bring uncertainty to this region;</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 including the risks associated with the Foreign Corrupt Practices Act and local anti-bribery compliance;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87"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United Kingdom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Outside of North America, we currently sell our products in certain countries within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elective or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typically takes approximately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 to 24 months to treat a patient, our customers may be unwilling to rapidly adopt our new products until they successfully complete at least one case or until more historical clinical results are available.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volume-based discount programs to our doctors. In addition, we sell a number of products at different list prices. If we change the volume-based discount programs affecting our average selling prices; if we introduce any price reductions or consumer rebate programs; if we expand our discount programs in the future or participation in these programs increases; or if our product mix shifts to lower priced products or to products that have a higher percentage of deferred revenue, our average selling prices would be adversely affected and our net revenues, gross profit, gross margin and net income may be reduced.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As a result, in March 2018, we began entering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are establishing additional order acquisition, treatment planning and manufacturing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these additional facilities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from quarter to quarter, the level of activity in our customers’ practices including limited visibility into the number of aligners purchased by SmileDirectClub, LLC (“SDC”) under the supply agreement;</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weakness in consumer spending as a result of a slowdown in the global, U.S. or other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our business as a result of our agreement to manufacture clear aligners for SDC, including market acceptance of the SDC business model and product, possible adverse customer reaction and negative publicity about us and our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impairments in the value of our investments in SDC and other privately held companies could be material;</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and estimates including changes made by our equity investee;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gross margin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 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digital dental modeling is primarily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headquarters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4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extend established processes and/or implement additional functionality in our enterprise resource planning (“ERP”) software system which entails certain risks, including difficulties with changes in business processes that could disrupt our operations, such as our ability to track orders and timely ship products, manage our supply chain and aggregate financial and operational data.</w:t>
      </w:r>
    </w:p>
    <w:p>
      <w:pPr>
        <w:spacing w:after="0" w:line="16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We have experienced such breaches in the past and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are also perceived by the marketplace and our customers to be secure. Despite the implementation of security measures, we have experienced such breaches in the past and our infrastructure may be vulnerable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physical break-ins, computer viruses, programming errors or other technical malfunctions, hacking or phishing attacks by third parties, employee error or malfeasance or similar disruptive problems. If we fail to meet our customer and patient’s expectations regarding the security of healthcare information, we could be liable for damages and our reputation and competition position could be impaired. Affected parties could initiate legal or regulatory action against us, which could cause us to incur significant expense and liability or result in orders forcing us to modify our business practices. Concerns over our privacy practices could adversely affect others’ perception of us and deter customers, advertisers and partners from using our products. In addition, patient care could suffer, and we could be liable if our systems fail to deliver correct information in a timely manner. Our insurance may not protect us from this risk.</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also subject to several federal, state and foreign laws and regulations, including ones relating to privacy, data protection, content regulation, and consumer protection. These laws and regulations are constantly evolving and may be interpreted, applied, created or amended in a manner that could adversely affect our business.</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March 31, 2018, we had 421 active U.S. patents, 459 active foreign patents, and 438 pending global patent applications.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Certain of our key patents began to expire in 2017, which may result in increased competition or less expensive alternatives to our products.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Litigation, interferences, oppositions, re-exams, inter partes reviews, post grant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Litigation, interference, oppositions, re-exams, inter partes reviews, post grant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78" w:lineRule="exact"/>
        <w:rPr>
          <w:sz w:val="20"/>
          <w:szCs w:val="20"/>
          <w:color w:val="auto"/>
        </w:rPr>
      </w:pPr>
    </w:p>
    <w:p>
      <w:pPr>
        <w:jc w:val="both"/>
        <w:ind w:right="20" w:firstLine="284"/>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minimum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sell our products and generate revenues primarily depends upon our direct sales force within our Americas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9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existing relationships with distributors may preclude us from entering into additional future arrangements with other distributors;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420"/>
        <w:spacing w:after="0"/>
        <w:tabs>
          <w:tab w:leader="none" w:pos="640" w:val="left"/>
        </w:tabs>
        <w:rPr>
          <w:sz w:val="20"/>
          <w:szCs w:val="20"/>
          <w:color w:val="auto"/>
        </w:rPr>
      </w:pPr>
      <w:r>
        <w:rPr>
          <w:rFonts w:ascii="Arial" w:cs="Arial" w:eastAsia="Arial" w:hAnsi="Arial"/>
          <w:sz w:val="18"/>
          <w:szCs w:val="18"/>
          <w:color w:val="auto"/>
        </w:rPr>
        <w:t>•</w:t>
        <w:tab/>
        <w:t>product design, development, manufacturing and testing;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82" w:lineRule="exact"/>
        <w:rPr>
          <w:rFonts w:ascii="Arial" w:cs="Arial" w:eastAsia="Arial" w:hAnsi="Arial"/>
          <w:sz w:val="17"/>
          <w:szCs w:val="17"/>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Impairments in the value of our investments and receivables could negatively impact our financial results.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invested in SmileDirectClub, LLC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receivables in SDC or other privately held companies have experienced a decline in value, we may be required to record impairments, which could be material and could have an adverse impact on our financial results.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stock-based compensation, revenue recognition and leases.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unstable credit environment, we might incur significant realized, unrealized or impairment losses associated with these investments.</w:t>
      </w:r>
    </w:p>
    <w:p>
      <w:pPr>
        <w:spacing w:after="0" w:line="19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structure is challenged by U.S. or foreign tax authorities, if changes in domestic and international tax laws negatively impact the structure, including the U.S. Tax Cuts and Jobs Act (“TCJA”) enacted into law on December 22, 2017, or if we do not operate our business in a manner consistent with the structure and applicable regulatory provisions, we may fail to achieve the financial and operational efficiencies that we anticipate as a result of the structure, and our business, financial condition and net income may be materially and adversely affected.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As a result of the adoption of Accounting Standards Update (“ASU”) 2016-09 in 2017, we anticipate our effective tax rate to vary significantly in our first quarter due to the timing of when the majority of our equity compensation vests each year. Other quarters can also be impacted depending on the timing of equity vests.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tax rate may be impacted by tax holidays or incentives. 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a specified number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and 2017. For the three months ended March 31, 2018, the reduction in income taxes was minimal.</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On December 22, 2017, the U.S. enacted significant tax reform, and certain provisions of the new law may adversely affect us. In addition, governmental tax authorities are increasingly scrutinizing the tax positions of companies.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In 2015, the OECD issued and is expected to continue to issue, guidelines and proposals that may change various aspects of the existing framework under which our tax obligations are determined in many of the countries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stock repurchases for the three months ended March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Repurchased</w:t>
            </w: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Repurchased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2018 through January 31, 2018</w:t>
            </w:r>
          </w:p>
        </w:tc>
        <w:tc>
          <w:tcPr>
            <w:tcW w:w="1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February 1, 2018 through February 28, 2018</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396,446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252.24</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396,446</w:t>
            </w:r>
          </w:p>
        </w:tc>
        <w:tc>
          <w:tcPr>
            <w:tcW w:w="4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1, 2018 through March 31, 2018</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8"/>
        <w:spacing w:after="0" w:line="246" w:lineRule="auto"/>
        <w:tabs>
          <w:tab w:leader="none" w:pos="95" w:val="left"/>
        </w:tabs>
        <w:numPr>
          <w:ilvl w:val="0"/>
          <w:numId w:val="31"/>
        </w:numPr>
        <w:rPr>
          <w:rFonts w:ascii="Arial" w:cs="Arial" w:eastAsia="Arial" w:hAnsi="Arial"/>
          <w:sz w:val="21"/>
          <w:szCs w:val="21"/>
          <w:color w:val="auto"/>
          <w:vertAlign w:val="superscript"/>
        </w:rPr>
      </w:pPr>
      <w:r>
        <w:rPr>
          <w:rFonts w:ascii="Arial" w:cs="Arial" w:eastAsia="Arial" w:hAnsi="Arial"/>
          <w:sz w:val="15"/>
          <w:szCs w:val="15"/>
          <w:color w:val="auto"/>
        </w:rPr>
        <w:t>On April 28, 2016, we announced that our Board of Directors had authorized a plan to repurchase up to $300.0 million of our stock under our April 2016 Repurchase Program. In February 2018, we repurchased on the open market approximately 0.4 million shares of our common stock at an average price of $252.24 per share, including commission for an aggregate purchase price of approximately $100.0 million. As of March 31, 2018, we have $100.0 million remaining under the April 2016 Repurchase Plan (</w:t>
      </w:r>
      <w:r>
        <w:rPr>
          <w:rFonts w:ascii="Arial" w:cs="Arial" w:eastAsia="Arial" w:hAnsi="Arial"/>
          <w:sz w:val="15"/>
          <w:szCs w:val="15"/>
          <w:i w:val="1"/>
          <w:iCs w:val="1"/>
          <w:color w:val="auto"/>
        </w:rPr>
        <w:t>Refer to Note 11“Common Stock Repurchases” of the Notes to Condensed Consolidated Financial Statements</w:t>
      </w:r>
      <w:r>
        <w:rPr>
          <w:rFonts w:ascii="Arial" w:cs="Arial" w:eastAsia="Arial" w:hAnsi="Arial"/>
          <w:sz w:val="15"/>
          <w:szCs w:val="15"/>
          <w:color w:val="auto"/>
        </w:rPr>
        <w:t xml:space="preserve"> for more information).</w:t>
      </w:r>
    </w:p>
    <w:p>
      <w:pPr>
        <w:spacing w:after="0" w:line="15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1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1800" w:type="dxa"/>
            <w:vAlign w:val="bottom"/>
          </w:tcPr>
          <w:p>
            <w:pPr>
              <w:spacing w:after="0"/>
              <w:rPr>
                <w:sz w:val="11"/>
                <w:szCs w:val="11"/>
                <w:color w:val="auto"/>
              </w:rPr>
            </w:pPr>
          </w:p>
        </w:tc>
        <w:tc>
          <w:tcPr>
            <w:tcW w:w="3800" w:type="dxa"/>
            <w:vAlign w:val="bottom"/>
            <w:gridSpan w:val="8"/>
          </w:tcPr>
          <w:p>
            <w:pPr>
              <w:ind w:left="660"/>
              <w:spacing w:after="0" w:line="129" w:lineRule="exact"/>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1"/>
                <w:szCs w:val="11"/>
                <w:color w:val="auto"/>
              </w:rPr>
            </w:pPr>
          </w:p>
        </w:tc>
        <w:tc>
          <w:tcPr>
            <w:tcW w:w="7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Filing</w:t>
            </w:r>
          </w:p>
        </w:tc>
        <w:tc>
          <w:tcPr>
            <w:tcW w:w="440" w:type="dxa"/>
            <w:vAlign w:val="bottom"/>
          </w:tcPr>
          <w:p>
            <w:pPr>
              <w:spacing w:after="0"/>
              <w:rPr>
                <w:sz w:val="11"/>
                <w:szCs w:val="11"/>
                <w:color w:val="auto"/>
              </w:rPr>
            </w:pPr>
          </w:p>
        </w:tc>
        <w:tc>
          <w:tcPr>
            <w:tcW w:w="76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640" w:type="dxa"/>
            <w:vAlign w:val="bottom"/>
            <w:tcBorders>
              <w:bottom w:val="single" w:sz="8" w:color="CCEEFF"/>
            </w:tcBorders>
            <w:shd w:val="clear" w:color="auto" w:fill="CCEEFF"/>
          </w:tcPr>
          <w:p>
            <w:pPr>
              <w:spacing w:after="0"/>
              <w:rPr>
                <w:sz w:val="17"/>
                <w:szCs w:val="17"/>
                <w:color w:val="auto"/>
              </w:rPr>
            </w:pPr>
          </w:p>
        </w:tc>
        <w:tc>
          <w:tcPr>
            <w:tcW w:w="560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Credit Agreement between Align and Wells Fargo Bank National Association</w:t>
              </w:r>
            </w:hyperlink>
          </w:p>
        </w:tc>
        <w:tc>
          <w:tcPr>
            <w:tcW w:w="1280" w:type="dxa"/>
            <w:vAlign w:val="bottom"/>
            <w:tcBorders>
              <w:bottom w:val="single" w:sz="8" w:color="CCEEFF"/>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3"/>
              </w:rPr>
              <w:t>Form 8-K</w:t>
            </w:r>
          </w:p>
        </w:tc>
        <w:tc>
          <w:tcPr>
            <w:tcW w:w="1200" w:type="dxa"/>
            <w:vAlign w:val="bottom"/>
            <w:tcBorders>
              <w:bottom w:val="single" w:sz="8" w:color="CCEEFF"/>
            </w:tcBorders>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2/27/2018</w:t>
            </w:r>
          </w:p>
        </w:tc>
        <w:tc>
          <w:tcPr>
            <w:tcW w:w="740" w:type="dxa"/>
            <w:vAlign w:val="bottom"/>
            <w:tcBorders>
              <w:bottom w:val="single" w:sz="8" w:color="CCEEFF"/>
            </w:tcBorders>
            <w:gridSpan w:val="3"/>
            <w:shd w:val="clear" w:color="auto" w:fill="CCEEFF"/>
          </w:tcPr>
          <w:p>
            <w:pPr>
              <w:jc w:val="center"/>
              <w:ind w:left="170"/>
              <w:spacing w:after="0" w:line="202" w:lineRule="exact"/>
              <w:rPr>
                <w:sz w:val="20"/>
                <w:szCs w:val="20"/>
                <w:color w:val="auto"/>
              </w:rPr>
            </w:pPr>
            <w:r>
              <w:rPr>
                <w:rFonts w:ascii="Arial" w:cs="Arial" w:eastAsia="Arial" w:hAnsi="Arial"/>
                <w:sz w:val="18"/>
                <w:szCs w:val="18"/>
                <w:color w:val="auto"/>
                <w:w w:val="91"/>
              </w:rPr>
              <w:t>10.1</w:t>
            </w: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0" w:type="dxa"/>
            <w:vAlign w:val="bottom"/>
            <w:gridSpan w:val="9"/>
            <w:shd w:val="clear" w:color="auto" w:fill="CCEEFF"/>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dated February 27, 2018.</w:t>
              </w:r>
            </w:hyperlink>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31.1</w:t>
            </w:r>
          </w:p>
        </w:tc>
        <w:tc>
          <w:tcPr>
            <w:tcW w:w="640" w:type="dxa"/>
            <w:vAlign w:val="bottom"/>
          </w:tcPr>
          <w:p>
            <w:pPr>
              <w:spacing w:after="0"/>
              <w:rPr>
                <w:sz w:val="17"/>
                <w:szCs w:val="17"/>
                <w:color w:val="auto"/>
              </w:rPr>
            </w:pPr>
          </w:p>
        </w:tc>
        <w:tc>
          <w:tcPr>
            <w:tcW w:w="5520" w:type="dxa"/>
            <w:vAlign w:val="bottom"/>
            <w:tcBorders>
              <w:bottom w:val="single" w:sz="8" w:color="0000FF"/>
            </w:tcBorders>
            <w:gridSpan w:val="8"/>
          </w:tcPr>
          <w:p>
            <w:pPr>
              <w:spacing w:after="0" w:line="202" w:lineRule="exact"/>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Chief Executive Officer pursuant to 18 U.S.C. Section 1350,</w:t>
              </w:r>
            </w:hyperlink>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0" w:type="dxa"/>
            <w:vAlign w:val="bottom"/>
            <w:gridSpan w:val="9"/>
          </w:tcPr>
          <w:p>
            <w:pPr>
              <w:spacing w:after="0" w:line="196" w:lineRule="exact"/>
              <w:rPr>
                <w:rFonts w:ascii="Arial" w:cs="Arial" w:eastAsia="Arial" w:hAnsi="Arial"/>
                <w:sz w:val="18"/>
                <w:szCs w:val="18"/>
                <w:color w:val="0000FF"/>
                <w:w w:val="97"/>
              </w:rPr>
            </w:pPr>
            <w:hyperlink w:anchor="page54">
              <w:r>
                <w:rPr>
                  <w:rFonts w:ascii="Arial" w:cs="Arial" w:eastAsia="Arial" w:hAnsi="Arial"/>
                  <w:sz w:val="18"/>
                  <w:szCs w:val="18"/>
                  <w:color w:val="0000FF"/>
                  <w:w w:val="97"/>
                </w:rPr>
                <w:t>as adopted pursuant to Section 302 of the Sarbanes-Oxley Act of 2002.</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5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640" w:type="dxa"/>
            <w:vAlign w:val="bottom"/>
            <w:shd w:val="clear" w:color="auto" w:fill="CCEEFF"/>
          </w:tcPr>
          <w:p>
            <w:pPr>
              <w:spacing w:after="0"/>
              <w:rPr>
                <w:sz w:val="17"/>
                <w:szCs w:val="17"/>
                <w:color w:val="auto"/>
              </w:rPr>
            </w:pPr>
          </w:p>
        </w:tc>
        <w:tc>
          <w:tcPr>
            <w:tcW w:w="5600" w:type="dxa"/>
            <w:vAlign w:val="bottom"/>
            <w:gridSpan w:val="9"/>
            <w:shd w:val="clear" w:color="auto" w:fill="CCEEFF"/>
          </w:tcPr>
          <w:p>
            <w:pPr>
              <w:spacing w:after="0" w:line="202" w:lineRule="exact"/>
              <w:rPr>
                <w:rFonts w:ascii="Arial" w:cs="Arial" w:eastAsia="Arial" w:hAnsi="Arial"/>
                <w:sz w:val="18"/>
                <w:szCs w:val="18"/>
                <w:color w:val="0000FF"/>
                <w:w w:val="94"/>
              </w:rPr>
            </w:pPr>
            <w:hyperlink w:anchor="page55">
              <w:r>
                <w:rPr>
                  <w:rFonts w:ascii="Arial" w:cs="Arial" w:eastAsia="Arial" w:hAnsi="Arial"/>
                  <w:sz w:val="18"/>
                  <w:szCs w:val="18"/>
                  <w:color w:val="0000FF"/>
                  <w:w w:val="94"/>
                </w:rPr>
                <w:t>Certification of Chief Financial Officer pursuant to 18 U.S.C. Section 1350,</w:t>
              </w:r>
            </w:hyperlink>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w w:val="95"/>
              </w:rPr>
            </w:pPr>
            <w:hyperlink w:anchor="page55">
              <w:r>
                <w:rPr>
                  <w:rFonts w:ascii="Arial" w:cs="Arial" w:eastAsia="Arial" w:hAnsi="Arial"/>
                  <w:sz w:val="18"/>
                  <w:szCs w:val="18"/>
                  <w:color w:val="0000FF"/>
                  <w:w w:val="95"/>
                </w:rPr>
                <w:t>as adopted pursuant to Section 302 of the Sarbanes-Oxley Act of 2002.</w:t>
              </w:r>
            </w:hyperlink>
          </w:p>
        </w:tc>
        <w:tc>
          <w:tcPr>
            <w:tcW w:w="140" w:type="dxa"/>
            <w:vAlign w:val="bottom"/>
            <w:tcBorders>
              <w:top w:val="single" w:sz="8" w:color="CCEEFF"/>
            </w:tcBorders>
            <w:gridSpan w:val="2"/>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32.1</w:t>
            </w:r>
          </w:p>
        </w:tc>
        <w:tc>
          <w:tcPr>
            <w:tcW w:w="640" w:type="dxa"/>
            <w:vAlign w:val="bottom"/>
          </w:tcPr>
          <w:p>
            <w:pPr>
              <w:spacing w:after="0"/>
              <w:rPr>
                <w:sz w:val="17"/>
                <w:szCs w:val="17"/>
                <w:color w:val="auto"/>
              </w:rPr>
            </w:pPr>
          </w:p>
        </w:tc>
        <w:tc>
          <w:tcPr>
            <w:tcW w:w="5220" w:type="dxa"/>
            <w:vAlign w:val="bottom"/>
            <w:tcBorders>
              <w:bottom w:val="single" w:sz="8" w:color="0000FF"/>
            </w:tcBorders>
            <w:gridSpan w:val="6"/>
          </w:tcPr>
          <w:p>
            <w:pPr>
              <w:spacing w:after="0" w:line="202"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Certification pursuant to 18 U.S.C. Section 1350, as adopted pursuant to</w:t>
              </w:r>
            </w:hyperlink>
          </w:p>
        </w:tc>
        <w:tc>
          <w:tcPr>
            <w:tcW w:w="3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0" w:type="dxa"/>
            <w:vAlign w:val="bottom"/>
            <w:gridSpan w:val="9"/>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Section 906 of the Sarbanes-Oxley Act of 2002.</w:t>
              </w:r>
            </w:hyperlink>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5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56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5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56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56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6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702"/>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20" w:type="dxa"/>
            <w:vAlign w:val="bottom"/>
            <w:gridSpan w:val="5"/>
          </w:tcPr>
          <w:p>
            <w:pPr>
              <w:ind w:left="44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40"/>
        <w:spacing w:after="0"/>
        <w:tabs>
          <w:tab w:leader="none" w:pos="5760" w:val="left"/>
          <w:tab w:leader="none" w:pos="7840" w:val="left"/>
        </w:tabs>
        <w:rPr>
          <w:sz w:val="20"/>
          <w:szCs w:val="20"/>
          <w:color w:val="auto"/>
        </w:rPr>
      </w:pPr>
      <w:r>
        <w:rPr>
          <w:rFonts w:ascii="Arial" w:cs="Arial" w:eastAsia="Arial" w:hAnsi="Arial"/>
          <w:sz w:val="18"/>
          <w:szCs w:val="18"/>
          <w:color w:val="auto"/>
        </w:rPr>
        <w:t>May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Joseph M. Hogan</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58" w:lineRule="exact"/>
        <w:rPr>
          <w:sz w:val="20"/>
          <w:szCs w:val="20"/>
          <w:color w:val="auto"/>
        </w:rPr>
      </w:pPr>
    </w:p>
    <w:p>
      <w:pPr>
        <w:ind w:left="578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John F. Morici</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Financial Officer and Senior Vice President, Global Finance</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F. Morici, certify that:</w:t>
      </w:r>
    </w:p>
    <w:p>
      <w:pPr>
        <w:spacing w:after="0" w:line="3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John F. Morici</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 and Senior Vice President, Global Finance</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March 31, 2018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March 31, 2018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JOHN F. MORICI</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John F. Morici</w:t>
            </w: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 and Senior Vice President, Global Finance</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bullet"/>
      <w:start w:val="1"/>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
      <w:numFmt w:val="bullet"/>
      <w:start w:val="1"/>
    </w:lvl>
    <w:lvl w:ilvl="1">
      <w:lvlJc w:val="left"/>
      <w:lvlText w:val="•"/>
      <w:numFmt w:val="bullet"/>
      <w:start w:val="1"/>
    </w:lvl>
  </w:abstractNum>
  <w:abstractNum w:abstractNumId="5">
    <w:nsid w:val="436C6125"/>
    <w:multiLevelType w:val="hybridMultilevel"/>
    <w:lvl w:ilvl="0">
      <w:lvlJc w:val="left"/>
      <w:lvlText w:val="1"/>
      <w:numFmt w:val="bullet"/>
      <w:start w:val="1"/>
    </w:lvl>
  </w:abstractNum>
  <w:abstractNum w:abstractNumId="6">
    <w:nsid w:val="628C895D"/>
    <w:multiLevelType w:val="hybridMultilevel"/>
    <w:lvl w:ilvl="0">
      <w:lvlJc w:val="left"/>
      <w:lvlText w:val="1"/>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lvl w:ilvl="1">
      <w:lvlJc w:val="left"/>
      <w:lvlText w:val="•"/>
      <w:numFmt w:val="bullet"/>
      <w:start w:val="1"/>
    </w:lvl>
  </w:abstractNum>
  <w:abstractNum w:abstractNumId="16">
    <w:nsid w:val="B03E0C6"/>
    <w:multiLevelType w:val="hybridMultilevel"/>
    <w:lvl w:ilvl="0">
      <w:lvlJc w:val="left"/>
      <w:lvlText w:val="1"/>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www.sec.gov/Archives/edgar/data/1097149/000109714918000007/algn20170227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2019-12-28T22:49:54Z</dcterms:created>
  <dcterms:modified xsi:type="dcterms:W3CDTF">2019-12-28T22:49:54Z</dcterms:modified>
</cp:coreProperties>
</file>