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2016</w:t>
      </w:r>
    </w:p>
    <w:p>
      <w:pPr>
        <w:spacing w:after="0" w:line="1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4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29" w:right="399" w:bottom="1440" w:gutter="0" w:footer="0" w:header="0"/>
        </w:sectPr>
      </w:pPr>
    </w:p>
    <w:p>
      <w:pPr>
        <w:spacing w:after="0" w:line="23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67" w:lineRule="exact"/>
        <w:rPr>
          <w:sz w:val="24"/>
          <w:szCs w:val="24"/>
          <w:color w:val="auto"/>
        </w:rPr>
      </w:pPr>
    </w:p>
    <w:p>
      <w:pPr>
        <w:sectPr>
          <w:pgSz w:w="11900" w:h="16838" w:orient="portrait"/>
          <w:cols w:equalWidth="0" w:num="2">
            <w:col w:w="6400" w:space="720"/>
            <w:col w:w="4140"/>
          </w:cols>
          <w:pgMar w:left="240" w:top="229" w:right="3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6"/>
          <w:szCs w:val="16"/>
          <w:b w:val="1"/>
          <w:bCs w:val="1"/>
          <w:color w:val="auto"/>
        </w:rPr>
        <w:t>Commission file number: 0-32259</w:t>
      </w:r>
    </w:p>
    <w:p>
      <w:pPr>
        <w:spacing w:after="0" w:line="2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color w:val="auto"/>
        </w:rPr>
        <w:t>____________________________</w:t>
      </w:r>
    </w:p>
    <w:p>
      <w:pPr>
        <w:sectPr>
          <w:pgSz w:w="11900" w:h="16838" w:orient="portrait"/>
          <w:cols w:equalWidth="0" w:num="1">
            <w:col w:w="11260"/>
          </w:cols>
          <w:pgMar w:left="240" w:top="229" w:right="399" w:bottom="1440" w:gutter="0" w:footer="0" w:header="0"/>
          <w:type w:val="continuous"/>
        </w:sectPr>
      </w:pP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9"/>
          <w:szCs w:val="39"/>
          <w:b w:val="1"/>
          <w:bCs w:val="1"/>
          <w:color w:val="auto"/>
        </w:rPr>
        <w:t>ALIGN TECHNOLOGY, INC.</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color w:val="auto"/>
        </w:rPr>
        <w:t>____________________________</w:t>
      </w:r>
    </w:p>
    <w:p>
      <w:pPr>
        <w:sectPr>
          <w:pgSz w:w="11900" w:h="16838" w:orient="portrait"/>
          <w:cols w:equalWidth="0" w:num="1">
            <w:col w:w="11260"/>
          </w:cols>
          <w:pgMar w:left="240" w:top="229" w:right="399" w:bottom="1440" w:gutter="0" w:footer="0" w:header="0"/>
          <w:type w:val="continuous"/>
        </w:sectPr>
      </w:pPr>
    </w:p>
    <w:p>
      <w:pPr>
        <w:spacing w:after="0" w:line="14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94-3267295</w:t>
      </w:r>
    </w:p>
    <w:p>
      <w:pPr>
        <w:spacing w:after="0" w:line="73" w:lineRule="exact"/>
        <w:rPr>
          <w:sz w:val="24"/>
          <w:szCs w:val="24"/>
          <w:color w:val="auto"/>
        </w:rPr>
      </w:pPr>
    </w:p>
    <w:p>
      <w:pPr>
        <w:sectPr>
          <w:pgSz w:w="11900" w:h="16838" w:orient="portrait"/>
          <w:cols w:equalWidth="0" w:num="2">
            <w:col w:w="7460" w:space="720"/>
            <w:col w:w="3080"/>
          </w:cols>
          <w:pgMar w:left="240" w:top="229" w:right="39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28"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Identification Number)</w:t>
      </w:r>
    </w:p>
    <w:p>
      <w:pPr>
        <w:spacing w:after="0" w:line="117" w:lineRule="exact"/>
        <w:rPr>
          <w:sz w:val="24"/>
          <w:szCs w:val="24"/>
          <w:color w:val="auto"/>
        </w:rPr>
      </w:pPr>
    </w:p>
    <w:p>
      <w:pPr>
        <w:sectPr>
          <w:pgSz w:w="11900" w:h="16838" w:orient="portrait"/>
          <w:cols w:equalWidth="0" w:num="2">
            <w:col w:w="7040" w:space="720"/>
            <w:col w:w="3500"/>
          </w:cols>
          <w:pgMar w:left="240" w:top="229" w:right="3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2560 Orchard Parkway</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1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(408) 470-1000</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5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color w:val="auto"/>
        </w:rPr>
        <w:t>____________________________</w:t>
      </w:r>
    </w:p>
    <w:p>
      <w:pPr>
        <w:sectPr>
          <w:pgSz w:w="11900" w:h="16838" w:orient="portrait"/>
          <w:cols w:equalWidth="0" w:num="1">
            <w:col w:w="11260"/>
          </w:cols>
          <w:pgMar w:left="240" w:top="229" w:right="399" w:bottom="1440" w:gutter="0" w:footer="0" w:header="0"/>
          <w:type w:val="continuous"/>
        </w:sectPr>
      </w:pPr>
    </w:p>
    <w:p>
      <w:pPr>
        <w:spacing w:after="0" w:line="86" w:lineRule="exact"/>
        <w:rPr>
          <w:sz w:val="24"/>
          <w:szCs w:val="24"/>
          <w:color w:val="auto"/>
        </w:rPr>
      </w:pPr>
    </w:p>
    <w:p>
      <w:pPr>
        <w:ind w:right="260" w:firstLine="43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4" w:lineRule="exact"/>
        <w:rPr>
          <w:sz w:val="24"/>
          <w:szCs w:val="24"/>
          <w:color w:val="auto"/>
        </w:rPr>
      </w:pPr>
    </w:p>
    <w:p>
      <w:pPr>
        <w:ind w:right="240" w:firstLine="43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4" w:lineRule="exact"/>
        <w:rPr>
          <w:sz w:val="24"/>
          <w:szCs w:val="24"/>
          <w:color w:val="auto"/>
        </w:rPr>
      </w:pPr>
    </w:p>
    <w:p>
      <w:pPr>
        <w:ind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29" w:right="399" w:bottom="1440" w:gutter="0" w:footer="0" w:header="0"/>
          <w:type w:val="continuous"/>
        </w:sectPr>
      </w:pPr>
    </w:p>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29" w:right="39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29" w:right="399" w:bottom="1440" w:gutter="0" w:footer="0" w:header="0"/>
          <w:type w:val="continuous"/>
        </w:sectPr>
      </w:pPr>
    </w:p>
    <w:p>
      <w:pPr>
        <w:spacing w:after="0" w:line="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29" w:right="3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$0.0001 par value, as of July 29, 2016 was 80,046,571.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229" w:right="39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9920" w:type="dxa"/>
            <w:vAlign w:val="bottom"/>
            <w:gridSpan w:val="20"/>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INFORMATION</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STATEMENTS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w:anchor="page4">
              <w:r>
                <w:rPr>
                  <w:rFonts w:ascii="Times New Roman" w:cs="Times New Roman" w:eastAsia="Times New Roman" w:hAnsi="Times New Roman"/>
                  <w:sz w:val="18"/>
                  <w:szCs w:val="18"/>
                  <w:color w:val="0000FF"/>
                  <w:w w:val="98"/>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BALANCE SHEETS</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CASH FLOWS</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gridSpan w:val="20"/>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6"/>
              </w:rPr>
            </w:pPr>
            <w:hyperlink w:anchor="page21">
              <w:r>
                <w:rPr>
                  <w:rFonts w:ascii="Times New Roman" w:cs="Times New Roman" w:eastAsia="Times New Roman" w:hAnsi="Times New Roman"/>
                  <w:sz w:val="18"/>
                  <w:szCs w:val="18"/>
                  <w:color w:val="0000FF"/>
                  <w:w w:val="96"/>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Times New Roman" w:cs="Times New Roman" w:eastAsia="Times New Roman" w:hAnsi="Times New Roman"/>
                <w:sz w:val="18"/>
                <w:szCs w:val="18"/>
                <w:color w:val="0000FF"/>
                <w:w w:val="88"/>
              </w:rPr>
            </w:pPr>
            <w:hyperlink w:anchor="page21">
              <w:r>
                <w:rPr>
                  <w:rFonts w:ascii="Times New Roman" w:cs="Times New Roman" w:eastAsia="Times New Roman" w:hAnsi="Times New Roman"/>
                  <w:sz w:val="18"/>
                  <w:szCs w:val="18"/>
                  <w:color w:val="0000FF"/>
                  <w:w w:val="88"/>
                </w:rPr>
                <w:t>21</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w:anchor="page32">
              <w:r>
                <w:rPr>
                  <w:rFonts w:ascii="Times New Roman" w:cs="Times New Roman" w:eastAsia="Times New Roman" w:hAnsi="Times New Roman"/>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32</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32</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w:anchor="page34">
              <w:r>
                <w:rPr>
                  <w:rFonts w:ascii="Times New Roman" w:cs="Times New Roman" w:eastAsia="Times New Roman" w:hAnsi="Times New Roman"/>
                  <w:sz w:val="18"/>
                  <w:szCs w:val="18"/>
                  <w:color w:val="0000FF"/>
                  <w:w w:val="97"/>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34</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gridSpan w:val="20"/>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34</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6"/>
              </w:rPr>
            </w:pPr>
            <w:hyperlink w:anchor="page35">
              <w:r>
                <w:rPr>
                  <w:rFonts w:ascii="Times New Roman" w:cs="Times New Roman" w:eastAsia="Times New Roman" w:hAnsi="Times New Roman"/>
                  <w:sz w:val="18"/>
                  <w:szCs w:val="18"/>
                  <w:color w:val="0000FF"/>
                  <w:w w:val="96"/>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35">
              <w:r>
                <w:rPr>
                  <w:rFonts w:ascii="Times New Roman" w:cs="Times New Roman" w:eastAsia="Times New Roman" w:hAnsi="Times New Roman"/>
                  <w:sz w:val="18"/>
                  <w:szCs w:val="18"/>
                  <w:color w:val="0000FF"/>
                  <w:w w:val="88"/>
                </w:rPr>
                <w:t>35</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gridSpan w:val="20"/>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49</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31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8"/>
              </w:rPr>
            </w:pPr>
            <w:hyperlink w:anchor="page49">
              <w:r>
                <w:rPr>
                  <w:rFonts w:ascii="Times New Roman" w:cs="Times New Roman" w:eastAsia="Times New Roman" w:hAnsi="Times New Roman"/>
                  <w:sz w:val="18"/>
                  <w:szCs w:val="18"/>
                  <w:color w:val="0000FF"/>
                  <w:w w:val="98"/>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49</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4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49</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8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w:anchor="page49">
              <w:r>
                <w:rPr>
                  <w:rFonts w:ascii="Times New Roman" w:cs="Times New Roman" w:eastAsia="Times New Roman" w:hAnsi="Times New Roman"/>
                  <w:sz w:val="18"/>
                  <w:szCs w:val="18"/>
                  <w:color w:val="0000FF"/>
                  <w:w w:val="97"/>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49</w:t>
              </w:r>
            </w:hyperlink>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920" w:type="dxa"/>
            <w:vAlign w:val="bottom"/>
            <w:gridSpan w:val="20"/>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EXHIBITS</w:t>
              </w:r>
            </w:hyperlink>
          </w:p>
        </w:tc>
        <w:tc>
          <w:tcPr>
            <w:tcW w:w="180" w:type="dxa"/>
            <w:vAlign w:val="bottom"/>
            <w:gridSpan w:val="2"/>
          </w:tcPr>
          <w:p>
            <w:pPr>
              <w:jc w:val="right"/>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49</w:t>
              </w:r>
            </w:hyperlink>
          </w:p>
        </w:tc>
      </w:tr>
      <w:tr>
        <w:trPr>
          <w:trHeight w:val="250"/>
        </w:trPr>
        <w:tc>
          <w:tcPr>
            <w:tcW w:w="1100" w:type="dxa"/>
            <w:vAlign w:val="bottom"/>
            <w:tcBorders>
              <w:bottom w:val="single" w:sz="8" w:color="0000FF"/>
            </w:tcBorders>
          </w:tcPr>
          <w:p>
            <w:pPr>
              <w:spacing w:after="0"/>
              <w:rPr>
                <w:rFonts w:ascii="Times New Roman" w:cs="Times New Roman" w:eastAsia="Times New Roman" w:hAnsi="Times New Roman"/>
                <w:sz w:val="18"/>
                <w:szCs w:val="18"/>
                <w:color w:val="0000FF"/>
                <w:w w:val="96"/>
              </w:rPr>
            </w:pPr>
            <w:hyperlink w:anchor="page51">
              <w:r>
                <w:rPr>
                  <w:rFonts w:ascii="Times New Roman" w:cs="Times New Roman" w:eastAsia="Times New Roman" w:hAnsi="Times New Roman"/>
                  <w:sz w:val="18"/>
                  <w:szCs w:val="18"/>
                  <w:color w:val="0000FF"/>
                  <w:w w:val="96"/>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51">
              <w:r>
                <w:rPr>
                  <w:rFonts w:ascii="Times New Roman" w:cs="Times New Roman" w:eastAsia="Times New Roman" w:hAnsi="Times New Roman"/>
                  <w:sz w:val="18"/>
                  <w:szCs w:val="18"/>
                  <w:color w:val="0000FF"/>
                  <w:w w:val="88"/>
                </w:rPr>
                <w:t>51</w:t>
              </w:r>
            </w:hyperlink>
          </w:p>
        </w:tc>
      </w:tr>
    </w:tbl>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Invisalign, Align, the Invisalign logo, ClinCheck, Invisalign Assist, Invisalign Teen,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7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269,362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508,082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407,574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net revenues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64,146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122,239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97,850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205,216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158,634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385,843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309,724</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121,467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233,677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188,906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140,080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116,309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267,373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218,475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65,136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42,325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118,470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91,249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income (expenses),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65,261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42,499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118,168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89,971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15,113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27,474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50,148</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31,350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90,694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67,527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79,951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79,891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80,358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81,440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7"/>
                <w:szCs w:val="17"/>
                <w:color w:val="auto"/>
              </w:rPr>
            </w:pPr>
          </w:p>
        </w:tc>
      </w:tr>
      <w:tr>
        <w:trPr>
          <w:trHeight w:val="78"/>
        </w:trPr>
        <w:tc>
          <w:tcPr>
            <w:tcW w:w="51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64"/>
        </w:trPr>
        <w:tc>
          <w:tcPr>
            <w:tcW w:w="5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50,148</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31,350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90,694</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67,527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5"/>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unrealized gains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net of tax</w:t>
            </w:r>
          </w:p>
        </w:tc>
        <w:tc>
          <w:tcPr>
            <w:tcW w:w="36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50,554</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31,269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92,102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67,480</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75"/>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167,714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359,581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for doubtful accounts and returns of $3,128 and $2,472,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158,550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26,700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825,407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732,010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151,370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136,473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79,162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51,416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8,202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1,251,273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1,158,633</w:t>
            </w: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107,765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271,672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37,512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1,523</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341,415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310,707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6 and 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$0.0001 par value (200,000 shares authorized; 79,868 and 79,500 issued and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821,815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821,507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27,391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909,858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847,926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1,251,273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1,158,633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75"/>
        </w:trPr>
        <w:tc>
          <w:tcPr>
            <w:tcW w:w="83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90,694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8,638</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24,474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tax benefits from stock-based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6,207</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8,259</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12,733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106,847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98,585</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148,685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forward contract related to accelerated share repurchase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Employees’ taxes paid upon the vesting of restricted stock units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(74,927)</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r>
      <w:tr>
        <w:trPr>
          <w:trHeight w:val="243"/>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167,714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199,871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167,706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and six months ended June 30, 2016 and 2015, our comprehensive income for the three and six months ended June 30, 2016 and 2015, our financial position as of June 30, 2016 and our cash flows for the six months ended June 30, 2016 and 2015. The Condensed Consolidated Balance Sheet as of December 31, 2015 was derived from the December 31, 2015 audited financial statements but does not include all disclosures required by accounting principles generally accepted in the United States of America.</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2016 are not necessarily indicative of the results that may be expected for the year ending December 31, 2016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2015.</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 FASB") released Accounting Standards Update ("ASU") 2014-9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(Topic 606) to supersede nearly all existing revenue recognition guidance under GAAP. The core principle of the standard is to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have not yet selected a transition method, and are in the process of determining the impact that the new standard will have on our consolidated financial statements.</w:t>
      </w:r>
    </w:p>
    <w:p>
      <w:pPr>
        <w:spacing w:after="0" w:line="19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April 2016, the Financial Accounting Standards Board (" FASB") released </w:t>
      </w:r>
      <w:r>
        <w:rPr>
          <w:rFonts w:ascii="Times New Roman" w:cs="Times New Roman" w:eastAsia="Times New Roman" w:hAnsi="Times New Roman"/>
          <w:sz w:val="18"/>
          <w:szCs w:val="18"/>
          <w:color w:val="252525"/>
        </w:rPr>
        <w:t>ASU No. 2016-10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May 2016, the Financial Accounting Standards Board (" FASB") released </w:t>
      </w:r>
      <w:r>
        <w:rPr>
          <w:rFonts w:ascii="Times New Roman" w:cs="Times New Roman" w:eastAsia="Times New Roman" w:hAnsi="Times New Roman"/>
          <w:sz w:val="18"/>
          <w:szCs w:val="18"/>
          <w:color w:val="252525"/>
        </w:rPr>
        <w:t>ASU No. 2016-12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address certain issues in the Topic 606 guidance on assessing the collectibility, presentation of sales taxes, non-cash consideration, and completed contracts and contract modifications at transition. The ASU provides narrow-scope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improvements and practical expedients to the ASU 2014-9 issued in May 2014. The effective date and the transition requirement of the amendments in this update are the same as the effective date and transition requirements of Topic 606.</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update is permitted. The Company is evaluating the impact of the adoption of this update on our consolidated financial statements and related disclosures.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This ASU will become effective for Align on January 1, 2017. Early adoption is permitted in any interim or annual period. We are currently evaluating the impact of this guidance on its consolidated financial statements.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52525"/>
        </w:rPr>
        <w:t>In June 2016, the FASB issued ASU No. 2016-13, “</w:t>
      </w:r>
      <w:r>
        <w:rPr>
          <w:rFonts w:ascii="Times New Roman" w:cs="Times New Roman" w:eastAsia="Times New Roman" w:hAnsi="Times New Roman"/>
          <w:sz w:val="18"/>
          <w:szCs w:val="18"/>
          <w:i w:val="1"/>
          <w:iCs w:val="1"/>
          <w:color w:val="252525"/>
        </w:rPr>
        <w:t>Financial Instruments - Credit Losses</w:t>
      </w:r>
      <w:r>
        <w:rPr>
          <w:rFonts w:ascii="Times New Roman" w:cs="Times New Roman" w:eastAsia="Times New Roman" w:hAnsi="Times New Roman"/>
          <w:sz w:val="18"/>
          <w:szCs w:val="18"/>
          <w:color w:val="252525"/>
        </w:rPr>
        <w:t>” (Topic 326)</w:t>
      </w:r>
      <w:r>
        <w:rPr>
          <w:rFonts w:ascii="Times New Roman" w:cs="Times New Roman" w:eastAsia="Times New Roman" w:hAnsi="Times New Roman"/>
          <w:sz w:val="18"/>
          <w:szCs w:val="18"/>
          <w:i w:val="1"/>
          <w:iCs w:val="1"/>
          <w:color w:val="252525"/>
        </w:rPr>
        <w: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FASB issued this update to provide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financial 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Times New Roman" w:cs="Times New Roman" w:eastAsia="Times New Roman" w:hAnsi="Times New Roman"/>
          <w:sz w:val="18"/>
          <w:szCs w:val="18"/>
          <w:color w:val="252525"/>
        </w:rPr>
        <w:t>The updated guidance is effective for annual periods beginning after December 15, 2019, including interim periods within those fiscal years.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Early adoption of the update is permitted as of the fiscal years beginning after December 15, 2018, including interim periods within those fiscal years. Align </w:t>
      </w:r>
      <w:r>
        <w:rPr>
          <w:rFonts w:ascii="Times New Roman" w:cs="Times New Roman" w:eastAsia="Times New Roman" w:hAnsi="Times New Roman"/>
          <w:sz w:val="18"/>
          <w:szCs w:val="18"/>
          <w:color w:val="000000"/>
        </w:rPr>
        <w:t>is evaluating the impact of the adoption of this update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Marketable Securities and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and December 31, 2015, the estimated fair value of our short-term and long-term marketable securities, classified as available for sale, are as follows (in thousands):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Short-term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tcBorders>
              <w:right w:val="single" w:sz="8" w:color="CCEEFF"/>
            </w:tcBorders>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40" w:type="dxa"/>
            <w:vAlign w:val="bottom"/>
            <w:shd w:val="clear" w:color="auto" w:fill="CCEEFF"/>
          </w:tcPr>
          <w:p>
            <w:pPr>
              <w:spacing w:after="0"/>
              <w:rPr>
                <w:sz w:val="12"/>
                <w:szCs w:val="12"/>
                <w:color w:val="auto"/>
              </w:rPr>
            </w:pPr>
          </w:p>
        </w:tc>
        <w:tc>
          <w:tcPr>
            <w:tcW w:w="126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5160" w:type="dxa"/>
            <w:vAlign w:val="bottom"/>
            <w:gridSpan w:val="4"/>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tcBorders>
              <w:right w:val="single" w:sz="8" w:color="CCEEFF"/>
            </w:tcBorders>
            <w:shd w:val="clear" w:color="auto" w:fill="CCEEFF"/>
          </w:tcPr>
          <w:p>
            <w:pPr>
              <w:jc w:val="right"/>
              <w:ind w:right="534"/>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tcBorders>
              <w:right w:val="single" w:sz="8" w:color="CCEEFF"/>
            </w:tcBorders>
            <w:shd w:val="clear" w:color="auto" w:fill="CCEEFF"/>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tcBorders>
              <w:right w:val="single" w:sz="8" w:color="CCEEFF"/>
            </w:tcBorders>
            <w:shd w:val="clear" w:color="auto" w:fill="CCEEFF"/>
          </w:tcPr>
          <w:p>
            <w:pPr>
              <w:jc w:val="center"/>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61,412</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178,415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 denominated foreign 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76,743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73,936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Short-Term</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403,874</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404,107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Long-term</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51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54"/>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255"/>
              <w:spacing w:after="0" w:line="160" w:lineRule="exact"/>
              <w:rPr>
                <w:sz w:val="20"/>
                <w:szCs w:val="20"/>
                <w:color w:val="auto"/>
              </w:rPr>
            </w:pPr>
            <w:r>
              <w:rPr>
                <w:rFonts w:ascii="Times New Roman" w:cs="Times New Roman" w:eastAsia="Times New Roman" w:hAnsi="Times New Roman"/>
                <w:sz w:val="14"/>
                <w:szCs w:val="14"/>
                <w:b w:val="1"/>
                <w:bCs w:val="1"/>
                <w:color w:val="auto"/>
                <w:w w:val="97"/>
              </w:rPr>
              <w:t>Losses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13,254</w:t>
            </w: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78,919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14,062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Long-Term</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112,783</w:t>
            </w: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113,158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ind w:right="101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Short-term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140" w:type="dxa"/>
            <w:vAlign w:val="bottom"/>
            <w:shd w:val="clear" w:color="auto" w:fill="CCEEFF"/>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5160" w:type="dxa"/>
            <w:vAlign w:val="bottom"/>
            <w:gridSpan w:val="3"/>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1140" w:type="dxa"/>
            <w:vAlign w:val="bottom"/>
            <w:shd w:val="clear" w:color="auto" w:fill="CCEEFF"/>
          </w:tcPr>
          <w:p>
            <w:pPr>
              <w:jc w:val="center"/>
              <w:ind w:left="261"/>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38,537</w:t>
            </w:r>
          </w:p>
        </w:tc>
        <w:tc>
          <w:tcPr>
            <w:tcW w:w="12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179,765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179,520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dollar denominated foreign 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14,214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75,172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51,763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51,683</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359,956</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359,581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shd w:val="clear" w:color="auto" w:fill="CCEEFF"/>
          </w:tcPr>
          <w:p>
            <w:pPr>
              <w:jc w:val="center"/>
              <w:ind w:left="261"/>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140" w:type="dxa"/>
            <w:vAlign w:val="bottom"/>
            <w:shd w:val="clear" w:color="auto" w:fill="CCEEFF"/>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5160" w:type="dxa"/>
            <w:vAlign w:val="bottom"/>
            <w:gridSpan w:val="3"/>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1140" w:type="dxa"/>
            <w:vAlign w:val="bottom"/>
            <w:shd w:val="clear" w:color="auto" w:fill="CCEEFF"/>
          </w:tcPr>
          <w:p>
            <w:pPr>
              <w:jc w:val="center"/>
              <w:ind w:left="261"/>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43,853</w:t>
            </w:r>
          </w:p>
        </w:tc>
        <w:tc>
          <w:tcPr>
            <w:tcW w:w="12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64,012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63,803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37,673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151,869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69"/>
        <w:spacing w:after="0" w:line="261" w:lineRule="auto"/>
        <w:rPr>
          <w:sz w:val="20"/>
          <w:szCs w:val="20"/>
          <w:color w:val="auto"/>
        </w:rPr>
      </w:pPr>
      <w:r>
        <w:rPr>
          <w:rFonts w:ascii="Times New Roman" w:cs="Times New Roman" w:eastAsia="Times New Roman" w:hAnsi="Times New Roman"/>
          <w:sz w:val="18"/>
          <w:szCs w:val="18"/>
          <w:color w:val="auto"/>
        </w:rPr>
        <w:t>Cash and cash equivalents are not included in the table above as the gross unrealized gains and losses are not material. We have no material short-term or long-term investments that have been in a continuous unrealized loss position for greater than twelve months as of June 30, 2016 and December 31, 2015. Amounts reclassified to earnings from accumulated other comprehensive income related to unrealized gains or losses were immaterial for the three and six months ended June 30, 2016 and 2015. For the three and six months ended June 30, 2016 and 2015, realized gains or losses were immaterial.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fixed-income securities investment portfolio consists of commercial paper, corporate bonds, municipal securities, U.S. government agency bonds, U.S. government treasury bonds, U.S. dollar denominated foreign corporate bonds, certificates of deposits, and asset-backed securities that have a maximum effective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these investments upon maturity or sale. The weighted average remaining duration of these securities was approximately 7 months and 9 months as of June 30, 2016 and December 31, 2015, respectively.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June 30, 2016 and December 31, 2015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359,581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113,158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151,370</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 for sale short-term and long-term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517,265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510,951</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(unadjusted) prices in active markets for identical assets or liabilities.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Level 1 assets consist of money market funds and U.S. government treasury bonds. We did not hold any Level 1 liabilities as of June 30, 2016 and December 31, 2015.</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in Level 1, such as quoted prices for similar assets or liabilities in active markets,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assets consist of commercial paper, corporate bonds, certificates of deposits, U.S. government agency bonds, asset-backed securities, municipal securities, U.S. dollar denominated foreign corporate bonds and our Israeli funds that are mainly invested in insurance policies and foreign currency forward contracts.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The foreign currency forward contracts are valued using observable inputs such as quotations on forward foreign exchange rates. We did not hold any Level 2 liabilities as of June 30, 2016 or December 31, 2015.</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to the valuation methodology that are supported by little or no market activity and that are significant to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 We did not hold any Level 3 assets or liabilities as of June 30, 2016 or December 31, 2015.</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measured at fair value on a recurring basis as of June 30, 2016 and December 31, 2015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2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4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92,328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14,592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61,431</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178,504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denominated foreign corporate bonds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securities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10,374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76,778</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13,280</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79,206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securities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Israeli funds</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626,671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446,206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2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49"/>
        </w:trPr>
        <w:tc>
          <w:tcPr>
            <w:tcW w:w="6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70,148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36,887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38,537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179,520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75,119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43,675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63,803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treasury bonds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Israeli funds</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624,646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465,249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enter into foreign currency forward contracts to minimize the short-term impact of foreign currency exchange rate fluctuations on certain trade and intercompany receivables and payables, which are classified within level 2 of the fair value hierarchy. The net loss on these forward contracts was immaterial for the three and six months ended June 30, 2016. The net gain or loss from the settlement of these foreign currency forward contracts is recorded in Interest and other income (expenses), net in the Consolidated Statements of Operations. We had no foreign exchange forward contracts outstanding as of June 30,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9,950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2,448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22,992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19,465</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55,430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sales and marketing expenses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sales rebates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8,486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accounts payable</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13,834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sales tax and value added tax</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4,801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10,084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107,505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107,765</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Clear Aligner</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Scanners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warrant our scanners for a period of one year and accrue for these warranty costs which includes materials and labor based on estimated historical repair costs. Extended service packages may be purchased for additional fees.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Warranty accrual as of June 30, 2016 and 2015 consists of the following activity (in thousands):</w:t>
      </w:r>
    </w:p>
    <w:p>
      <w:pPr>
        <w:spacing w:after="0" w:line="16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2,986</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Long-lived Assets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carrying value of goodwill for the six months ended June 30, 2016, all attributable to our Clear Aligner reporting unit, is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Clear Aligner</w:t>
            </w:r>
          </w:p>
        </w:tc>
      </w:tr>
      <w:tr>
        <w:trPr>
          <w:trHeight w:val="24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61,074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61,119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0" w:hanging="72"/>
        <w:spacing w:after="0"/>
        <w:tabs>
          <w:tab w:leader="none" w:pos="8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adjustments to goodwill during the six months ended June 30, 2016 were due to foreign currency translation.</w:t>
      </w:r>
    </w:p>
    <w:p>
      <w:pPr>
        <w:sectPr>
          <w:pgSz w:w="11900" w:h="16838" w:orient="portrait"/>
          <w:cols w:equalWidth="0" w:num="1">
            <w:col w:w="11420"/>
          </w:cols>
          <w:pgMar w:left="240" w:top="121"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2015, we performed the annual goodwill impairment testing and found no impairment events as the fair value of our Clear Aligner reporting unit was significantly in excess of the carrying value.</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Intangible Long-Lived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Acquired intangible assets are being amortized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 as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59,516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22,630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technology</w:t>
            </w:r>
          </w:p>
        </w:tc>
        <w:tc>
          <w:tcPr>
            <w:tcW w:w="116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Borders>
              <w:bottom w:val="single" w:sz="8" w:color="CCEEFF"/>
            </w:tcBorders>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11,792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53,485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2016, we acquired a patent for $6.0 million, which will be amortized over its remaining useful life of approximately eight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estimated annual future amortization expense for these acquired intangible assets as of June 30, 2016 is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Remainder of 2016</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w:t>
            </w:r>
          </w:p>
        </w:tc>
      </w:tr>
      <w:tr>
        <w:trPr>
          <w:trHeight w:val="243"/>
        </w:trPr>
        <w:tc>
          <w:tcPr>
            <w:tcW w:w="20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2017</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3,353</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2018</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3,353</w:t>
            </w:r>
          </w:p>
        </w:tc>
      </w:tr>
      <w:tr>
        <w:trPr>
          <w:trHeight w:val="243"/>
        </w:trPr>
        <w:tc>
          <w:tcPr>
            <w:tcW w:w="20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2019</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3,346</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2020</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3,336</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7,564</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17, 2016, we amended the credit facility, and extended the maturity date to March 22, 2017. The credit facility provides for a $50.0 million revolving line of credit, with a $10.0 million letter of credit sublimit.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June 30, 2016, we had no outstanding borrowings under this credit facility and were in compliance with the conditions and performance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Legal Proceedings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Class Action Lawsuit</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notified the parties that it is considering the case for possible oral arguments in October 2016.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Shareholder Derivative Lawsuit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2016, minimum future lease payments for non-cancelable operating leases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Remainder of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5,787</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7,308</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3,020</w:t>
            </w:r>
          </w:p>
        </w:tc>
      </w:tr>
      <w:tr>
        <w:trPr>
          <w:trHeight w:val="243"/>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784</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9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17,342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we had no off-balance sheet arrangements that have, or are reasonably likely to have, a current or future material effect on our consolidated financial condition, results of operations, liquidity, capital expenditures or capital resources.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Provisions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2016, we did not have any material indemnification claims that were probable or reasonably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2016, the 2005 Incentive Plan (as amended) has a total reserve of 30,169,000 shares of which 8,054,000 shares are available for issuance.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six months ended June 30, 2016 and 2015 is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20,677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18,542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3,987</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13,699</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26,223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24,474</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for the six months ended June 30, 2016 under the stock option plans is set forth below (in thousands, except years and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20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82"/>
        </w:trPr>
        <w:tc>
          <w:tcPr>
            <w:tcW w:w="49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 or expired</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June 30, 2016</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June 30, 2016</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June 30, 2016</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six months ended June 30, 2016 and 2015. All compensation costs relating to stock options have been recognized as of June 30, 2016.</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for the six months ended June 30, 2016 is as follows (in thousands, except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280" w:type="dxa"/>
            <w:vAlign w:val="bottom"/>
            <w:vMerge w:val="restart"/>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Underlying RSU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December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June 30,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154,520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the total unamortized compensation cost related to RSU, net of estimated forfeitures, was $79.0 million, which we expect to recognize over a weighted average period of 2.4 years.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granted market-performance based restricted stock units (“MSU”) to our executive officers. Each MSU represents the right to one share of Align’s common stock and will be issued through our amended 2005 Incentive Plan. The actual number of MSU which will be eligible to vest will be based on the performance of Align’s stock price relative to the performance of the NASDAQ Composite Index over the vesting period, generally two to three years, up to 150% of the MSU initially granted.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MSU activity for the six months ended June 30, 2016 (in thousands, except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00" w:type="dxa"/>
            <w:vAlign w:val="bottom"/>
          </w:tcPr>
          <w:p>
            <w:pPr>
              <w:spacing w:after="0"/>
              <w:rPr>
                <w:sz w:val="13"/>
                <w:szCs w:val="13"/>
                <w:color w:val="auto"/>
              </w:rPr>
            </w:pPr>
          </w:p>
        </w:tc>
        <w:tc>
          <w:tcPr>
            <w:tcW w:w="12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Underlying MSU</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Period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December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56.41</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June 30,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43,356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the total unamortized compensation costs related to the MSU, net of estimated forfeitures, was $15.6 million, which we expect to recognize over a weighted average period of 1.6 years.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2010, our stockholders approved the 2010 Employee Stock Purchase Plan ("2010 Purchase Plan") which will continue until terminated by either the Board of Directors or its administrator. The maximum number of shares available for purchase under the 2010 Purchase Plan is 2,400,000 shares. As of June 30, 2016, 1,029,526 shares remain available for purchase under the 2010 Purchase Plan.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1"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13335</wp:posOffset>
            </wp:positionV>
            <wp:extent cx="2023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5"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4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6"/>
                <w:szCs w:val="16"/>
                <w:color w:val="auto"/>
              </w:rPr>
            </w:pP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32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at grant date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shd w:val="clear" w:color="auto" w:fill="CCEEFF"/>
          </w:tcPr>
          <w:p>
            <w:pPr>
              <w:spacing w:after="0"/>
              <w:rPr>
                <w:sz w:val="21"/>
                <w:szCs w:val="21"/>
                <w:color w:val="auto"/>
              </w:rPr>
            </w:pPr>
          </w:p>
        </w:tc>
      </w:tr>
      <w:tr>
        <w:trPr>
          <w:trHeight w:val="27"/>
        </w:trPr>
        <w:tc>
          <w:tcPr>
            <w:tcW w:w="4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the total unamortized compensation cost related to employee purchases was $1.1 million, which we expect to recognize over a weighted average period of 0.4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 Repurchase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2014, we announced that our Board of Directors had authorized a stock repurchase program ("April 2014 Repurchase Program") pursuant to which we may purchase up to $300.0 million of our common stock over the next three years. As of June 30, 2016, we have approximately $50.0 million remaining under the April 2014 Repurchase Program. On May 3, 2016, as part of our $300.0 million April 2014 Repurchase Program, we entered into an ASR to repurchase $50.0 million of our common stock (the "2016 ASR"). Under the terms of the 2016 ASR, we paid $50.0 million and received an initial delivery of approximately 0.5 million shares based on the then current market price of $74.90, which we retired. The final delivery of shares is scheduled during October 2016, with the number of shares to be determined by the Company's volume weighted-average stock price during the term of the ASR less an agreed upon discount. After the completion of the 2016 ASR, we will commence repurchasing $50.0 million of our common stock on the open market. These two actions will complete the April 2014 Repurchase Program.</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28, 2016, we announced that our Board of Directors had authorized a plan to repurchase up to $300.0 million of the Company's stock. This latest authorization is in addition to the existing $300 million authorization announced in April 2014, which brings the total authorization to $600 million.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Accounting for 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provision for income taxes was $15.1 million and $11.1 million for the three months ended June 30, 2016 and 2015, respectively, representing effective tax rates of 23.2% and 26.2%, respectively. Our provision for income taxes was $27.5 million and $22.4 million for the six months ended June 30, 2016 and 2015, respectively, representing effective tax rates of 23.2% and 24.9%, respectively. Our effective tax rate differs from the statutory federal income tax rate of 35% due to certain foreign earnings, primarily from Costa Rica, which are subject to a lower tax rate, state income tax expense, the tax impact of certain stock-based compensation charges and unrecognized tax benefits. The decrease in the effective tax rate for the three and six months ended June 30, 2016 compared to the three and six months ended June 30, 2015 was primarily related to various items that are not deductible for tax purposes that remained constant between the two periods while pre-tax income increased.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2016, we maintained a valuation allowance of $31.7 million against our deferred tax assets which primarily relate to Israel operating loss carryforwards and Australia capital loss carryforwards. These net operating and capital loss carryforwards would result in us recording an income tax benefit if we were to conclude it is more likely than not that the related deferred tax assets will be realized. On July 1, 2016, the Company implemented a new international corporate structure which may result in a future reassessment of our need for a valuation allowance against these deferred tax assets. As a result, it is possible that we may realize a tax benefit which may have a material impact on the financial statements within the next twelve months.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total gross unrecognized tax benefits, excluding interest, was $42.6 million and $39.4 million as of June 30, 2016 and December 31, 2015, respectively, all of which would impact our effective tax rate if recognized. We have elected to recognize interest and penalties related to unrecognized tax benefits as a component of income taxes. The interest accrued as of June 30, 2016 is $1.2 million. We do not expect any significant changes to the amount of unrecognized tax benefit within the next twelve months.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We are currently under audit by the California Franchise Tax Board for fiscal years 2011, 2012 and 2013.</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$8.6 million and $8.2 million for the three months ended June 30, 2016 and 2015, respectively, representing a benefit to diluted net income per share of $0.11 and $0.10 in 2016 and 2015, respectively. As a result of these incentives, our income taxes were reduced by $17.2 million and $16.4 million for the six months ended June 30, 2016 and 2015, respectively, representing a benefit to diluted net income per share of $0.21 and $0.20 in 2016 and 2015,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ESPP.</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 (in thousands, except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5"/>
        </w:trPr>
        <w:tc>
          <w:tcPr>
            <w:tcW w:w="42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50,148</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90,694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67,527</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0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79,951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79,891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80,358</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potential common stock</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1,371</w:t>
            </w:r>
          </w:p>
        </w:tc>
      </w:tr>
      <w:tr>
        <w:trPr>
          <w:trHeight w:val="237"/>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shares, diluted</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81,281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81,394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81,440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81,729</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4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0.84</w:t>
            </w:r>
          </w:p>
        </w:tc>
      </w:tr>
      <w:tr>
        <w:trPr>
          <w:trHeight w:val="67"/>
        </w:trPr>
        <w:tc>
          <w:tcPr>
            <w:tcW w:w="4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2016 and 2015, the anti-dilutive effect from RSU, MSU and ESPP was not material.</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Segments and Geographical Information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and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the CODM for decision making and performance assessment as the basis for determining our reportable segments. The performance measures of our reportable segments include net revenues and gross profit.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grouped our operations into two reportable segments which are also our reporting units: Clear Aligner segment and Scanner segment.</w:t>
      </w:r>
    </w:p>
    <w:p>
      <w:pPr>
        <w:spacing w:after="0" w:line="225" w:lineRule="exact"/>
        <w:rPr>
          <w:sz w:val="20"/>
          <w:szCs w:val="20"/>
          <w:color w:val="auto"/>
        </w:rPr>
      </w:pPr>
    </w:p>
    <w:p>
      <w:pPr>
        <w:ind w:left="980" w:right="2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0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380" w:type="dxa"/>
            <w:vAlign w:val="bottom"/>
            <w:gridSpan w:val="7"/>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5"/>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Clear Aligner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243,436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200,817</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463,134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387,846</w:t>
            </w: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Scanner</w:t>
            </w:r>
          </w:p>
        </w:tc>
        <w:tc>
          <w:tcPr>
            <w:tcW w:w="1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25,926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19,728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269,362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209,488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508,082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407,574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Clear Aligner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191,326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157,337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363,393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305,297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Scanner</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205,216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158,634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385,843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309,724</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revenues are presented below by geographic area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24"/>
                <w:szCs w:val="24"/>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69"/>
        </w:trPr>
        <w:tc>
          <w:tcPr>
            <w:tcW w:w="62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5"/>
                <w:szCs w:val="25"/>
                <w:b w:val="1"/>
                <w:bCs w:val="1"/>
                <w:color w:val="auto"/>
                <w:vertAlign w:val="superscript"/>
              </w:rPr>
              <w:t>(1)</w:t>
            </w:r>
          </w:p>
        </w:tc>
        <w:tc>
          <w:tcPr>
            <w:tcW w:w="140" w:type="dxa"/>
            <w:vAlign w:val="bottom"/>
            <w:shd w:val="clear" w:color="auto" w:fill="CCEEFF"/>
          </w:tcPr>
          <w:p>
            <w:pPr>
              <w:spacing w:after="0"/>
              <w:rPr>
                <w:sz w:val="23"/>
                <w:szCs w:val="23"/>
                <w:color w:val="auto"/>
              </w:rPr>
            </w:pPr>
          </w:p>
        </w:tc>
        <w:tc>
          <w:tcPr>
            <w:tcW w:w="116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182,322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145,368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348,423</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285,072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Netherlands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56,598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42,223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80,868</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international</w:t>
            </w:r>
          </w:p>
        </w:tc>
        <w:tc>
          <w:tcPr>
            <w:tcW w:w="1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55,661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41,634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269,362</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209,488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508,082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407,574</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188"/>
        <w:spacing w:after="0" w:line="190" w:lineRule="auto"/>
        <w:tabs>
          <w:tab w:leader="none" w:pos="520" w:val="left"/>
        </w:tabs>
        <w:numPr>
          <w:ilvl w:val="0"/>
          <w:numId w:val="5"/>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4"/>
          <w:szCs w:val="14"/>
          <w:color w:val="auto"/>
        </w:rPr>
        <w:t>Net revenues are attributed to countries based on location of where revenue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-129540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Tangible long-lived assets are presented below by geographic area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69"/>
        </w:trPr>
        <w:tc>
          <w:tcPr>
            <w:tcW w:w="858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Long-lived assets:</w:t>
            </w:r>
            <w:r>
              <w:rPr>
                <w:rFonts w:ascii="Times New Roman" w:cs="Times New Roman" w:eastAsia="Times New Roman" w:hAnsi="Times New Roman"/>
                <w:sz w:val="25"/>
                <w:szCs w:val="25"/>
                <w:b w:val="1"/>
                <w:bCs w:val="1"/>
                <w:color w:val="auto"/>
                <w:vertAlign w:val="superscript"/>
              </w:rPr>
              <w:t>(2)</w:t>
            </w: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133,350</w:t>
            </w:r>
          </w:p>
        </w:tc>
        <w:tc>
          <w:tcPr>
            <w:tcW w:w="12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112,632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Mexico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International</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161,685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136,473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4"/>
          <w:szCs w:val="14"/>
          <w:color w:val="auto"/>
        </w:rPr>
        <w:t xml:space="preserve"> Long-lived assets are attributed to countries based on the entity that owns the asset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2016, Align implemented a new international corporate structure. This changes the structure of our international procurement and sales operations, as well as realigns the ownership and use of intellectual property among our wholly-owned subsidiaries. The structure includes legal entities located in jurisdictions with income tax rates lower than the U.S. federal statutory tax rate. As a result of these changes, we expect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sufficient cash reserves in the U.S. and do not intend to repatriate our foreign earnings.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25, 2016, we entered into a Supply Agreement with SmileDirectClub, LLC (“SDC”) to manufacture clear aligners for SDC's doctor-led, at-home program for simple teeth straightening. SDC aligners will use our single-layer EX30 material for cases without attachments or interproximal reduction, and will be manufactured by Align per SDC's specifications for minor tooth movement. Starting October 2016, we will become SDC's exclusive third-party supplier for its minor tooth movement aligner program. SDC will have the exclusive right to distribute the SDC Aligners in the United States and Canada, as well as a right of first negotiation with respect to any other territory in the world in which a party chooses to make aligner products available. The term of the Supply Agreement expires on December 31, 2019.</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Align and SDC also entered into a Loan and Security Agreement (the "Loan Agreement") where we agreed to provide a loan of up to $15.0 million in one or more advances to SDC (the "Loan Facility").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secured by a security interest in substantially all of SDC's assets.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transaction, we will acquire a 17% equity interest, on a fully diluted basis, in SDC for $46.7 million, and will account for this investment under the equity method of accounting. Thus, we will include our proportional share of SDC's earnings or losses in our consolidated statement of operations in future periods. Our financial results, will therefore reflect two components: 1) commencing in October when we begin to supply aligners, the sale of aligners to SDC and the income from under the supply agreement will be reported in our Clear Aligner business segment, and 2) in the third quarter of 2016, our portion of SDC's reported profits and/or losses will be included in our operating expenses. Align will perform a fair value assessment in the third quarter of 2016 in order to determine if we need to value components of the SDC agreements, such as, our Supply Agreement, and our exclusivity arrangement, among others. We expect the transaction to be incremental to both our revenue growth and earnings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 that the policy simplification “Additional Aligners at No Charge" will help increase Invisalign utilization and volume, our expectations regarding product mix and product adoption, our expectations regarding the existence and impact of seasonality, our expectations regarding the financial and strategic benefits of the Scanner and Services ("Scanner") business, our expectations to increase our investment in manufacturing capacity, our expectations regarding the continued expansion of our international markets, the anticipated number of new doctors trained,, our expectations regarding our stock repurchase program, the level of our operating expenses and gross margins, that the SmileDirectClub transaction will be incremental to our revenue and earnings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2015, as filed with the Securities and Exchange Commission.</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Times New Roman" w:cs="Times New Roman" w:eastAsia="Times New Roman" w:hAnsi="Times New Roman"/>
          <w:sz w:val="18"/>
          <w:szCs w:val="18"/>
          <w:i w:val="1"/>
          <w:iCs w:val="1"/>
          <w:color w:val="auto"/>
        </w:rPr>
        <w:t>Business Strategy</w:t>
      </w:r>
      <w:r>
        <w:rPr>
          <w:rFonts w:ascii="Times New Roman" w:cs="Times New Roman" w:eastAsia="Times New Roman" w:hAnsi="Times New Roman"/>
          <w:sz w:val="18"/>
          <w:szCs w:val="18"/>
          <w:color w:val="auto"/>
        </w:rPr>
        <w:t xml:space="preserve"> section in our Annual Report on Form 10-K.</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successful execution of our business strategy and our results in 2016 and beyond may be affected by a number of other factors including:</w:t>
      </w:r>
    </w:p>
    <w:p>
      <w:pPr>
        <w:spacing w:after="0" w:line="250" w:lineRule="exact"/>
        <w:rPr>
          <w:sz w:val="20"/>
          <w:szCs w:val="20"/>
          <w:color w:val="auto"/>
        </w:rPr>
      </w:pPr>
    </w:p>
    <w:p>
      <w:pPr>
        <w:jc w:val="both"/>
        <w:ind w:left="980" w:hanging="486"/>
        <w:spacing w:after="0" w:line="271" w:lineRule="auto"/>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Additional Aligners at No Charge. </w:t>
      </w:r>
      <w:r>
        <w:rPr>
          <w:rFonts w:ascii="Times New Roman" w:cs="Times New Roman" w:eastAsia="Times New Roman" w:hAnsi="Times New Roman"/>
          <w:sz w:val="17"/>
          <w:szCs w:val="17"/>
          <w:color w:val="auto"/>
        </w:rPr>
        <w:t>In July 2015, we launched a new product policy called "Additional Aligners at No Charge" that addresses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customers' top complaints. Previously, we charged customers for additional aligners ordered beyond those covered by the initial treatment plan. With this product policy change, we no longer distinguish between mid-course corrections and case refinements and allow doctors to order additional aligners to address either treatment need at no charge, subject to certain requirements. These changes were effective for all new Invisalign Full, Teen, and Assist treatments shipped worldwide after July 18, 2015 as well as any open Invisalign Full, Teen and Assist cases as of that date. While this policy change was largely immaterial to our cash flows, it does impact the timing at which we recognize revenue. Based on this new product policy, beginning in the third quarter of 2015, we deferred more revenue as a result of providing free additional aligners for eligible treatments. While this product policy change will impact the timing of our revenue recognition, we believe this policy change will result in a significant improvement in customer satisfaction and loyalty, and ultimately increase Invisalign utilization and volume over time.</w:t>
      </w:r>
    </w:p>
    <w:p>
      <w:pPr>
        <w:spacing w:after="0" w:line="363" w:lineRule="exact"/>
        <w:rPr>
          <w:rFonts w:ascii="Times New Roman" w:cs="Times New Roman" w:eastAsia="Times New Roman" w:hAnsi="Times New Roman"/>
          <w:sz w:val="17"/>
          <w:szCs w:val="17"/>
          <w:color w:val="auto"/>
        </w:rPr>
      </w:pPr>
    </w:p>
    <w:p>
      <w:pPr>
        <w:ind w:left="1140" w:hanging="646"/>
        <w:spacing w:after="0" w:line="257" w:lineRule="auto"/>
        <w:tabs>
          <w:tab w:leader="none" w:pos="65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Products, Feature Enhancements and Technology Innovation</w:t>
      </w:r>
      <w:r>
        <w:rPr>
          <w:rFonts w:ascii="Times New Roman" w:cs="Times New Roman" w:eastAsia="Times New Roman" w:hAnsi="Times New Roman"/>
          <w:sz w:val="18"/>
          <w:szCs w:val="18"/>
          <w:color w:val="auto"/>
        </w:rPr>
        <w:t>. Product innovation drives greater treatment predictability and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Invisalign G6 for premolar extraction and ClinCheck Pro, the next generation Invisalign treatment software tool, designed to provide more precise control over final tooth position and to help Invisalign providers achieve their treatment goals. In addition, we began shipping the next generation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980"/>
        <w:spacing w:after="0" w:line="303" w:lineRule="auto"/>
        <w:rPr>
          <w:sz w:val="20"/>
          <w:szCs w:val="20"/>
          <w:color w:val="auto"/>
        </w:rPr>
      </w:pPr>
      <w:r>
        <w:rPr>
          <w:rFonts w:ascii="Times New Roman" w:cs="Times New Roman" w:eastAsia="Times New Roman" w:hAnsi="Times New Roman"/>
          <w:sz w:val="18"/>
          <w:szCs w:val="18"/>
          <w:color w:val="auto"/>
        </w:rPr>
        <w:t>iTero Element Intraoral Scanner in September 2015 and expect to continue to ramp up our production over the next few quarters accordingly; however, our ability to fulfill existing orders may be impacted by capacity constraints due to a variety of factors, including our dependency on third party vendors for key components in addition to limited production yields. If we are unable to scale production of our iTero Element scanner to meet customer demand, our financial results may be negatively impacted.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05" w:lineRule="exact"/>
        <w:rPr>
          <w:sz w:val="20"/>
          <w:szCs w:val="20"/>
          <w:color w:val="auto"/>
        </w:rPr>
      </w:pPr>
    </w:p>
    <w:p>
      <w:pPr>
        <w:jc w:val="both"/>
        <w:ind w:left="980" w:hanging="486"/>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Invisalign Adoption. </w:t>
      </w:r>
      <w:r>
        <w:rPr>
          <w:rFonts w:ascii="Times New Roman" w:cs="Times New Roman" w:eastAsia="Times New Roman" w:hAnsi="Times New Roman"/>
          <w:sz w:val="18"/>
          <w:szCs w:val="18"/>
          <w:color w:val="auto"/>
        </w:rPr>
        <w:t>Our goal is to establish Invisalign as the treatment of choice for treating malocclusion ultimately driving increased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328930</wp:posOffset>
            </wp:positionV>
            <wp:extent cx="5196840" cy="3302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0" w:hanging="133"/>
        <w:spacing w:after="0"/>
        <w:tabs>
          <w:tab w:leader="none" w:pos="1600" w:val="left"/>
        </w:tabs>
        <w:numPr>
          <w:ilvl w:val="0"/>
          <w:numId w:val="8"/>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Total utilization in the second quarter of 2016 increased to 5.1 cases per doctor compared to 4.6 in the second quarter of 2015. Utilization among our North American orthodontist customers reached an all time high of 10.7 cases per doctor in the second quarter of 2016 compared to 9.5 in the second quarter of 2015. International doctor utilization increased to 5.0 cases in the second quarter of 2016 from 4.6 in the second quarter of 2015. North American GP doctor utilization increased to 3.1 cases in the second quarter of 2016 from 3.0 in the second quarter of 2015.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 Increased International utilization reflects growth in both EMEA and our Asia Pacific regions due to increasing adoption of the product and its ability to treat more complex cases, particularly in the Asia Pacific region. 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91" w:lineRule="exact"/>
        <w:rPr>
          <w:sz w:val="20"/>
          <w:szCs w:val="20"/>
          <w:color w:val="auto"/>
        </w:rPr>
      </w:pPr>
    </w:p>
    <w:p>
      <w:pPr>
        <w:jc w:val="both"/>
        <w:ind w:left="980" w:hanging="486"/>
        <w:spacing w:after="0" w:line="267" w:lineRule="auto"/>
        <w:tabs>
          <w:tab w:leader="none" w:pos="9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new Invisalign doctors trained. </w:t>
      </w:r>
      <w:r>
        <w:rPr>
          <w:rFonts w:ascii="Times New Roman" w:cs="Times New Roman" w:eastAsia="Times New Roman" w:hAnsi="Times New Roman"/>
          <w:sz w:val="18"/>
          <w:szCs w:val="18"/>
          <w:color w:val="auto"/>
        </w:rPr>
        <w:t>We continue to expand our Invisalign customer base through the training of new doctors.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2015, Invisalign growth was driven primarily by increased utilization across all regions as well as by the continued expansion of our customer base as we trained a total of 9,795 new Invisalign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980"/>
        <w:spacing w:after="0" w:line="329" w:lineRule="auto"/>
        <w:rPr>
          <w:sz w:val="20"/>
          <w:szCs w:val="20"/>
          <w:color w:val="auto"/>
        </w:rPr>
      </w:pPr>
      <w:r>
        <w:rPr>
          <w:rFonts w:ascii="Times New Roman" w:cs="Times New Roman" w:eastAsia="Times New Roman" w:hAnsi="Times New Roman"/>
          <w:sz w:val="18"/>
          <w:szCs w:val="18"/>
          <w:color w:val="auto"/>
        </w:rPr>
        <w:t>doctors, of which 56% were trained internationally. During the second quarter of 2016, we trained 2,885 new Invisalign doctors, up from 2,455 trained in second quarter of 2015.</w:t>
      </w:r>
    </w:p>
    <w:p>
      <w:pPr>
        <w:spacing w:after="0" w:line="133" w:lineRule="exact"/>
        <w:rPr>
          <w:sz w:val="20"/>
          <w:szCs w:val="20"/>
          <w:color w:val="auto"/>
        </w:rPr>
      </w:pPr>
    </w:p>
    <w:p>
      <w:pPr>
        <w:jc w:val="both"/>
        <w:ind w:left="980" w:hanging="486"/>
        <w:spacing w:after="0" w:line="253"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Clear Aligner Growth. </w:t>
      </w:r>
      <w:r>
        <w:rPr>
          <w:rFonts w:ascii="Times New Roman" w:cs="Times New Roman" w:eastAsia="Times New Roman" w:hAnsi="Times New Roman"/>
          <w:sz w:val="18"/>
          <w:szCs w:val="18"/>
          <w:color w:val="auto"/>
        </w:rPr>
        <w:t>We will continue to focus our efforts towards increasing adoption of our products by dental professionals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direct international markets. On a year over year basis, international volume increased 38.3 % driven primarily by strong performance in our Asia Pacific and in Europe regions. In 2016,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 As our international revenues have increased from $61.9 million in the second quarter of 2015 to $83.7 million in the second quarter of 2016, we are increasingly subject to fluctuations in foreign currency exchange rates relative to the U.S. dollar. Although we have historically accepted the exposure to exchange rate movements without using derivative financial instruments to manage risk, we have in the past and may in the future initiate foreign currency economic hedging program to mitigate the foreign currency risk in countries where we have significant monetary assets and liabilities denominated in currencies other than the functional currency. The impact from forward contracts was not material to our financial statements for the six months ended June 30, 2016.</w:t>
      </w:r>
    </w:p>
    <w:p>
      <w:pPr>
        <w:spacing w:after="0" w:line="138" w:lineRule="exact"/>
        <w:rPr>
          <w:rFonts w:ascii="Times New Roman" w:cs="Times New Roman" w:eastAsia="Times New Roman" w:hAnsi="Times New Roman"/>
          <w:sz w:val="18"/>
          <w:szCs w:val="18"/>
          <w:color w:val="auto"/>
        </w:rPr>
      </w:pPr>
    </w:p>
    <w:p>
      <w:pPr>
        <w:jc w:val="both"/>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we plan for further international expansion over the next several years, we must provide better support to our customers in these regions and be geographically closer to their practices. Accordingly, we intend to make further investments in our manufacturing over the next few years to enhance our regional capabilities.</w:t>
      </w:r>
    </w:p>
    <w:p>
      <w:pPr>
        <w:spacing w:after="0" w:line="120" w:lineRule="exact"/>
        <w:rPr>
          <w:rFonts w:ascii="Times New Roman" w:cs="Times New Roman" w:eastAsia="Times New Roman" w:hAnsi="Times New Roman"/>
          <w:sz w:val="18"/>
          <w:szCs w:val="18"/>
          <w:color w:val="auto"/>
        </w:rPr>
      </w:pPr>
    </w:p>
    <w:p>
      <w:pPr>
        <w:ind w:left="1540" w:hanging="965"/>
        <w:spacing w:after="0" w:line="256" w:lineRule="auto"/>
        <w:tabs>
          <w:tab w:leader="none" w:pos="973"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Establish Regional Order Acquisition and Treatment Planning facilities: </w:t>
      </w:r>
      <w:r>
        <w:rPr>
          <w:rFonts w:ascii="Times New Roman" w:cs="Times New Roman" w:eastAsia="Times New Roman" w:hAnsi="Times New Roman"/>
          <w:sz w:val="18"/>
          <w:szCs w:val="18"/>
          <w:color w:val="auto"/>
        </w:rPr>
        <w:t>We intend to establish additional Order Acquisition and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facilities closer to our International customers in order to improve our operational efficiency and provide doctors with a great experience to further improve their confidence in using Invisalign to treat more patients, more often. If demand for our product in 2016 exceeds our current expectations, or if the timing of receipt of case product orders during a given quarter is different from our expectations, we may not be able to fulfill orders in a timely manner, which may negatively impact our financial results and overall business. Conversely, if demand decreases or if we fail to forecast demand accurately, we could be required to record excess capacity charges, which would lower our gross margin.</w:t>
      </w:r>
    </w:p>
    <w:p>
      <w:pPr>
        <w:spacing w:after="0" w:line="129"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We expect operating expenses to increase in 2016 due in part to:</w:t>
      </w:r>
    </w:p>
    <w:p>
      <w:pPr>
        <w:spacing w:after="0" w:line="173" w:lineRule="exact"/>
        <w:rPr>
          <w:rFonts w:ascii="Times New Roman" w:cs="Times New Roman" w:eastAsia="Times New Roman" w:hAnsi="Times New Roman"/>
          <w:sz w:val="18"/>
          <w:szCs w:val="18"/>
          <w:i w:val="1"/>
          <w:iCs w:val="1"/>
          <w:color w:val="auto"/>
        </w:rPr>
      </w:pPr>
    </w:p>
    <w:p>
      <w:pPr>
        <w:ind w:left="1620" w:hanging="478"/>
        <w:spacing w:after="0"/>
        <w:tabs>
          <w:tab w:leader="none" w:pos="16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international expansion in new country markets such as India and Korea;</w:t>
      </w:r>
    </w:p>
    <w:p>
      <w:pPr>
        <w:spacing w:after="0" w:line="171"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sales and customer support resources; and</w:t>
      </w:r>
    </w:p>
    <w:p>
      <w:pPr>
        <w:spacing w:after="0" w:line="171"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technology innovation to address such things as treatment times, indications unique to teens, and predictability.</w:t>
      </w:r>
    </w:p>
    <w:p>
      <w:pPr>
        <w:spacing w:after="0" w:line="171"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equity income or loss from our equity investment in SmileDirectClub, LLC</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that these investments will position us to increase our revenue and continue to grow our market share.</w:t>
      </w:r>
    </w:p>
    <w:p>
      <w:pPr>
        <w:spacing w:after="0" w:line="169"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Stock Repurchase Authorization. </w:t>
      </w:r>
      <w:r>
        <w:rPr>
          <w:rFonts w:ascii="Times New Roman" w:cs="Times New Roman" w:eastAsia="Times New Roman" w:hAnsi="Times New Roman"/>
          <w:sz w:val="18"/>
          <w:szCs w:val="18"/>
          <w:color w:val="auto"/>
        </w:rPr>
        <w:t>On April 28, 2016, we announced that our Board of Directors had authorized a plan to repurchase up to $300.0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stock.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Stock Repurchase</w:t>
      </w:r>
      <w:r>
        <w:rPr>
          <w:rFonts w:ascii="Times New Roman" w:cs="Times New Roman" w:eastAsia="Times New Roman" w:hAnsi="Times New Roman"/>
          <w:sz w:val="18"/>
          <w:szCs w:val="18"/>
          <w:color w:val="auto"/>
        </w:rPr>
        <w:t>. On May 3, 2016, as part of our $300.0 million April 2014 stock repurchase program, we entered into an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Repurchase agreement to repurchase $50.0 million of our common stock (the "2016 ASR"). Under the terms of the 2016 ASR, we paid $50.0 million on May 4, 2016 and received an initial delivery of approximately 0.5 million shares based on current market prices. The final delivery is scheduled during October 2016 and the final number of shares to be repurchased will be based on our volume-weighted average stock price during the term of the 2016 ASR, less an agreed upon discount. (</w:t>
      </w:r>
      <w:r>
        <w:rPr>
          <w:rFonts w:ascii="Times New Roman" w:cs="Times New Roman" w:eastAsia="Times New Roman" w:hAnsi="Times New Roman"/>
          <w:sz w:val="18"/>
          <w:szCs w:val="18"/>
          <w:i w:val="1"/>
          <w:iCs w:val="1"/>
          <w:color w:val="auto"/>
        </w:rPr>
        <w:t>Refer to Note 9 "Common Stock Repurchase", of the 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for details on common stock repurchase).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10b5-1 Stock Repurchase Plan</w:t>
      </w:r>
      <w:r>
        <w:rPr>
          <w:rFonts w:ascii="Times New Roman" w:cs="Times New Roman" w:eastAsia="Times New Roman" w:hAnsi="Times New Roman"/>
          <w:sz w:val="18"/>
          <w:szCs w:val="18"/>
          <w:color w:val="auto"/>
        </w:rPr>
        <w:t>. On May 3, 2016, we also entered into a stock repurchase plan under which we will repurchase up to $50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This stock repurchase plan is in addition to, and will become effective upon, the completion of the 2016 ASR. This stock repurchase plan will operate in accordance with guidelines specified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660"/>
        <w:spacing w:after="0" w:line="329" w:lineRule="auto"/>
        <w:rPr>
          <w:sz w:val="20"/>
          <w:szCs w:val="20"/>
          <w:color w:val="auto"/>
        </w:rPr>
      </w:pPr>
      <w:r>
        <w:rPr>
          <w:rFonts w:ascii="Times New Roman" w:cs="Times New Roman" w:eastAsia="Times New Roman" w:hAnsi="Times New Roman"/>
          <w:sz w:val="18"/>
          <w:szCs w:val="18"/>
          <w:color w:val="auto"/>
        </w:rPr>
        <w:t>under Rule 10b5-1 of the Securities Exchange Act of 1934. Accordingly, transactions, if any, will be carried out in accordance with the terms of the share repurchase plan, including specified price, volume, and timing conditions.</w:t>
      </w:r>
    </w:p>
    <w:p>
      <w:pPr>
        <w:spacing w:after="0" w:line="133" w:lineRule="exact"/>
        <w:rPr>
          <w:sz w:val="20"/>
          <w:szCs w:val="20"/>
          <w:color w:val="auto"/>
        </w:rPr>
      </w:pP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SmileDirectClub. </w:t>
      </w:r>
      <w:r>
        <w:rPr>
          <w:rFonts w:ascii="Times New Roman" w:cs="Times New Roman" w:eastAsia="Times New Roman" w:hAnsi="Times New Roman"/>
          <w:sz w:val="18"/>
          <w:szCs w:val="18"/>
          <w:color w:val="auto"/>
        </w:rPr>
        <w:t>On July 25, 2016, we entered into a Supply Agreement with SmileDirectClub, LLC to manufacture clear aligners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SmileDirectClub's doctor-led, at-home program for simple teeth straightening. SmileDirectClub aligners will use our single-layer EX30 material for cases without attachments or interproximal reduction, and will be manufactured by Align according to SmileDirectClub's specifications for minor tooth movement. The Invisalign brand and system of clear aligners will continue to be available exclusively through Invisalign-trained orthodontists and general dentists for in-office treatment. Starting October 2016, we will become SmileDirectClub's exclusive third-party supplier for its minor tooth movement aligner program. We also provided a revolving line of credit to SmileDirectClub of up to $15 million to fund their working capital and general corporate needs. As part of the transaction, we acquired a 17% equity interest in SmileDirectClub for $46.7 million. As a result of our equity holdings in SmileDirectClub, we are required to account for SmileDirectClub's operations in our financial statements based on the equity method of accounting. Our financial results, will therefore reflect two components: 1) commencing in October when we begin to supply aligners, the sale of aligners to SmileDirectClub and the income from under the supply agreement will be reported in our Clear Aligner business segment, and 2) in the third quarter of 2016, our portion of SmileDirectClub's reported profits and/or losses will be included in our operating expenses. Align will perform a fair value assessment in the third quarter of 2016 in order to determine if we need to value components of the SDC agreements, such as, our Supply Agreement, and our exclusivity arrangement, among others. We expect the transaction to be incremental to both our revenue growth and earnings in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Reportable Segment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group our operations into two reportable segments: Clear Aligner segment and Scanner segment.</w:t>
      </w:r>
    </w:p>
    <w:p>
      <w:pPr>
        <w:spacing w:after="0" w:line="225" w:lineRule="exact"/>
        <w:rPr>
          <w:sz w:val="20"/>
          <w:szCs w:val="20"/>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revenues for our Clear Aligner segment by region and our Scanner segment by region for the three and six months ended June 30, 2016 and 2015 is as follows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tcPr>
          <w:p>
            <w:pPr>
              <w:spacing w:after="0"/>
              <w:rPr>
                <w:sz w:val="12"/>
                <w:szCs w:val="12"/>
                <w:color w:val="auto"/>
              </w:rPr>
            </w:pPr>
          </w:p>
        </w:tc>
        <w:tc>
          <w:tcPr>
            <w:tcW w:w="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100" w:type="dxa"/>
            <w:vAlign w:val="bottom"/>
          </w:tcPr>
          <w:p>
            <w:pPr>
              <w:jc w:val="right"/>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 Aligner 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40" w:type="dxa"/>
            <w:vAlign w:val="bottom"/>
            <w:gridSpan w:val="3"/>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Invisalign non-case</w:t>
            </w: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Clear Aligner 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40" w:type="dxa"/>
            <w:vAlign w:val="bottom"/>
            <w:tcBorders>
              <w:bottom w:val="single" w:sz="8" w:color="CCEEFF"/>
            </w:tcBorders>
            <w:gridSpan w:val="3"/>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Scanner net revenues</w:t>
            </w: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340" w:type="dxa"/>
            <w:vAlign w:val="bottom"/>
            <w:gridSpan w:val="3"/>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Clear Aligner Case Volume by Region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Case volume data which represents Invisalign case shipments by region for the three and six months ended June 30, 2016 and 2015 is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7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8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84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100" w:type="dxa"/>
            <w:vAlign w:val="bottom"/>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North America Invisalign</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Invisalign</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Invisalign case volume</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net revenues increased by $59.8 million and $100.5 million for the three and six months ended June 30, 2016, respectively, as compared to the same period in 2015, primarily as a result of Invisalign case volume growth across all regions and products.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Clear Aligner - North America</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2016, Clear Aligner North America net revenues increased by $17.8 million compared to the same period in 2015 primarily due to Invisalign case volume growth of approximately $19.3 million across all channels and products. This increase was slightly offset by lower average selling prices (“ASP”) which reduced net revenues by $1.5 million. ASP declined in the current period compared to the same period in the prior year as a result of the increased revenue deferrals of approximately $5.2 million related to our additional aligner product policy launched in July 2015 and higher promotional discounts of $3.6 million, offset in part by the price increase on our Full products effective April 1, 2016, which contributed $6.2 million to net revenues.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2016, Clear Aligner North America net revenues increased by $34.6 million compared to the same period in 2015 primarily due to Invisalign case volume growth of approximately $44.4 million across all channels and products. This increase was offset in part by lower average selling prices ("ASP") which decreased net revenues by approximately $9.8 million. ASP declined in the current period compared to the same period in the prior year as a result of increased revenue deferrals of approximately $10.1 million, related to our additional aligner product policy launched in July 2015, and higher promotional discounts of $9.0 million, partially offset by the price increases on our Full products effective April 1, 2015 and April 1, 2016 which contributed $10.1 million to net revenues.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Clear Aligner - International</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three months ended June 30, 2016, Clear Aligner international net revenues increased by $21.8 million compared to the same period in 2015 primarily driven by Invisalign case volume growth of $23.7 million across all products. This was offset in part by lower ASP which decreased net revenues by approximately $1.9 million. ASP declined in the current period compared to the same period in the prior year as a result of higher promotional discounts of $2.1 million, a product mix shift towards lower priced Invisalign products of $1.2 million, higher net deferrals of $0.4 million, which includes the impact of our new additional aligner product policy launched in July 2015 of approximately $3.1 million, offset in part by the price increase on our Full products effective July 1, 2015 as well as our transition to a direct sales model in certain Asia Pacific countries which contributed $2.2 million to net revenues in the current period compared to the same period in the prior year.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2016, Clear Aligner international net revenues increased by $35.8 million compared to the same period in 2015 primarily driven by Invisalign case volume growth of $42.8 million across all products. This was offset in part by lower ASP which decreased net revenues by approximately $7.0 million. ASP declined in the current period compared to the same period in the prior year primarily a result of higher promotional discounts of $3.6 million, a region and product mix shift towards lower priced Invisalign products of $3.6 million, and higher net deferrals of $1.9 million which includes the impact of our new additional aligner product policy launched in July 2015 of approximately $5.7 million. These decreases were partially offset by the price increase on our Full products effective July 1, 2015 as well as our transition to a direct sales model in certain Asia Pacific countries which contributed $2.8 million to net revenues in the current period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Clear Aligner - Invisalign Non-Case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Invisalign non-case net revenues consists of training fees and ancillary product revenues. Invisalign non-case net revenues increased by $3.0 million and $5.0 million, respectively for the three and six months ended June 30, 2016, respectively compared to the same periods in 2015 primarily due to increased Vivera volume both in North America and International.</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Scanner</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Scanner net revenues increased $17.3 million and $25.3 million for the three and six months ended June 30, 2016, respectively, compared to the same periods in 2015 primarily as a result of an increase in the number of scanners recognized as we began shipping our next generation iTero Element scanner in September 2015, and, to a lesser extent, due to an increase in ASP.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22"/>
                <w:szCs w:val="22"/>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5"/>
              </w:rPr>
              <w:t>Change</w:t>
            </w:r>
          </w:p>
        </w:tc>
      </w:tr>
      <w:tr>
        <w:trPr>
          <w:trHeight w:val="188"/>
        </w:trPr>
        <w:tc>
          <w:tcPr>
            <w:tcW w:w="5020" w:type="dxa"/>
            <w:vAlign w:val="bottom"/>
            <w:tcBorders>
              <w:top w:val="single" w:sz="8" w:color="CCEEFF"/>
            </w:tcBorders>
            <w:gridSpan w:val="5"/>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Clear Aligner</w:t>
            </w: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0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Cost of net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58.0</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03"/>
        </w:trPr>
        <w:tc>
          <w:tcPr>
            <w:tcW w:w="502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Scanner and Services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 of net segment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502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Total cost of net revenues</w:t>
            </w:r>
          </w:p>
        </w:tc>
        <w:tc>
          <w:tcPr>
            <w:tcW w:w="2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3"/>
              <w:spacing w:after="0" w:line="202" w:lineRule="exact"/>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1"/>
              <w:spacing w:after="0" w:line="202" w:lineRule="exact"/>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3"/>
              <w:spacing w:after="0" w:line="202" w:lineRule="exact"/>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24.3</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502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Clear Aligner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increased slightly for the three months ended June 30, 2016 compared to the same period in 2015 from lower freight costs which was partially offset by a lower ASP related to our new Additional Aligner policy implemented in July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declined slightly for six months ended June 30, 2016 compared to the same period in 2015 primarily due to lower ASP related to our new Additional Aligner Policy implemented in July last year, which was partially offset by lower freight costs.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Scanner</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margin increased for the three and six months ended June 30, 2016 compared to the same period in 2015 primarily due to a product mix shift to our iTero Element scanner resulting in a higher ASP and lower costs per unit.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(in millions):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44.8</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June 30, 2016 increased compared to the same period in 2015 primarily due to higher compensation related costs of $12.1 million as a result of increased headcount, which led to higher salaries expense, stock based compensation, commissions and incentive bonuses; and higher marketing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2016 increased compared to the same period in 2015 primarily due to higher compensation related costs of $23.7 million as a result of increased headcount, which led to higher salaries expense, stock based compensation, commissions and incentive bonuses; and higher marketing costs.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17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June 30, 2016 increased compared to the same period in 2015 due to higher compensation costs from additional headcount and salary increases, increased outside services and depreciation and amortization.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2016 increased compared to the same period in 2015 due to higher compensation costs from additional headcount and salary increases, depreciation and amortization off-set by lower outside services.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(expenses), net (in millions):</w:t>
      </w:r>
    </w:p>
    <w:p>
      <w:pPr>
        <w:sectPr>
          <w:pgSz w:w="11900" w:h="16838" w:orient="portrait"/>
          <w:cols w:equalWidth="0" w:num="1">
            <w:col w:w="11420"/>
          </w:cols>
          <w:pgMar w:left="240" w:top="121" w:right="239" w:bottom="1440" w:gutter="0" w:footer="0" w:header="0"/>
        </w:sectPr>
      </w:pPr>
    </w:p>
    <w:p>
      <w:pPr>
        <w:spacing w:after="0" w:line="2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2040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p>
      <w:pPr>
        <w:ind w:left="5200"/>
        <w:spacing w:after="0"/>
        <w:tabs>
          <w:tab w:leader="none" w:pos="6320" w:val="left"/>
          <w:tab w:leader="none" w:pos="73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24765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100" w:val="left"/>
          <w:tab w:leader="none" w:pos="21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48" w:lineRule="exact"/>
        <w:rPr>
          <w:sz w:val="20"/>
          <w:szCs w:val="20"/>
          <w:color w:val="auto"/>
        </w:rPr>
      </w:pPr>
    </w:p>
    <w:p>
      <w:pPr>
        <w:sectPr>
          <w:pgSz w:w="11900" w:h="16838" w:orient="portrait"/>
          <w:cols w:equalWidth="0" w:num="2">
            <w:col w:w="7800" w:space="700"/>
            <w:col w:w="2920"/>
          </w:cols>
          <w:pgMar w:left="240" w:top="121" w:right="239" w:bottom="1440" w:gutter="0" w:footer="0" w:header="0"/>
          <w:type w:val="continuous"/>
        </w:sectPr>
      </w:pPr>
    </w:p>
    <w:p>
      <w:pPr>
        <w:ind w:left="40"/>
        <w:spacing w:after="0"/>
        <w:tabs>
          <w:tab w:leader="none" w:pos="4800" w:val="left"/>
          <w:tab w:leader="none" w:pos="5500" w:val="left"/>
          <w:tab w:leader="none" w:pos="5980" w:val="left"/>
          <w:tab w:leader="none" w:pos="6660" w:val="left"/>
          <w:tab w:leader="none" w:pos="7120" w:val="left"/>
          <w:tab w:leader="none" w:pos="7600" w:val="left"/>
          <w:tab w:leader="none" w:pos="8140" w:val="left"/>
          <w:tab w:leader="none" w:pos="8740" w:val="left"/>
          <w:tab w:leader="none" w:pos="9260" w:val="left"/>
          <w:tab w:leader="none" w:pos="9880" w:val="left"/>
          <w:tab w:leader="none" w:pos="10400" w:val="left"/>
          <w:tab w:leader="none" w:pos="11060" w:val="left"/>
        </w:tabs>
        <w:rPr>
          <w:sz w:val="20"/>
          <w:szCs w:val="20"/>
          <w:color w:val="auto"/>
        </w:rPr>
      </w:pPr>
      <w:r>
        <w:rPr>
          <w:rFonts w:ascii="Times New Roman" w:cs="Times New Roman" w:eastAsia="Times New Roman" w:hAnsi="Times New Roman"/>
          <w:sz w:val="18"/>
          <w:szCs w:val="18"/>
          <w:color w:val="auto"/>
        </w:rPr>
        <w:t>Interest and other income (expenses),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8"/>
          <w:szCs w:val="18"/>
          <w:color w:val="auto"/>
        </w:rPr>
        <w:t>0.2</w:t>
        <w:tab/>
        <w:t>$</w:t>
      </w:r>
      <w:r>
        <w:rPr>
          <w:sz w:val="20"/>
          <w:szCs w:val="20"/>
          <w:color w:val="auto"/>
        </w:rPr>
        <w:tab/>
      </w:r>
      <w:r>
        <w:rPr>
          <w:rFonts w:ascii="Times New Roman" w:cs="Times New Roman" w:eastAsia="Times New Roman" w:hAnsi="Times New Roman"/>
          <w:sz w:val="18"/>
          <w:szCs w:val="18"/>
          <w:color w:val="auto"/>
        </w:rPr>
        <w:t>(0.1)</w:t>
        <w:tab/>
        <w:t>$</w:t>
      </w:r>
      <w:r>
        <w:rPr>
          <w:sz w:val="20"/>
          <w:szCs w:val="20"/>
          <w:color w:val="auto"/>
        </w:rPr>
        <w:tab/>
      </w:r>
      <w:r>
        <w:rPr>
          <w:rFonts w:ascii="Times New Roman" w:cs="Times New Roman" w:eastAsia="Times New Roman" w:hAnsi="Times New Roman"/>
          <w:sz w:val="18"/>
          <w:szCs w:val="18"/>
          <w:color w:val="auto"/>
        </w:rPr>
        <w:t>(0.3)</w:t>
        <w:tab/>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8"/>
          <w:szCs w:val="18"/>
          <w:color w:val="auto"/>
        </w:rPr>
        <w:t>1.0</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Changes and percentages are based on actual values. Certain tables may not sum or recalculate due to rounding.</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(expenses), net, includes foreign currency translation gains and losses, interest income earned on cash, cash equivalents and investment balances, gains and losses on foreign currency forward contracts and other miscellaneous charges.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(expenses), net decreased slightly for the three months ended June 30, 2016 compared to the same period in 2015 and improved slightly for the six months ended June 30, 2016 compared to the same period in 2015 due to foreign currency fluctuations against the U.S. dollar, off-set by increased interest income on higher balances of marketable securities.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22"/>
                <w:szCs w:val="22"/>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rates</w:t>
            </w:r>
          </w:p>
        </w:tc>
        <w:tc>
          <w:tcPr>
            <w:tcW w:w="22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provision for income taxes was $15.1 million and $11.1 million for the three months ended June 30, 2016 and 2015, respectively, representing effective tax rates of 23.2% and 26.2%, respectively. Our provision for income taxes was $27.5 million and $22.4 million for the six months ended June 30, 2016 and 2015, respectively, representing effective tax rates of 23.2% and 24.9%, respectively. Our effective tax rate differs from the statutory federal income tax rate of 35% due to certain foreign earnings, primarily from Costa Rica, which are subject to a lower tax rate, state income tax expense, the tax impact of certain stock-based compensation charges and unrecognized tax benefits. The decrease in the effective tax rate for the three and six months ended June 30, 2016 compared to the three and six months ended June 30, 2015 was primarily related to various items that are not deductible for tax purposes that remained constant between the two periods while pre-tax income increased.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2016, we maintained a valuation allowance of $31.7 million against our deferred tax assets which primarily relate to Israel operating loss carryforwards and Australia capital loss carryforwards. These net operating and capital loss carryforwards would result in us recording an income tax benefit if we were to conclude it is more likely than not that the related deferred tax assets will be realized. On July 1, 2016, the Company implemented a new international corporate structure which may result in a future reassessment of our need for a valuation allowance against these deferred tax assets. As a result, it is possible that we may realize a tax benefit which may have a material impact on the financial statements within the next twelve months.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total gross unrecognized tax benefits, excluding interest, was $42.6 million and $39.4 million as of June 30, 2016 and December 31, 2015, respectively, all of which would impact our effective tax rate if recognized. We have elected to recognize interest and penalties related to unrecognized tax benefits as a component of income taxes. The interest accrued as of June 30, 2016 is $1.2 million. We do not expect any significant changes to the amount of unrecognized tax benefit within the next twelve months.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 We are currently under audit by the California Franchise Tax Board for fiscal years 2011, 2012 and 2013.</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2009, the Costa Rica Ministry of Foreign Trade, an agency of the Government of Costa Rica, granted a twelve year extension of certain income tax incentives, which were previously granted in 2002. The incentive tax rates will expire in various years beginning in 2017.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Income taxes were reduced by $8.6 million and $8.2 million for the three months ended June 30, 2016 and 2015, respectively, representing a benefit to diluted net income per share of $0.11 and $0.10 in 2016 and 2015, respectively. As a result of these incentives, our income taxes were reduced by $17.2 million and $16.4 million for the six months ended June 30, 2016 and 2015, respectively, representing a benefit to diluted net income per share of $0.21 and $0.20 in 2016 and 2015,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fund our operations primarily from product sales and available cash and cash equivalents and marketable securities. As of June 30,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we had the following cash, cash equivalents, and short-term and long-term marketable securities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167,706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167,714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404,107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359,581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113,158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151,370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684,971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678,665</w:t>
            </w:r>
          </w:p>
        </w:tc>
        <w:tc>
          <w:tcPr>
            <w:tcW w:w="0" w:type="dxa"/>
            <w:vAlign w:val="bottom"/>
          </w:tcPr>
          <w:p>
            <w:pPr>
              <w:spacing w:after="0"/>
              <w:rPr>
                <w:sz w:val="1"/>
                <w:szCs w:val="1"/>
                <w:color w:val="auto"/>
              </w:rPr>
            </w:pPr>
          </w:p>
        </w:tc>
      </w:tr>
      <w:tr>
        <w:trPr>
          <w:trHeight w:val="27"/>
        </w:trPr>
        <w:tc>
          <w:tcPr>
            <w:tcW w:w="8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Cash flows </w:t>
            </w:r>
            <w:r>
              <w:rPr>
                <w:rFonts w:ascii="Times New Roman" w:cs="Times New Roman" w:eastAsia="Times New Roman" w:hAnsi="Times New Roman"/>
                <w:sz w:val="18"/>
                <w:szCs w:val="18"/>
                <w:color w:val="auto"/>
              </w:rPr>
              <w:t>(in thousands):</w:t>
            </w: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106,847</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98,585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2016, we had $685.0 million of cash, cash equivalents and short-term and long-term marketable securities. Cash equivalents and marketable securities are comprised primarily of money market funds and debt instruments which include corporate bonds, U.S. dollar denominated foreign corporate bonds, commercial paper, municipal securities, U.S. government agency bonds, U.S. government treasury bonds and asset-backed securities. We do not enter into investments for trading or speculative purposes.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2016, approximately $503.6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 Additionally, 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2014, we announced that our Board of Directors had authorized a stock repurchase program ("April 2014 Repurchase Program") pursuant to which we may purchase up to $300.0 million of our common stock over the next three years. As of June 30, 2016, we have approximately $50.0 million remaining under the April 2014 Repurchase Program. On May 3, 2016, as part of our $300.0 million April 2014 Repurchase Program, we entered into an ASR to repurchase $50.0 million of our common stock (the "2016 ASR"). Under the terms of the 2016 ASR, we paid $50.0 million and received an initial delivery of approximately 0.5 million shares based on the then current market price of $74.90, which we retired. The final delivery of shares is scheduled during October 2016, with the number of shares to be determined by the Company's volume weighted-average stock price during the term of the ASR less an agreed upon discount. After the completion of the 2016 ASR, we will commence repurchasing $50.0 million of our common stock on the open market. These two actions will complete the April 2014 Repurchase Program.</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28, 2016, we announced that our Board of Directors had authorized a plan to repurchase up to $300.0 million of the Company's stock. This latest authorization is in addition to the existing $300 million authorization announced in April 2014, which brings the total authorization to $600 million. Any purchases under this stock repurchase program may be made, from time-to-time, pursuant to open market purchases (including pursuant to Rule 10b5-1 plans), privately-negotiated transactions, accelerated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repurchases, block trades or derivative contracts or otherwise in accordance with applicable federal securities laws, including Rule 10b-18 of the Securities Exchange Act of 1934. (</w:t>
      </w:r>
      <w:r>
        <w:rPr>
          <w:rFonts w:ascii="Times New Roman" w:cs="Times New Roman" w:eastAsia="Times New Roman" w:hAnsi="Times New Roman"/>
          <w:sz w:val="18"/>
          <w:szCs w:val="18"/>
          <w:i w:val="1"/>
          <w:iCs w:val="1"/>
          <w:color w:val="auto"/>
        </w:rPr>
        <w:t>Refer to Note 9 "Common Stock Repurchase", of the Notes to condensed consolidated financial statements</w:t>
      </w:r>
      <w:r>
        <w:rPr>
          <w:rFonts w:ascii="Times New Roman" w:cs="Times New Roman" w:eastAsia="Times New Roman" w:hAnsi="Times New Roman"/>
          <w:sz w:val="18"/>
          <w:szCs w:val="18"/>
          <w:color w:val="auto"/>
        </w:rPr>
        <w:t xml:space="preserve"> for details on our common stock repurchase).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17, 2016, we amended the credit facility originally entered into On March 22, 2013, extending the maturity date to March 22, 2017. The credit facility provides for a $50.0 million revolving line of credit, with a $10.0 million letter of credit sublimit. (</w:t>
      </w:r>
      <w:r>
        <w:rPr>
          <w:rFonts w:ascii="Times New Roman" w:cs="Times New Roman" w:eastAsia="Times New Roman" w:hAnsi="Times New Roman"/>
          <w:sz w:val="18"/>
          <w:szCs w:val="18"/>
          <w:i w:val="1"/>
          <w:iCs w:val="1"/>
          <w:color w:val="auto"/>
        </w:rPr>
        <w:t>Refer to Note 5 "Credit Facility", of the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w:t>
      </w:r>
      <w:r>
        <w:rPr>
          <w:rFonts w:ascii="Times New Roman" w:cs="Times New Roman" w:eastAsia="Times New Roman" w:hAnsi="Times New Roman"/>
          <w:sz w:val="18"/>
          <w:szCs w:val="18"/>
          <w:color w:val="auto"/>
        </w:rPr>
        <w:t>for details of the credit facility).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cash flows from operations of $106.8 million resulted primarily from our net income of approximately $90.7 million as well as the following:</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Significant non-cash activities:</w:t>
      </w:r>
    </w:p>
    <w:p>
      <w:pPr>
        <w:spacing w:after="0" w:line="227" w:lineRule="exact"/>
        <w:rPr>
          <w:sz w:val="20"/>
          <w:szCs w:val="20"/>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of $26.2 million related to equity incentive compensation awards granted to our employees, and</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$9.9 million related to our fixed assets and acquired intangible assets, offset in part by</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tax benefits from our share-based compensation arrangements of $10.7 million.</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Significant changes in working capital:</w:t>
      </w:r>
    </w:p>
    <w:p>
      <w:pPr>
        <w:spacing w:after="0" w:line="227" w:lineRule="exact"/>
        <w:rPr>
          <w:sz w:val="20"/>
          <w:szCs w:val="20"/>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$38.4 million in accounts receivable which is a result of the increase in net revenues,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$29.8 million in deferred revenues corresponding to the increases in case shipments,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$5.0 million in prepaid assets related to prepaid software and maintenance costs.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$4.8 million in accounts payable due to timing of certain invoice payments,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$4.4 million in accrued and other long-term liabilities primarily due to the payment of our 2015 bonus.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$51.5 million for the six months ended June 30, 2016 primarily consisting of purchases of marketable securities of $241.4 million, and property, plant and equipment purchases of $39.0 million and $6.0 million of other investing activities. These outflows were partially offset by $234.9 million of maturities and sales of our marketable securities.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remainder of 2016, we expect to spend an additional $40.0 million to $45.0 million on capital expenditures for estimated total capital expenditures of $80.0 million to $85.0 million for 2016 primarily for additional manufacturing capacity and infrastructure including a project to implement a new enterprise resource planning system. Although we believe our current investment portfolio has little risk of impairment, we cannot predict future market conditions or market liquidity and can provide no assurance that our investment portfolio will remain unimpaired.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$55.5 million for the six months ended June 30, 2016 primarily resulting from a common stock repurchase of $50.0 million and payroll taxes paid for vesting of restricted stock units through share withholdings of $23.2 million. These outflows were offset in part by $10.7 million from excess tax benefits from our share-based compensation arrangements and $7.0 million in proceeds from issuance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contractual obligations have not significantly changed since December 31, 2015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2016, we had no off-balance sheet arrangements that have, or are reasonably likely to have, a current or future material effect on our consolidated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Provisions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2016, we did not have any material indemnification claims that were probable or reasonably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2015:</w:t>
      </w:r>
    </w:p>
    <w:p>
      <w:pPr>
        <w:spacing w:after="0" w:line="109"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finite-lived acquired intangible assets,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finite-lived acquired intangible assets and long-lived assets, and</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of the Notes to Condensed Consolidated Financial Statements for a discussion of recent accounting pronouncements.</w:t>
      </w:r>
    </w:p>
    <w:p>
      <w:pPr>
        <w:spacing w:after="0" w:line="18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rate and interest rate risks that could impact our financial position and results of operations.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June 30, 2016, we had approximately $517.0 million invested in available-for-sale marketable securities. An immediate 10% change in interest rates would not have a material adverse impact on our future operating results and cash flows.</w:t>
      </w:r>
    </w:p>
    <w:p>
      <w:pPr>
        <w:spacing w:after="0" w:line="18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We do not have interest bearing liabilities outstanding as of June 30, 2016, and, therefore, we were not subject to risks from immediate interest rate increases.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Currency Rate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enter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June 30, 2016 we had no foreign currency forward contracts outstanding.</w:t>
      </w:r>
    </w:p>
    <w:p>
      <w:pPr>
        <w:spacing w:after="0" w:line="18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19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and that such information is recorded, processed, summarized and reported within the time periods specified in the SEC rules and forms.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Class Action Lawsuit</w:t>
      </w:r>
    </w:p>
    <w:p>
      <w:pPr>
        <w:spacing w:after="0" w:line="24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appeals was completed in May 2015 and the Ninth Circuit notified the parties that it is considering the case for possible oral arguments in October 2016</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Shareholder Derivative Lawsuit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39"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Demand for our products may not increase as rapidly as we anticipate due to a variety of factors including a weakness in general economic conditions.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frequency of use of the Invisalign system by orthodontists or GPs may not increase at the rate that we anticipate or at all.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declines in average selling prices of our products which may decrease our net revenues.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new product policy, beginning in the third quarter of 2015, we deferred more revenue as a result of providing free additional aligners for eligible treatments. Additionally, as we grandfathered over 1 million open cases, we will recognize lower revenues as additional aligners are shipped for at least the next two years until these cases complete.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 we continue to grow, we are subject to growth related risks, including risks related to excess or constrained capacity at our existing facilities.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intend to establish additional Order Acquisition and Treatment Planning facilities closer to our International customers in order to improve our operational efficiency and provide doctors with a great experience to further improve their confidence in using Invisalign to treat more patients, more often. Our ability to plan, construct and equip additional manufacturing facilities is subject to significant risk and uncertainty, including risks inherent in the establishment of a new manufacturing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 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sustain or increase profitability or revenue growth in future periods, the market price for our common stock may decline.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have fluctuated in the past and may fluctuate in the future which may cause volatility in our stock price.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76" w:lineRule="exact"/>
        <w:rPr>
          <w:sz w:val="20"/>
          <w:szCs w:val="20"/>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visibility into and difficulty predicting the level of activity in our customers’ practices from quarter to quarter;</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consumer spending as a result of the slowdown in the U.S. economy and global economies;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our distributors;</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against the U.S. dollar;</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scale production of our iTero Element scanner to meet customer demand;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participation in our customer rebate or discount programs increases our average selling price will be adversely affected;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the number of doctors in their offices and their availability to take appointments;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or changes to our marketing programs from quarter to quarter;</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contract manufacturers for the production of sub-assemblies for our intra-oral scanners;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industry tradeshows;</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effective tax rate;</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production caused by insufficient capacity or availability of raw materials;</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marketing of directly competitive products by existing and new competitors;</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as a result our agreement to manufacture clear aligners for SmileDirectClub, including, market acceptance of the SmileDirectClub business model and product, possible adverse customer reaction, and negative publicity about us and our products,</w:t>
      </w:r>
    </w:p>
    <w:p>
      <w:pPr>
        <w:spacing w:after="0" w:line="107"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available technology or the preferences of customers may cause our current product offerings to become less competitive or obsolete;</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 price competition from competitors;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in connection with litigation;</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introductions by us and our competitors, as well as customer order deferrals in anticipation of enhancements or new products;</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our receipt of patient records made through an intraoral scanner for any reason;</w:t>
      </w:r>
    </w:p>
    <w:p>
      <w:pPr>
        <w:spacing w:after="0" w:line="171"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forecasting of net revenues, production and other operating costs,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research and development to develop new products and enhancements;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develop, successfully introduce and achieve market acceptance of new products.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functionality and features that address customer requirements;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compatibility of our computer operating systems and hardware configurations with those of our customers;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products with higher growth prospects;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offerings from our competitors’ offerings;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reimbursement of procedures using our products;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intellectual property rights;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customers to adopt new technologies.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72"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international operations, which exposes us to foreign operational, political and other risks that may harm our business.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North America facilities,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85" w:lineRule="exact"/>
        <w:rPr>
          <w:sz w:val="20"/>
          <w:szCs w:val="20"/>
          <w:color w:val="auto"/>
        </w:rPr>
      </w:pPr>
    </w:p>
    <w:p>
      <w:pPr>
        <w:ind w:left="660" w:right="20" w:hanging="247"/>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including any travel restrictions to or from our facilities located in Russia and Israel;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income taxes, and other restrictions and limitations, if we were to decide to repatriate any of our foreign cash balances back to the U.S.;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and restrictions;</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production volume and quality of the manufacturing process;</w:t>
      </w:r>
    </w:p>
    <w:p>
      <w:pPr>
        <w:spacing w:after="0" w:line="171" w:lineRule="exact"/>
        <w:rPr>
          <w:rFonts w:ascii="Times New Roman" w:cs="Times New Roman" w:eastAsia="Times New Roman" w:hAnsi="Times New Roman"/>
          <w:sz w:val="18"/>
          <w:szCs w:val="18"/>
          <w:color w:val="auto"/>
        </w:rPr>
      </w:pPr>
    </w:p>
    <w:p>
      <w:pPr>
        <w:jc w:val="both"/>
        <w:ind w:left="660" w:hanging="247"/>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and acts of war;</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around the Ukraine and the possibility of additional sanctions against Russia which continue to bring uncertainty to this region;</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107"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local country and regional laws, including the risks associated with the Foreign Corrupt Practices Act and local anti-bribery compliance;</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and changes in tariffs;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these risks materialize in the future, we could experience production delays and lost or delayed revenue.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earn an increasingly larger portion of our total revenues from international sales and face risks attendant to those operations.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62" w:lineRule="exact"/>
        <w:rPr>
          <w:sz w:val="20"/>
          <w:szCs w:val="20"/>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and economic instability;</w:t>
      </w:r>
    </w:p>
    <w:p>
      <w:pPr>
        <w:spacing w:after="0" w:line="225"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0"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either individually or in combination, could materially impact our international operations and adversely affect our business as a whole.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0" w:firstLine="26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0"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9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81"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this implementation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89"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76"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Existing competitors may begin offering products more similar to ours. We may face more intense competition if new entrants to the clear aligner market are significantly larger than we are with greater resources and the ability to leverage their existing channels in the dental market to compete directly with us. In addition, corresponding foreign patents will start to expire in 2018, which may lead to increased competition in some of the markets outside the U.S.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93"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84"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2016, we had issued 403 U.S. patents, 312 foreign issued patents, and 349 pending global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72"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4"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0" w:firstLine="36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5" w:lineRule="exact"/>
        <w:rPr>
          <w:sz w:val="20"/>
          <w:szCs w:val="20"/>
          <w:color w:val="auto"/>
        </w:rPr>
      </w:pPr>
    </w:p>
    <w:p>
      <w:pPr>
        <w:jc w:val="both"/>
        <w:ind w:right="2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85"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9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primarily rely on our direct sales force to sell our products, and any failure to maintain our direct sales force could harm our business.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62"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distributors may terminate prematurely due to disagreements or may result in litigation between the partners;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renew existing distributor agreements on acceptable terms;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may not devote sufficient resources to the sale of products;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may be unsuccessful in marketing our products;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relationships with distributors may preclude us from entering into additional future arrangements with other distributors; and</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negotiate future distributor agreements on acceptable terms.</w:t>
      </w:r>
    </w:p>
    <w:p>
      <w:pPr>
        <w:spacing w:after="0" w:line="167"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products are considered medical devices and are subject to extensive regulation in the U.S. and internationally. FDA regulations are wide ranging and govern, among other things:</w:t>
      </w:r>
    </w:p>
    <w:p>
      <w:pPr>
        <w:spacing w:after="0" w:line="162"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manufacturing and testing;</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 handling and corrective actions;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regulatory requirements could result in enforcement action by the FDA or state agencies, which may include any of the following sanctions:</w:t>
      </w:r>
    </w:p>
    <w:p>
      <w:pPr>
        <w:spacing w:after="0" w:line="162"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clearance or pre-market approvals that have already been granted; and</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compliance with healthcare regulations becomes costly and difficult for our customers or for us, we may not be able to grow our business.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81" w:lineRule="exact"/>
        <w:rPr>
          <w:sz w:val="20"/>
          <w:szCs w:val="20"/>
          <w:color w:val="auto"/>
        </w:rPr>
      </w:pPr>
    </w:p>
    <w:p>
      <w:pPr>
        <w:jc w:val="both"/>
        <w:ind w:right="2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medical device laws and regulations, numerous state and federal healthcare-related laws regulate our business, covering areas such as:</w:t>
      </w:r>
    </w:p>
    <w:p>
      <w:pPr>
        <w:spacing w:after="0" w:line="225"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storage, transmission and disclosure of medical information and healthcare records;</w:t>
      </w:r>
    </w:p>
    <w:p>
      <w:pPr>
        <w:spacing w:after="0" w:line="17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0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advertising of our products.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international sales, including the need to obtain necessary foreign regulatory clearance or approvals.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85"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 market price for our common stock has been volatile.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price fluctuations in response to various factors, many of which are beyond our control. The factors include:</w:t>
      </w:r>
    </w:p>
    <w:p>
      <w:pPr>
        <w:spacing w:after="0" w:line="162"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and liquidity;</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the investment community or in their estimates of our net revenues or operating results;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concerning our business and results of operations;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 such as product announcements or acquisitions;</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our customers or competitors; and</w:t>
      </w:r>
    </w:p>
    <w:p>
      <w:pPr>
        <w:spacing w:after="0" w:line="1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conditions.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significant amounts of our common stock may depress our stock price.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long-lived assets become impaired, we may be required to record a significant charge to earnings.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76"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84" w:lineRule="exact"/>
        <w:rPr>
          <w:sz w:val="20"/>
          <w:szCs w:val="20"/>
          <w:color w:val="auto"/>
        </w:rPr>
      </w:pPr>
    </w:p>
    <w:p>
      <w:pPr>
        <w:ind w:right="1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For example, the FASB issued ASU No. 2016-19 “Improvements to Employee Share-Based Payment Accounting,” which will, among other things, change how we account for our tax shortfalls or benefits from stock based awards, and this guidance may have a favorable or unfavorable effect on our future effective tax rate. We are still evaluating the impact of this guidance on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a reduced rate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2016 and 2015. As a result of these incentives, our income taxes were reduced by $8.6 million and $8.2 million for the three months ended June 30, 2016 and 2015, respectively, representing a benefit to diluted net income per share of $0.11 and $0.10 in 2016 and 2015, respectively. As a result of these incentives, our income taxes were reduced by $17.2 million and $16.4 million for the six months ended June 30, 2016 and 2015, respectively, representing a benefit to diluted net income per share of $0.21 and $0.20 in 2016 and 2015, respectively. Our subsidiary in Israel is under audit by the local tax authorities for calendar years 2006 through 2012. We are currently under audit by the California Franchise Tax Board for fiscal year 2011, 2012 and 2013.</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negatively impact our income tax provision and net income.</w:t>
      </w:r>
    </w:p>
    <w:p>
      <w:pPr>
        <w:spacing w:after="0" w:line="2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has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is a summary of stock repurchases for the three months ended June 30,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180" w:type="dxa"/>
            <w:vAlign w:val="bottom"/>
          </w:tcPr>
          <w:p>
            <w:pPr>
              <w:spacing w:after="0"/>
              <w:rPr>
                <w:sz w:val="12"/>
                <w:szCs w:val="12"/>
                <w:color w:val="auto"/>
              </w:rPr>
            </w:pPr>
          </w:p>
        </w:tc>
        <w:tc>
          <w:tcPr>
            <w:tcW w:w="17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7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2016 through May 31, 2016</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467,290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74.90</w:t>
            </w:r>
          </w:p>
        </w:tc>
        <w:tc>
          <w:tcPr>
            <w:tcW w:w="220" w:type="dxa"/>
            <w:vAlign w:val="bottom"/>
          </w:tcPr>
          <w:p>
            <w:pPr>
              <w:spacing w:after="0"/>
              <w:rPr>
                <w:sz w:val="21"/>
                <w:szCs w:val="21"/>
                <w:color w:val="auto"/>
              </w:rPr>
            </w:pPr>
          </w:p>
        </w:tc>
        <w:tc>
          <w:tcPr>
            <w:tcW w:w="13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64,978,175</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64,978,175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8"/>
        <w:spacing w:after="0" w:line="241" w:lineRule="auto"/>
        <w:tabs>
          <w:tab w:leader="none" w:pos="345" w:val="left"/>
        </w:tabs>
        <w:numPr>
          <w:ilvl w:val="0"/>
          <w:numId w:val="28"/>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8"/>
          <w:szCs w:val="18"/>
          <w:color w:val="auto"/>
        </w:rPr>
        <w:t>In April 2014, we announced that our Board of Directors had authorized a stock repurchase program ("April 2014") pursuant to which we may purchase up to $300.0 million of our common stock over the next three years. As of June 30, 2016, we have approximately $50.0 million remaining under the April 2014 stock repurchase program. On May 3, 2016, as part of our $300.0 million April 2014 stock repurchase program, we entered into an ASR to repurchase $50.0 million of our common stock (the "2016 ASR"). Under the terms of the 2016 ASR, we paid $50.0 million and received an initial delivery of approximately 0.5 million shares based on current market price of $74.90, which we retired. The final delivery is scheduled during October 2016, with the number of shares to be determined by the Company's volume weighted-average stock price during the term of the ASR less an agreed upon discount. After the completion of the 2016 ASR, we will commence repurchasing $50.0 million of our common stock on the open market. These two actions will complete the April 2014 stock repurchase program.</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28, 2016, we announced that our Board of Directors had authorized a plan to repurchase up to $300.0 million of the Company's stock. This latest authorization is in addition to the existing $300 million authorization announced in April 2014, which brings the total authorization to $600 million.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w:t>
      </w:r>
      <w:r>
        <w:rPr>
          <w:rFonts w:ascii="Times New Roman" w:cs="Times New Roman" w:eastAsia="Times New Roman" w:hAnsi="Times New Roman"/>
          <w:sz w:val="18"/>
          <w:szCs w:val="18"/>
          <w:i w:val="1"/>
          <w:iCs w:val="1"/>
          <w:color w:val="auto"/>
        </w:rPr>
        <w:t>Refer to Note 9 "Common Stock Repurchase", of the 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details of the common stock repurchase).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finance future stock repurchases with current cash on hand.</w:t>
      </w:r>
    </w:p>
    <w:p>
      <w:pPr>
        <w:spacing w:after="0" w:line="19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29"/>
        </w:trPr>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940" w:type="dxa"/>
            <w:vAlign w:val="bottom"/>
            <w:gridSpan w:val="3"/>
          </w:tcPr>
          <w:p>
            <w:pPr>
              <w:ind w:left="2720"/>
              <w:spacing w:after="0" w:line="129"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gridSpan w:val="3"/>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480" w:type="dxa"/>
            <w:vAlign w:val="bottom"/>
          </w:tcPr>
          <w:p>
            <w:pPr>
              <w:spacing w:after="0"/>
              <w:rPr>
                <w:sz w:val="11"/>
                <w:szCs w:val="11"/>
                <w:color w:val="auto"/>
              </w:rPr>
            </w:pPr>
          </w:p>
        </w:tc>
        <w:tc>
          <w:tcPr>
            <w:tcW w:w="6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42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Times New Roman" w:cs="Times New Roman" w:eastAsia="Times New Roman" w:hAnsi="Times New Roman"/>
                <w:sz w:val="14"/>
                <w:szCs w:val="14"/>
                <w:b w:val="1"/>
                <w:bCs w:val="1"/>
                <w:color w:val="auto"/>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C Non-Incentive Unit Purchase Agreement, July 25, 2016</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07/28/16</w:t>
            </w:r>
          </w:p>
        </w:tc>
        <w:tc>
          <w:tcPr>
            <w:tcW w:w="9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Fixed Dollar Accelerated Repurchase Transaction Agreement dated April 25,</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2016 between Morgan Stanley and Align</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 18 U.S.C. Section 1350, as adopted pursuant to Section 906 of the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4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60"/>
          </w:cols>
          <w:pgMar w:left="240" w:top="121" w:right="29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ALIGN TECHNOLOGY, INC.</w:t>
            </w:r>
          </w:p>
        </w:tc>
        <w:tc>
          <w:tcPr>
            <w:tcW w:w="3320" w:type="dxa"/>
            <w:vAlign w:val="bottom"/>
          </w:tcPr>
          <w:p>
            <w:pPr>
              <w:spacing w:after="0"/>
              <w:rPr>
                <w:sz w:val="20"/>
                <w:szCs w:val="20"/>
                <w:color w:val="auto"/>
              </w:rPr>
            </w:pPr>
          </w:p>
        </w:tc>
      </w:tr>
      <w:tr>
        <w:trPr>
          <w:trHeight w:val="59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August 4, 2016</w:t>
            </w:r>
          </w:p>
        </w:tc>
        <w:tc>
          <w:tcPr>
            <w:tcW w:w="26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9"/>
              </w:rPr>
              <w:t>By:</w:t>
            </w:r>
          </w:p>
        </w:tc>
        <w:tc>
          <w:tcPr>
            <w:tcW w:w="20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w:t>
            </w:r>
          </w:p>
        </w:tc>
        <w:tc>
          <w:tcPr>
            <w:tcW w:w="3320" w:type="dxa"/>
            <w:vAlign w:val="bottom"/>
          </w:tcPr>
          <w:p>
            <w:pPr>
              <w:jc w:val="center"/>
              <w:ind w:right="1579"/>
              <w:spacing w:after="0"/>
              <w:rPr>
                <w:sz w:val="20"/>
                <w:szCs w:val="20"/>
                <w:color w:val="auto"/>
              </w:rPr>
            </w:pPr>
            <w:r>
              <w:rPr>
                <w:rFonts w:ascii="Times New Roman" w:cs="Times New Roman" w:eastAsia="Times New Roman" w:hAnsi="Times New Roman"/>
                <w:sz w:val="18"/>
                <w:szCs w:val="18"/>
                <w:color w:val="auto"/>
                <w:w w:val="99"/>
              </w:rPr>
              <w:t>JOSEPH M. HOGAN</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4"/>
        </w:trPr>
        <w:tc>
          <w:tcPr>
            <w:tcW w:w="3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5" w:lineRule="exact"/>
              <w:rPr>
                <w:sz w:val="20"/>
                <w:szCs w:val="20"/>
                <w:color w:val="auto"/>
              </w:rPr>
            </w:pPr>
            <w:r>
              <w:rPr>
                <w:rFonts w:ascii="Times New Roman" w:cs="Times New Roman" w:eastAsia="Times New Roman" w:hAnsi="Times New Roman"/>
                <w:sz w:val="14"/>
                <w:szCs w:val="14"/>
                <w:b w:val="1"/>
                <w:bCs w:val="1"/>
                <w:color w:val="auto"/>
              </w:rPr>
              <w:t>Joseph M. Hogan</w:t>
            </w:r>
          </w:p>
        </w:tc>
      </w:tr>
      <w:tr>
        <w:trPr>
          <w:trHeight w:val="190"/>
        </w:trPr>
        <w:tc>
          <w:tcPr>
            <w:tcW w:w="3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577"/>
        </w:trPr>
        <w:tc>
          <w:tcPr>
            <w:tcW w:w="3340" w:type="dxa"/>
            <w:vAlign w:val="bottom"/>
          </w:tcPr>
          <w:p>
            <w:pPr>
              <w:spacing w:after="0"/>
              <w:rPr>
                <w:sz w:val="24"/>
                <w:szCs w:val="24"/>
                <w:color w:val="auto"/>
              </w:rPr>
            </w:pPr>
          </w:p>
        </w:tc>
        <w:tc>
          <w:tcPr>
            <w:tcW w:w="26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9"/>
              </w:rPr>
              <w:t>By:</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3320" w:type="dxa"/>
            <w:vAlign w:val="bottom"/>
          </w:tcPr>
          <w:p>
            <w:pPr>
              <w:jc w:val="center"/>
              <w:ind w:right="1579"/>
              <w:spacing w:after="0"/>
              <w:rPr>
                <w:sz w:val="20"/>
                <w:szCs w:val="20"/>
                <w:color w:val="auto"/>
              </w:rPr>
            </w:pPr>
            <w:r>
              <w:rPr>
                <w:rFonts w:ascii="Times New Roman" w:cs="Times New Roman" w:eastAsia="Times New Roman" w:hAnsi="Times New Roman"/>
                <w:sz w:val="18"/>
                <w:szCs w:val="18"/>
                <w:color w:val="auto"/>
                <w:w w:val="98"/>
              </w:rPr>
              <w:t>DAVID L. WHITE</w:t>
            </w:r>
          </w:p>
        </w:tc>
      </w:tr>
      <w:tr>
        <w:trPr>
          <w:trHeight w:val="27"/>
        </w:trPr>
        <w:tc>
          <w:tcPr>
            <w:tcW w:w="3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44"/>
        </w:trPr>
        <w:tc>
          <w:tcPr>
            <w:tcW w:w="3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20" w:type="dxa"/>
            <w:vAlign w:val="bottom"/>
          </w:tcPr>
          <w:p>
            <w:pPr>
              <w:jc w:val="center"/>
              <w:ind w:right="1959"/>
              <w:spacing w:after="0" w:line="145" w:lineRule="exact"/>
              <w:rPr>
                <w:sz w:val="20"/>
                <w:szCs w:val="20"/>
                <w:color w:val="auto"/>
              </w:rPr>
            </w:pPr>
            <w:r>
              <w:rPr>
                <w:rFonts w:ascii="Times New Roman" w:cs="Times New Roman" w:eastAsia="Times New Roman" w:hAnsi="Times New Roman"/>
                <w:sz w:val="14"/>
                <w:szCs w:val="14"/>
                <w:b w:val="1"/>
                <w:bCs w:val="1"/>
                <w:color w:val="auto"/>
              </w:rPr>
              <w:t>David L. White</w:t>
            </w:r>
          </w:p>
        </w:tc>
      </w:tr>
      <w:tr>
        <w:trPr>
          <w:trHeight w:val="190"/>
        </w:trPr>
        <w:tc>
          <w:tcPr>
            <w:tcW w:w="3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685"/>
        </w:trPr>
        <w:tc>
          <w:tcPr>
            <w:tcW w:w="3340" w:type="dxa"/>
            <w:vAlign w:val="bottom"/>
          </w:tcPr>
          <w:p>
            <w:pPr>
              <w:spacing w:after="0"/>
              <w:rPr>
                <w:sz w:val="24"/>
                <w:szCs w:val="24"/>
                <w:color w:val="auto"/>
              </w:rPr>
            </w:pPr>
          </w:p>
        </w:tc>
        <w:tc>
          <w:tcPr>
            <w:tcW w:w="2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20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29"/>
        </w:trPr>
        <w:tc>
          <w:tcPr>
            <w:tcW w:w="9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940" w:type="dxa"/>
            <w:vAlign w:val="bottom"/>
            <w:gridSpan w:val="3"/>
          </w:tcPr>
          <w:p>
            <w:pPr>
              <w:ind w:left="2720"/>
              <w:spacing w:after="0" w:line="129"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44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480" w:type="dxa"/>
            <w:vAlign w:val="bottom"/>
            <w:gridSpan w:val="3"/>
          </w:tcPr>
          <w:p>
            <w:pPr>
              <w:jc w:val="right"/>
              <w:ind w:right="760"/>
              <w:spacing w:after="0" w:line="129" w:lineRule="exact"/>
              <w:rPr>
                <w:sz w:val="20"/>
                <w:szCs w:val="20"/>
                <w:color w:val="auto"/>
              </w:rPr>
            </w:pPr>
            <w:r>
              <w:rPr>
                <w:rFonts w:ascii="Times New Roman" w:cs="Times New Roman" w:eastAsia="Times New Roman" w:hAnsi="Times New Roman"/>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280" w:type="dxa"/>
            <w:vAlign w:val="bottom"/>
          </w:tcPr>
          <w:p>
            <w:pPr>
              <w:spacing w:after="0"/>
              <w:rPr>
                <w:sz w:val="11"/>
                <w:szCs w:val="11"/>
                <w:color w:val="auto"/>
              </w:rPr>
            </w:pPr>
          </w:p>
        </w:tc>
        <w:tc>
          <w:tcPr>
            <w:tcW w:w="1040" w:type="dxa"/>
            <w:vAlign w:val="bottom"/>
            <w:gridSpan w:val="2"/>
          </w:tcPr>
          <w:p>
            <w:pPr>
              <w:jc w:val="center"/>
              <w:ind w:left="32"/>
              <w:spacing w:after="0" w:line="129" w:lineRule="exact"/>
              <w:rPr>
                <w:sz w:val="20"/>
                <w:szCs w:val="20"/>
                <w:color w:val="auto"/>
              </w:rPr>
            </w:pPr>
            <w:r>
              <w:rPr>
                <w:rFonts w:ascii="Times New Roman" w:cs="Times New Roman" w:eastAsia="Times New Roman" w:hAnsi="Times New Roman"/>
                <w:sz w:val="14"/>
                <w:szCs w:val="14"/>
                <w:b w:val="1"/>
                <w:bCs w:val="1"/>
                <w:color w:val="auto"/>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C Non-Incentive Unit Purchase Agreement, July 25, 2016</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w:t>
            </w: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7/28/2016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Fixed Dollar Accelerated Repurchase Transaction Agreement dated April 25,</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2016 between Morgan Stanley and Align</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1"/>
                <w:szCs w:val="21"/>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 18 U.S.C. Section 1350, as adopted pursuant to Section 906 of the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121" w:right="299" w:bottom="1440" w:gutter="0" w:footer="0" w:header="0"/>
        </w:sectPr>
      </w:pPr>
    </w:p>
    <w:bookmarkStart w:id="52" w:name="page53"/>
    <w:bookmarkEnd w:id="5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6435090</wp:posOffset>
            </wp:positionH>
            <wp:positionV relativeFrom="page">
              <wp:posOffset>680720</wp:posOffset>
            </wp:positionV>
            <wp:extent cx="96901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69010" cy="1371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May 3, 2016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Fixed Dollar Accelerated Share Repurchase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2560 Orchard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letter agreement (this “Confirmation”) is to confirm the terms and conditions of the Transaction entered into between Morgan Stanley (“Dealer”) and Align Technology, Inc. (“Issuer”) on the Trade Date specified below (the “Transaction”). This confirmation constitutes a “Confirmation” as referred to in the Agreement specified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(as published by the International Swaps and Derivatives Association, Inc. (“ISDA”)) (the “Equity Definitions”) are incorporated into this Confirmation. The Transaction is a Share Forward Transaction for purposes of the Equity Definitions. Any reference to a currency shall have the meaning contained in Section 1.7 of the 2006 ISDA Definitions, as published by ISDA.</w:t>
      </w:r>
    </w:p>
    <w:p>
      <w:pPr>
        <w:spacing w:after="0" w:line="203" w:lineRule="exact"/>
        <w:rPr>
          <w:sz w:val="20"/>
          <w:szCs w:val="20"/>
          <w:color w:val="auto"/>
        </w:rPr>
      </w:pPr>
    </w:p>
    <w:p>
      <w:pPr>
        <w:jc w:val="both"/>
        <w:ind w:firstLine="656"/>
        <w:spacing w:after="0" w:line="297" w:lineRule="auto"/>
        <w:tabs>
          <w:tab w:leader="none" w:pos="14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Issuer as to the terms of the Transaction to which this Confirmation relates and shall supersede all prior or contemporaneous written or oral communications with respect thereto. This Confirmation shall be subject to an agreement (the “Agreement”) in the form of the 2002 ISDA Master Agreement as if Dealer and Issuer had executed an agreement in such form without any Schedule but with the elections set forth in this Confirmation (and (1) the election of USD as the Termination Currency, (2) the election that subparagraph</w:t>
      </w:r>
    </w:p>
    <w:p>
      <w:pPr>
        <w:spacing w:after="0" w:line="1" w:lineRule="exact"/>
        <w:rPr>
          <w:rFonts w:ascii="Times New Roman" w:cs="Times New Roman" w:eastAsia="Times New Roman" w:hAnsi="Times New Roman"/>
          <w:sz w:val="18"/>
          <w:szCs w:val="18"/>
          <w:color w:val="auto"/>
        </w:rPr>
      </w:pPr>
    </w:p>
    <w:p>
      <w:pPr>
        <w:jc w:val="both"/>
        <w:ind w:firstLine="8"/>
        <w:spacing w:after="0" w:line="303" w:lineRule="auto"/>
        <w:tabs>
          <w:tab w:leader="none" w:pos="2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2(c) will not apply to the Transactions and (3) the election that the “Cross Default” provisions of Section 5(a)(vi) shall apply to Dealer, with a “Threshold Amount” of 3% of Dealer shareholders’ equity for Dealer (provided that (a) the phrase “or becoming capable at such time of being declared” shall be deleted from clause (1) of such Section 5(a)(vi) of the Agreement and (b) the following sentence shall be added to the end thereof: “Notwithstanding the foregoing, a default hereunder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shall be the only transaction under the Agreement. If there exists any ISDA Master Agreement between Dealer and Issuer or any confirmation or other agreement between Dealer and Issuer pursuant to which an ISDA Master Agreement is deemed to exist between Dealer and Issuer, then, notwithstanding anything to the contrary in such ISDA Master Agreement, such confirmation or agreement or any other agreement to which Dealer and Issuer are parties, the Transaction shall not be considered a transaction under, or otherwise governed by, such existing or deemed to be existing ISDA Master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is any inconsistency between the Agreement, this Confirmation and the Equity Definitions, the following will prevail for purposes of the Transaction in the order of precedence indicated: (i) this Master Confirmation; (ii) the Equity Definitions; and (iii) the Agreement.</w:t>
      </w:r>
    </w:p>
    <w:p>
      <w:pPr>
        <w:spacing w:after="0" w:line="184" w:lineRule="exact"/>
        <w:rPr>
          <w:sz w:val="20"/>
          <w:szCs w:val="20"/>
          <w:color w:val="auto"/>
        </w:rPr>
      </w:pPr>
    </w:p>
    <w:p>
      <w:pPr>
        <w:ind w:left="880" w:hanging="224"/>
        <w:spacing w:after="0"/>
        <w:tabs>
          <w:tab w:leader="none" w:pos="8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ectPr>
          <w:pgSz w:w="11900" w:h="16838" w:orient="portrait"/>
          <w:cols w:equalWidth="0" w:num="1">
            <w:col w:w="11420"/>
          </w:cols>
          <w:pgMar w:left="240" w:top="1440" w:right="239" w:bottom="1440" w:gutter="0" w:footer="0" w:header="0"/>
        </w:sectPr>
      </w:pPr>
    </w:p>
    <w:bookmarkStart w:id="53" w:name="page54"/>
    <w:bookmarkEnd w:id="53"/>
    <w:p>
      <w:pPr>
        <w:ind w:left="3860"/>
        <w:spacing w:after="0"/>
        <w:rPr>
          <w:sz w:val="20"/>
          <w:szCs w:val="20"/>
          <w:color w:val="auto"/>
        </w:rPr>
      </w:pPr>
      <w:r>
        <w:rPr>
          <w:rFonts w:ascii="Times New Roman" w:cs="Times New Roman" w:eastAsia="Times New Roman" w:hAnsi="Times New Roman"/>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5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Buyer:</w:t>
            </w: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Issuer</w:t>
            </w:r>
          </w:p>
        </w:tc>
      </w:tr>
      <w:tr>
        <w:trPr>
          <w:trHeight w:val="45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Seller:</w:t>
            </w: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Dealer</w:t>
            </w:r>
          </w:p>
        </w:tc>
      </w:tr>
      <w:tr>
        <w:trPr>
          <w:trHeight w:val="45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Common Stock, par value USD 0.0001 per share, of Issuer (Ticker: ALGN)</w:t>
            </w:r>
          </w:p>
        </w:tc>
      </w:tr>
      <w:tr>
        <w:trPr>
          <w:trHeight w:val="46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w:t>
            </w: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 price per Share (as determined by the Calculation Agent) equal to the greater of</w:t>
            </w:r>
          </w:p>
        </w:tc>
      </w:tr>
      <w:tr>
        <w:trPr>
          <w:trHeight w:val="216"/>
        </w:trPr>
        <w:tc>
          <w:tcPr>
            <w:tcW w:w="3100" w:type="dxa"/>
            <w:vAlign w:val="bottom"/>
          </w:tcPr>
          <w:p>
            <w:pPr>
              <w:spacing w:after="0"/>
              <w:rPr>
                <w:sz w:val="18"/>
                <w:szCs w:val="18"/>
                <w:color w:val="auto"/>
              </w:rPr>
            </w:pPr>
          </w:p>
        </w:tc>
        <w:tc>
          <w:tcPr>
            <w:tcW w:w="8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 (i) the arithmetic mean (not a weighted average) of the 10b-18 VWAP on each</w:t>
            </w:r>
          </w:p>
        </w:tc>
      </w:tr>
      <w:tr>
        <w:trPr>
          <w:trHeight w:val="194"/>
        </w:trPr>
        <w:tc>
          <w:tcPr>
            <w:tcW w:w="3100" w:type="dxa"/>
            <w:vAlign w:val="bottom"/>
          </w:tcPr>
          <w:p>
            <w:pPr>
              <w:spacing w:after="0"/>
              <w:rPr>
                <w:sz w:val="16"/>
                <w:szCs w:val="16"/>
                <w:color w:val="auto"/>
              </w:rPr>
            </w:pPr>
          </w:p>
        </w:tc>
        <w:tc>
          <w:tcPr>
            <w:tcW w:w="8140" w:type="dxa"/>
            <w:vAlign w:val="bottom"/>
            <w:gridSpan w:val="3"/>
          </w:tcPr>
          <w:p>
            <w:pPr>
              <w:ind w:left="2040"/>
              <w:spacing w:after="0" w:line="194" w:lineRule="exact"/>
              <w:rPr>
                <w:sz w:val="20"/>
                <w:szCs w:val="20"/>
                <w:color w:val="auto"/>
              </w:rPr>
            </w:pPr>
            <w:r>
              <w:rPr>
                <w:rFonts w:ascii="Times New Roman" w:cs="Times New Roman" w:eastAsia="Times New Roman" w:hAnsi="Times New Roman"/>
                <w:sz w:val="18"/>
                <w:szCs w:val="18"/>
                <w:color w:val="auto"/>
              </w:rPr>
              <w:t>Observation Date that is a Trading Day during the Calculation Period minus (ii) the</w:t>
            </w:r>
          </w:p>
        </w:tc>
      </w:tr>
      <w:tr>
        <w:trPr>
          <w:trHeight w:val="237"/>
        </w:trPr>
        <w:tc>
          <w:tcPr>
            <w:tcW w:w="3100" w:type="dxa"/>
            <w:vAlign w:val="bottom"/>
          </w:tcPr>
          <w:p>
            <w:pPr>
              <w:spacing w:after="0"/>
              <w:rPr>
                <w:sz w:val="20"/>
                <w:szCs w:val="20"/>
                <w:color w:val="auto"/>
              </w:rPr>
            </w:pPr>
          </w:p>
        </w:tc>
        <w:tc>
          <w:tcPr>
            <w:tcW w:w="71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Discount and (B) $5.00.</w:t>
            </w:r>
          </w:p>
        </w:tc>
        <w:tc>
          <w:tcPr>
            <w:tcW w:w="4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80" w:top="333" w:right="37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10b-18 VWAP:</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8"/>
          <w:szCs w:val="18"/>
          <w:color w:val="auto"/>
        </w:rPr>
        <w:t>As specified in Schedule I</w:t>
      </w:r>
    </w:p>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any Trading Day, a price per Share equal to the volume-weighted average price of the Rule 10b-18 eligible trades in the Shares for the entirety of such Trading Day as determined by the Calculation Agent by reference to the screen entitled “ALGN &lt;Equity&gt; AQR SEC” or any successor page as reported by Bloomberg L.P. or any successor (excluding (i) trades that do not settle regular way, (ii) opening (regular way) reported trades in the consolidated system on such Scheduled Trading Day,</w:t>
      </w:r>
    </w:p>
    <w:p>
      <w:pPr>
        <w:jc w:val="both"/>
        <w:ind w:firstLine="1"/>
        <w:spacing w:after="0" w:line="252" w:lineRule="auto"/>
        <w:tabs>
          <w:tab w:leader="none" w:pos="3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trades that occur in the last ten minutes before the scheduled close of trading on the Exchange on such Scheduled Trading Day and ten minutes before the scheduled close of the primary trading in the market where the trade is effected, and (iv) trades on such Scheduled Trading Day that do not satisfy the requirements of Rule 10b-18(b)(5)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such Trading Day) or, if the price displayed on such screen is clearly erroneous, as determined by the Calculation Agent in good faith and in a commercially reasonable manner.</w:t>
      </w:r>
    </w:p>
    <w:p>
      <w:pPr>
        <w:spacing w:after="0" w:line="200" w:lineRule="exact"/>
        <w:rPr>
          <w:sz w:val="20"/>
          <w:szCs w:val="20"/>
          <w:color w:val="auto"/>
        </w:rPr>
      </w:pPr>
    </w:p>
    <w:p>
      <w:pPr>
        <w:sectPr>
          <w:pgSz w:w="11900" w:h="16838" w:orient="portrait"/>
          <w:cols w:equalWidth="0" w:num="2">
            <w:col w:w="4420" w:space="720"/>
            <w:col w:w="6100"/>
          </w:cols>
          <w:pgMar w:left="280" w:top="333" w:right="37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Observation Dates: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 specified in Schedule I</w:t>
      </w:r>
    </w:p>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period from, and including, the first Observation Date that is a Trading Day that occurs on or after the Prepayment Date to, but excluding, the relevant Valuation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Valuation Date is the Scheduled Valuation Date, then the Valuation Date shall be included in the Calculation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any Scheduled Valuation Date be postponed to a date later than the Final Termination Date.</w:t>
      </w:r>
    </w:p>
    <w:p>
      <w:pPr>
        <w:spacing w:after="0" w:line="200" w:lineRule="exact"/>
        <w:rPr>
          <w:sz w:val="20"/>
          <w:szCs w:val="20"/>
          <w:color w:val="auto"/>
        </w:rPr>
      </w:pPr>
    </w:p>
    <w:p>
      <w:pPr>
        <w:sectPr>
          <w:pgSz w:w="11900" w:h="16838" w:orient="portrait"/>
          <w:cols w:equalWidth="0" w:num="2">
            <w:col w:w="4420" w:space="720"/>
            <w:col w:w="6100"/>
          </w:cols>
          <w:pgMar w:left="280" w:top="333" w:right="379" w:bottom="1440" w:gutter="0" w:footer="0" w:header="0"/>
          <w:type w:val="continuous"/>
        </w:sectPr>
      </w:pPr>
    </w:p>
    <w:p>
      <w:pPr>
        <w:spacing w:after="0" w:line="15"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Final Termination Date:</w:t>
      </w:r>
      <w:r>
        <w:rPr>
          <w:sz w:val="20"/>
          <w:szCs w:val="20"/>
          <w:color w:val="auto"/>
        </w:rPr>
        <w:tab/>
      </w:r>
      <w:r>
        <w:rPr>
          <w:rFonts w:ascii="Times New Roman" w:cs="Times New Roman" w:eastAsia="Times New Roman" w:hAnsi="Times New Roman"/>
          <w:sz w:val="18"/>
          <w:szCs w:val="18"/>
          <w:color w:val="auto"/>
        </w:rPr>
        <w:t>As specified in Schedule I; provided that if a Market Disruption Event has occurred</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pursuant to Section 7 of this Confirmation, such Final Termination Date shall be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postponed by one Trading Day for every Trading Day that is a Disrupted Day as a</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result of such Merger Transaction during the Calculation Period</w:t>
      </w:r>
    </w:p>
    <w:p>
      <w:pPr>
        <w:spacing w:after="0" w:line="234"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Trading Day:</w:t>
      </w:r>
      <w:r>
        <w:rPr>
          <w:sz w:val="20"/>
          <w:szCs w:val="20"/>
          <w:color w:val="auto"/>
        </w:rPr>
        <w:tab/>
      </w:r>
      <w:r>
        <w:rPr>
          <w:rFonts w:ascii="Times New Roman" w:cs="Times New Roman" w:eastAsia="Times New Roman" w:hAnsi="Times New Roman"/>
          <w:sz w:val="17"/>
          <w:szCs w:val="17"/>
          <w:color w:val="auto"/>
        </w:rPr>
        <w:t>Any Exchange Business Day that is not a Disrupted Day in whole</w:t>
      </w:r>
    </w:p>
    <w:p>
      <w:pPr>
        <w:sectPr>
          <w:pgSz w:w="11900" w:h="16838" w:orient="portrait"/>
          <w:cols w:equalWidth="0" w:num="1">
            <w:col w:w="11240"/>
          </w:cols>
          <w:pgMar w:left="280" w:top="333" w:right="379" w:bottom="1440" w:gutter="0" w:footer="0" w:header="0"/>
          <w:type w:val="continuous"/>
        </w:sectPr>
      </w:pPr>
    </w:p>
    <w:bookmarkStart w:id="54" w:name="page55"/>
    <w:bookmarkEnd w:id="54"/>
    <w:p>
      <w:pPr>
        <w:ind w:left="3860"/>
        <w:spacing w:after="0"/>
        <w:rPr>
          <w:sz w:val="20"/>
          <w:szCs w:val="20"/>
          <w:color w:val="auto"/>
        </w:rPr>
      </w:pPr>
      <w:r>
        <w:rPr>
          <w:rFonts w:ascii="Times New Roman" w:cs="Times New Roman" w:eastAsia="Times New Roman" w:hAnsi="Times New Roman"/>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As specified in Schedule I; provided that if Dealer is unable to borrow or otherwise</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acquire a number of Shares equal to the Initial Shares for delivery to Issuer on the</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Initial Share Delivery Date, the Initial Shares delivered on the Initial Share Delivery</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Date shall be reduced to such number of Shares that Dealer is able to so borrow or</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otherwise  acquire,  and  thereafter  Dealer  shall  continue  to  use  commercially</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reasonable efforts to borrow or otherwise acquire a number of Shares, at a stock</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borrow cost no greater than the Initial Stock Loan Rate, equal to the shortfall in the</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Initial  Shares  and  to  deliver  such  additional  Shares  as  soon  as  reasonably</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practicable. For the avoidance of doubt, the aggregate of all shares delivered to</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Dealer in respect of the Transaction pursuant to this paragraph shall be the “Initial</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Shares” for purposes of determining the “Settlement Amount” below.</w:t>
            </w:r>
          </w:p>
        </w:tc>
      </w:tr>
      <w:tr>
        <w:trPr>
          <w:trHeight w:val="4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 Delivery Date:</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One Exchange Business Day following the Trade Date. On the Initial Share</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Delivery Date, Seller shall deliver to Buyer a number of Shares equal to the Initial</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Shares in accordance with Section 9.4 of the Equity Definitions, with the Initial</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Share Delivery Date being deemed to be a “Settlement Date” for purposes of such</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Section 9.4.</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Prepayment:</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Applicable</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As specified in Schedule I</w:t>
            </w:r>
          </w:p>
        </w:tc>
      </w:tr>
      <w:tr>
        <w:trPr>
          <w:trHeight w:val="44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One Exchange Business Day following the Trade Date. On the Prepayment Date,</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Buyer shall pay to Seller the Prepayment Amount.</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NASDAQ</w:t>
            </w:r>
          </w:p>
        </w:tc>
      </w:tr>
      <w:tr>
        <w:trPr>
          <w:trHeight w:val="44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w:t>
            </w: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All Exchanges; provided that Section 1.26 of the Equity Definitions shall be</w:t>
            </w:r>
          </w:p>
        </w:tc>
      </w:tr>
      <w:tr>
        <w:trPr>
          <w:trHeight w:val="20"/>
        </w:trPr>
        <w:tc>
          <w:tcPr>
            <w:tcW w:w="3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8"/>
        </w:trPr>
        <w:tc>
          <w:tcPr>
            <w:tcW w:w="3560" w:type="dxa"/>
            <w:vAlign w:val="bottom"/>
          </w:tcPr>
          <w:p>
            <w:pPr>
              <w:spacing w:after="0"/>
              <w:rPr>
                <w:sz w:val="18"/>
                <w:szCs w:val="18"/>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amended to add the words “United States” before the word “exchange” in the tenth</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line of such Section.</w:t>
            </w:r>
          </w:p>
        </w:tc>
      </w:tr>
    </w:tbl>
    <w:p>
      <w:pPr>
        <w:sectPr>
          <w:pgSz w:w="11900" w:h="16838" w:orient="portrait"/>
          <w:cols w:equalWidth="0" w:num="1">
            <w:col w:w="11240"/>
          </w:cols>
          <w:pgMar w:left="280" w:top="333" w:right="37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starting in the third line thereof.</w:t>
      </w:r>
    </w:p>
    <w:p>
      <w:pPr>
        <w:spacing w:after="0" w:line="184"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pacing w:after="0" w:line="176" w:lineRule="exact"/>
        <w:rPr>
          <w:sz w:val="20"/>
          <w:szCs w:val="20"/>
          <w:color w:val="auto"/>
        </w:rPr>
      </w:pPr>
    </w:p>
    <w:p>
      <w:pPr>
        <w:jc w:val="both"/>
        <w:ind w:left="128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Equity Definitions, if any Exchange Business Day in the Calculation Period is a Disrupted Day, the Calculation Agent shall have the option, in its reasonable discretion, to take one or more of the following actions in a good faith and commercially reasonable manner: (i) determine that such Exchange Business Day is a Disrupted Day in part, in which case the Calculation Agent shall (x) determine the 10b-18 VWAP on such Exchange Business Day based on Rule 10b-18 eligible trades in the Shares on such day taking into account the nature and duration of the relevant Market Disruption Event and (y) determine the Forward Price using an appropriately weighted average of 10b-18 VWAPs instead of an arithmetic mean, and/or (ii) elect to postpone the Scheduled Valuation Date by up to one Observation Date for every Observation Date that is a Disrupted Day during the Calculation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Scheduled Valuation Date be postponed to a date later than the Final Termination Date. For the avoidance of doubt, if the Calculation Agent takes the action described in clause (i) above, then such Disrupted Day shall be a Trading Day for purposes of calculating the Forward Price.</w:t>
      </w:r>
    </w:p>
    <w:p>
      <w:pPr>
        <w:spacing w:after="0" w:line="196"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18"/>
          <w:szCs w:val="18"/>
          <w:color w:val="auto"/>
        </w:rPr>
        <w:t>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184"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If a Disrupted Day occurs during the Calculation Period and each of the nine immediately following Scheduled Trading Days is a Disrupted Day, then the Calculation Agent may, in its good faith and commercially reasonable discretion, deem such ninth Scheduled Trading Day to be an Exchange Business Day that is not a Disrupted Day and determine the VWAP Price for such ninth Scheduled Trading Day using its good faith and commercially reasonable estimate of the value of the Shares on such ninth Scheduled Trading Day based on the volume, historical trading patterns and trading price of the Shares.</w:t>
      </w:r>
    </w:p>
    <w:p>
      <w:pPr>
        <w:sectPr>
          <w:pgSz w:w="11900" w:h="16838" w:orient="portrait"/>
          <w:cols w:equalWidth="0" w:num="2">
            <w:col w:w="3180" w:space="720"/>
            <w:col w:w="7380"/>
          </w:cols>
          <w:pgMar w:left="240" w:top="333" w:right="37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Scheduled Valuation Date:</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Lock-Out 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The earlier of (i) the Scheduled Valuation Date and (ii) any earlier accelerated Valuation Date as a result of Dealer’s election in accordance with the immediately succeeding paragraph.</w:t>
      </w:r>
    </w:p>
    <w:p>
      <w:pPr>
        <w:spacing w:after="0" w:line="176"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Dealer shall have the right, in its absolute discretion but subject to the limitation set forth in the immediately succeeding paragraph, to accelerate the Valuation Date, in whole or in part (an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to any Exchange Business Day that is on or after the Lock-Out Date and prior to the Scheduled Valuation Date by notice (each such notice, an “</w:t>
      </w:r>
      <w:r>
        <w:rPr>
          <w:rFonts w:ascii="Times New Roman" w:cs="Times New Roman" w:eastAsia="Times New Roman" w:hAnsi="Times New Roman"/>
          <w:sz w:val="18"/>
          <w:szCs w:val="18"/>
          <w:b w:val="1"/>
          <w:bCs w:val="1"/>
          <w:color w:val="auto"/>
        </w:rPr>
        <w:t>Acceleration Notice</w:t>
      </w:r>
      <w:r>
        <w:rPr>
          <w:rFonts w:ascii="Times New Roman" w:cs="Times New Roman" w:eastAsia="Times New Roman" w:hAnsi="Times New Roman"/>
          <w:sz w:val="18"/>
          <w:szCs w:val="18"/>
          <w:color w:val="auto"/>
        </w:rPr>
        <w:t xml:space="preserve">”) to Issuer by 9:00 p.m., New York City time, on the Exchange Business Day immediately following the accelerated Valuation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after the Lock-Out Date Dealer expects the Settlement Amount to be a negative number, then Dealer shall provide Issuer notice of any such expectation.</w:t>
      </w:r>
    </w:p>
    <w:p>
      <w:pPr>
        <w:spacing w:after="0" w:line="189"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Dealer shall specify in each Acceleration Notice the portion of the Prepayment Amount that is subject to acceleration (which may be less than the full Prepayment Amount, but only so long as such portion is not less than USD 25,000,000). If the portion of the Prepayment Amount that is subject to acceleration is less than the full Prepayment Amount, then the Calculation Agent shall adjust the terms of the Transaction as appropriate in order to take into account the occurrence of such accelerated Valuation Date (including cumulative adjustments to take into account all prior accelerated Valuation Dates).</w:t>
      </w:r>
    </w:p>
    <w:p>
      <w:pPr>
        <w:spacing w:after="0" w:line="185" w:lineRule="exact"/>
        <w:rPr>
          <w:sz w:val="20"/>
          <w:szCs w:val="20"/>
          <w:color w:val="auto"/>
        </w:rPr>
      </w:pPr>
    </w:p>
    <w:p>
      <w:pPr>
        <w:jc w:val="both"/>
        <w:ind w:left="1280" w:right="20"/>
        <w:spacing w:after="0" w:line="282" w:lineRule="auto"/>
        <w:rPr>
          <w:sz w:val="20"/>
          <w:szCs w:val="20"/>
          <w:color w:val="auto"/>
        </w:rPr>
      </w:pPr>
      <w:r>
        <w:rPr>
          <w:rFonts w:ascii="Times New Roman" w:cs="Times New Roman" w:eastAsia="Times New Roman" w:hAnsi="Times New Roman"/>
          <w:sz w:val="18"/>
          <w:szCs w:val="18"/>
          <w:color w:val="auto"/>
        </w:rPr>
        <w:t>On each Valuation Date, the Calculation Agent shall calculate the Settlement Amount.</w:t>
      </w:r>
    </w:p>
    <w:p>
      <w:pPr>
        <w:spacing w:after="0" w:line="189" w:lineRule="exact"/>
        <w:rPr>
          <w:sz w:val="20"/>
          <w:szCs w:val="20"/>
          <w:color w:val="auto"/>
        </w:rPr>
      </w:pPr>
    </w:p>
    <w:p>
      <w:pPr>
        <w:ind w:left="1280" w:right="440"/>
        <w:spacing w:after="0" w:line="282" w:lineRule="auto"/>
        <w:rPr>
          <w:sz w:val="20"/>
          <w:szCs w:val="20"/>
          <w:color w:val="auto"/>
        </w:rPr>
      </w:pPr>
      <w:r>
        <w:rPr>
          <w:rFonts w:ascii="Times New Roman" w:cs="Times New Roman" w:eastAsia="Times New Roman" w:hAnsi="Times New Roman"/>
          <w:sz w:val="18"/>
          <w:szCs w:val="18"/>
          <w:color w:val="auto"/>
        </w:rPr>
        <w:t>As specified in Schedule I, subject to postponement in accordance with “Market Disruption Event” above</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As specified in Schedule I</w:t>
      </w:r>
    </w:p>
    <w:p>
      <w:pPr>
        <w:sectPr>
          <w:pgSz w:w="11900" w:h="16838" w:orient="portrait"/>
          <w:cols w:equalWidth="0" w:num="2">
            <w:col w:w="3180" w:space="720"/>
            <w:col w:w="7500"/>
          </w:cols>
          <w:pgMar w:left="240" w:top="333" w:right="25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Valuation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Applicable.</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 the Settlement Date, Seller shall deliver to Buyer a number of Shares equal to (a)</w:t>
      </w:r>
    </w:p>
    <w:p>
      <w:pPr>
        <w:spacing w:after="0" w:line="27" w:lineRule="exact"/>
        <w:rPr>
          <w:sz w:val="20"/>
          <w:szCs w:val="20"/>
          <w:color w:val="auto"/>
        </w:rPr>
      </w:pPr>
    </w:p>
    <w:p>
      <w:pPr>
        <w:jc w:val="both"/>
        <w:ind w:left="1280" w:firstLine="1"/>
        <w:spacing w:after="0" w:line="251" w:lineRule="auto"/>
        <w:tabs>
          <w:tab w:leader="none" w:pos="15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Prepayment Amount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the Forward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Initial Shares (such number of Shares,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xml:space="preserve">”), rounded to the nearest whole number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Settlement Amount is less than zero, then Buyer shall deliver to Seller on the Settlement Date a number of Shares satisfying the conditions set forth in Section 8(a) below (the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Shares</w:t>
      </w:r>
      <w:r>
        <w:rPr>
          <w:rFonts w:ascii="Times New Roman" w:cs="Times New Roman" w:eastAsia="Times New Roman" w:hAnsi="Times New Roman"/>
          <w:sz w:val="18"/>
          <w:szCs w:val="18"/>
          <w:color w:val="auto"/>
        </w:rPr>
        <w:t>”), or a number of Shares not satisfying such conditions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Unregistered Payment Shares</w:t>
      </w:r>
      <w:r>
        <w:rPr>
          <w:rFonts w:ascii="Times New Roman" w:cs="Times New Roman" w:eastAsia="Times New Roman" w:hAnsi="Times New Roman"/>
          <w:sz w:val="18"/>
          <w:szCs w:val="18"/>
          <w:color w:val="auto"/>
        </w:rPr>
        <w:t>”) pursuant to Section 8(b) below, in either case (i) with a value equal to the absolute value of the Forward Cash Settlement Amount, with such Shares’ value determined by the Calculation Agent (which value shall, in the case of Unregistered Payment Shares, take into account a commercially reasonable illiquidity discount), in each case as determined by the Calculation Agent and (ii) as if such Shares were “Early Settlement Shares” or “Make-Whole Shares” under Section 8 below, and references in Section 8 to “Early Settlement Payment” were deemed to be references to the absolute value of the Forward Cash Settlement Amount.</w:t>
      </w:r>
    </w:p>
    <w:p>
      <w:pPr>
        <w:spacing w:after="0" w:line="192"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Notwithstanding the proviso above, if the Settlement Amount is less than zero, Buyer may elect, in its sole discretion, to cash settle its obligation to deliver Shares by delivering to Seller a notice by no later than the Valuation Date (or, in the event of an Acceleration, the two (2) Business Days after Dealer delivers an Acceleration Notice) electing to cash settle its obligation to deliver Shares, in which case “Cash Settlement” shall be Applicable. Any such Cash Settlement shall be effected in accordance with “Cash Settlement” below.</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USD</w:t>
      </w:r>
    </w:p>
    <w:p>
      <w:pPr>
        <w:spacing w:after="0" w:line="252" w:lineRule="exact"/>
        <w:rPr>
          <w:sz w:val="20"/>
          <w:szCs w:val="20"/>
          <w:color w:val="auto"/>
        </w:rPr>
      </w:pPr>
    </w:p>
    <w:p>
      <w:pPr>
        <w:jc w:val="both"/>
        <w:ind w:left="1280" w:right="20"/>
        <w:spacing w:after="0" w:line="266" w:lineRule="auto"/>
        <w:rPr>
          <w:sz w:val="20"/>
          <w:szCs w:val="20"/>
          <w:color w:val="auto"/>
        </w:rPr>
      </w:pPr>
      <w:r>
        <w:rPr>
          <w:rFonts w:ascii="Times New Roman" w:cs="Times New Roman" w:eastAsia="Times New Roman" w:hAnsi="Times New Roman"/>
          <w:sz w:val="18"/>
          <w:szCs w:val="18"/>
          <w:color w:val="auto"/>
        </w:rPr>
        <w:t>The date that falls one Settlement Cycle after the relevant Valuation Date, or, if the Settlement Amount is less than zero, the date one Settlement Cycle following the last day of the Settlement Valuation Period.</w:t>
      </w:r>
    </w:p>
    <w:p>
      <w:pPr>
        <w:spacing w:after="0" w:line="230" w:lineRule="exact"/>
        <w:rPr>
          <w:sz w:val="20"/>
          <w:szCs w:val="20"/>
          <w:color w:val="auto"/>
        </w:rPr>
      </w:pPr>
    </w:p>
    <w:p>
      <w:pPr>
        <w:jc w:val="both"/>
        <w:ind w:left="1280"/>
        <w:spacing w:after="0" w:line="252" w:lineRule="auto"/>
        <w:rPr>
          <w:sz w:val="20"/>
          <w:szCs w:val="20"/>
          <w:color w:val="auto"/>
        </w:rPr>
      </w:pPr>
      <w:r>
        <w:rPr>
          <w:rFonts w:ascii="Times New Roman" w:cs="Times New Roman" w:eastAsia="Times New Roman" w:hAnsi="Times New Roman"/>
          <w:sz w:val="18"/>
          <w:szCs w:val="18"/>
          <w:color w:val="auto"/>
        </w:rPr>
        <w:t>If the Settlement Amount is less than zero, and whether or not Physical Settlement or Cash Settlement is applicable, on the Exchange Business Day immediately following the Valuation Date, Seller may begin purchasing Shares in a commercially reasonable manner in an amount equal to the Settlement Amount (all such Shares purchased, “</w:t>
      </w:r>
      <w:r>
        <w:rPr>
          <w:rFonts w:ascii="Times New Roman" w:cs="Times New Roman" w:eastAsia="Times New Roman" w:hAnsi="Times New Roman"/>
          <w:sz w:val="18"/>
          <w:szCs w:val="18"/>
          <w:b w:val="1"/>
          <w:bCs w:val="1"/>
          <w:color w:val="auto"/>
        </w:rPr>
        <w:t>Hedge Close-out Shares</w:t>
      </w:r>
      <w:r>
        <w:rPr>
          <w:rFonts w:ascii="Times New Roman" w:cs="Times New Roman" w:eastAsia="Times New Roman" w:hAnsi="Times New Roman"/>
          <w:sz w:val="18"/>
          <w:szCs w:val="18"/>
          <w:color w:val="auto"/>
        </w:rPr>
        <w:t>”, and the period from and including the Exchange Business Day immediately following the Valuation Date to and including the day on which Seller completes its purchases of Hedge Close-out Shares,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In making any purchases of Hedge Close-out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paragraph, Dealer shall use commercially reasonable efforts to purchase such Shares in a manner that would qualify for the safe harbor provided by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if such purchases were made by or on behalf of Issuer. The Settlement Valuation Period shall be considered to be part of the Calculation Period for purposes of the representations, warranties and covenants and other provisions herein as the context requires (but, for the avoidance of doubt, not for purposes of determining the Forward Price).</w:t>
      </w:r>
    </w:p>
    <w:p>
      <w:pPr>
        <w:sectPr>
          <w:pgSz w:w="11900" w:h="16838" w:orient="portrait"/>
          <w:cols w:equalWidth="0" w:num="2">
            <w:col w:w="3140" w:space="720"/>
            <w:col w:w="7500"/>
          </w:cols>
          <w:pgMar w:left="280" w:top="333" w:right="25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Forward Cash Settlement Amount: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Applicable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80" w:right="20"/>
        <w:spacing w:after="0" w:line="266" w:lineRule="auto"/>
        <w:rPr>
          <w:sz w:val="20"/>
          <w:szCs w:val="20"/>
          <w:color w:val="auto"/>
        </w:rPr>
      </w:pPr>
      <w:r>
        <w:rPr>
          <w:rFonts w:ascii="Times New Roman" w:cs="Times New Roman" w:eastAsia="Times New Roman" w:hAnsi="Times New Roman"/>
          <w:sz w:val="18"/>
          <w:szCs w:val="18"/>
          <w:color w:val="auto"/>
        </w:rPr>
        <w:t>The aggregate purchase price (including commissions that are reasonable and customary for transactions of this type) of the Hedge Close-out Shares purchased during the Settlement Valuation Period.</w:t>
      </w:r>
    </w:p>
    <w:p>
      <w:pPr>
        <w:spacing w:after="0" w:line="230" w:lineRule="exact"/>
        <w:rPr>
          <w:sz w:val="20"/>
          <w:szCs w:val="20"/>
          <w:color w:val="auto"/>
        </w:rPr>
      </w:pPr>
    </w:p>
    <w:p>
      <w:pPr>
        <w:jc w:val="both"/>
        <w:ind w:left="1280"/>
        <w:spacing w:after="0" w:line="252" w:lineRule="auto"/>
        <w:rPr>
          <w:sz w:val="20"/>
          <w:szCs w:val="20"/>
          <w:color w:val="auto"/>
        </w:rPr>
      </w:pPr>
      <w:r>
        <w:rPr>
          <w:rFonts w:ascii="Times New Roman" w:cs="Times New Roman" w:eastAsia="Times New Roman" w:hAnsi="Times New Roman"/>
          <w:sz w:val="18"/>
          <w:szCs w:val="18"/>
          <w:color w:val="auto"/>
        </w:rPr>
        <w:t>If Cash Settlement is applicable, then on the Settlement Date, Buyer shall deliver to Seller an amount in USD equal to (x) 103% of the absolute value of the Settlement Amount multiplied by (y) a price per Share as reasonably determined by the Calculation Agent (such cash amount, the “</w:t>
      </w:r>
      <w:r>
        <w:rPr>
          <w:rFonts w:ascii="Times New Roman" w:cs="Times New Roman" w:eastAsia="Times New Roman" w:hAnsi="Times New Roman"/>
          <w:sz w:val="18"/>
          <w:szCs w:val="18"/>
          <w:b w:val="1"/>
          <w:bCs w:val="1"/>
          <w:color w:val="auto"/>
        </w:rPr>
        <w:t>Initial Cash Settlement Amount</w:t>
      </w:r>
      <w:r>
        <w:rPr>
          <w:rFonts w:ascii="Times New Roman" w:cs="Times New Roman" w:eastAsia="Times New Roman" w:hAnsi="Times New Roman"/>
          <w:sz w:val="18"/>
          <w:szCs w:val="18"/>
          <w:color w:val="auto"/>
        </w:rPr>
        <w:t>”). On the Valuation Date (i) a notional Share balance (the “</w:t>
      </w:r>
      <w:r>
        <w:rPr>
          <w:rFonts w:ascii="Times New Roman" w:cs="Times New Roman" w:eastAsia="Times New Roman" w:hAnsi="Times New Roman"/>
          <w:sz w:val="18"/>
          <w:szCs w:val="18"/>
          <w:b w:val="1"/>
          <w:bCs w:val="1"/>
          <w:color w:val="auto"/>
        </w:rPr>
        <w:t>Settlement Balance</w:t>
      </w:r>
      <w:r>
        <w:rPr>
          <w:rFonts w:ascii="Times New Roman" w:cs="Times New Roman" w:eastAsia="Times New Roman" w:hAnsi="Times New Roman"/>
          <w:sz w:val="18"/>
          <w:szCs w:val="18"/>
          <w:color w:val="auto"/>
        </w:rPr>
        <w:t>”) shall be created with an initial balance equal to the absolute value of the Settlement Amount and (ii) a notional cash balance (the “</w:t>
      </w:r>
      <w:r>
        <w:rPr>
          <w:rFonts w:ascii="Times New Roman" w:cs="Times New Roman" w:eastAsia="Times New Roman" w:hAnsi="Times New Roman"/>
          <w:sz w:val="18"/>
          <w:szCs w:val="18"/>
          <w:b w:val="1"/>
          <w:bCs w:val="1"/>
          <w:color w:val="auto"/>
        </w:rPr>
        <w:t>Cash Balance</w:t>
      </w:r>
      <w:r>
        <w:rPr>
          <w:rFonts w:ascii="Times New Roman" w:cs="Times New Roman" w:eastAsia="Times New Roman" w:hAnsi="Times New Roman"/>
          <w:sz w:val="18"/>
          <w:szCs w:val="18"/>
          <w:color w:val="auto"/>
        </w:rPr>
        <w:t>”) shall be created with an initial balance equal to the Initial Cash Settlement Amount. At the end of each Exchange Business Day on which Seller purchases Hedge Close-out Shares, Seller shall reduce</w:t>
      </w:r>
    </w:p>
    <w:p>
      <w:pPr>
        <w:spacing w:after="0" w:line="7" w:lineRule="exact"/>
        <w:rPr>
          <w:sz w:val="20"/>
          <w:szCs w:val="20"/>
          <w:color w:val="auto"/>
        </w:rPr>
      </w:pPr>
    </w:p>
    <w:p>
      <w:pPr>
        <w:jc w:val="both"/>
        <w:ind w:left="1280" w:firstLine="1"/>
        <w:spacing w:after="0" w:line="251" w:lineRule="auto"/>
        <w:tabs>
          <w:tab w:leader="none" w:pos="151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Balance by the number of Hedge Close-out Shares purchased on such Exchange Business Day and (ii) the Cash Balance by the aggregate purchase price (including commissions that are reasonable and customary for transactions of this type) of the Hedge Close-out Shares purchased on such Exchange Business Day. If, on any Exchange Business Day, the Cash Balance is reduced to or below zero but the Settlement Balance is greater than zero, the Buyer shall (i) deliver to Seller or as directed by Seller on the next Currency Business Day after such Exchange Business Day an additional amount in USD (an “</w:t>
      </w:r>
      <w:r>
        <w:rPr>
          <w:rFonts w:ascii="Times New Roman" w:cs="Times New Roman" w:eastAsia="Times New Roman" w:hAnsi="Times New Roman"/>
          <w:sz w:val="18"/>
          <w:szCs w:val="18"/>
          <w:b w:val="1"/>
          <w:bCs w:val="1"/>
          <w:color w:val="auto"/>
        </w:rPr>
        <w:t>Additional Cash Settlement Amount</w:t>
      </w:r>
      <w:r>
        <w:rPr>
          <w:rFonts w:ascii="Times New Roman" w:cs="Times New Roman" w:eastAsia="Times New Roman" w:hAnsi="Times New Roman"/>
          <w:sz w:val="18"/>
          <w:szCs w:val="18"/>
          <w:color w:val="auto"/>
        </w:rPr>
        <w:t>”) equal to the Settlement Balance as of such Exchange Business Day multiplied by a price per Share as reasonably determined in a good faith manner by the Calculation Agent, and the Cash Balance shall be increased by such amount. This provision shall be applied successively until the Settlement Balance is reduced to zero. On the Currency Business Day immediately following the Exchange Business Day that the Settlement Balance is reduced to zero, Seller shall return to Buyer an amount in USD equal to the remaining Cash Balance, if any, as of such Exchange Business Day.</w:t>
      </w:r>
    </w:p>
    <w:p>
      <w:pPr>
        <w:spacing w:after="0" w:line="219" w:lineRule="exact"/>
        <w:rPr>
          <w:sz w:val="20"/>
          <w:szCs w:val="20"/>
          <w:color w:val="auto"/>
        </w:rPr>
      </w:pPr>
    </w:p>
    <w:p>
      <w:pPr>
        <w:jc w:val="both"/>
        <w:ind w:left="1280"/>
        <w:spacing w:after="0" w:line="256" w:lineRule="auto"/>
        <w:rPr>
          <w:sz w:val="20"/>
          <w:szCs w:val="20"/>
          <w:color w:val="auto"/>
        </w:rPr>
      </w:pPr>
      <w:r>
        <w:rPr>
          <w:rFonts w:ascii="Times New Roman" w:cs="Times New Roman" w:eastAsia="Times New Roman" w:hAnsi="Times New Roman"/>
          <w:sz w:val="18"/>
          <w:szCs w:val="18"/>
          <w:color w:val="auto"/>
        </w:rPr>
        <w:t>The last sentence of Section 9.2, Sections 9.8, 9.9, 9.10 and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Buyer is the issuer of the Shares) and Section 9.12 of the Equity Definitions will be applicable to the Transaction.</w:t>
      </w:r>
    </w:p>
    <w:p>
      <w:pPr>
        <w:sectPr>
          <w:pgSz w:w="11900" w:h="16838" w:orient="portrait"/>
          <w:cols w:equalWidth="0" w:num="2">
            <w:col w:w="3140" w:space="720"/>
            <w:col w:w="7500"/>
          </w:cols>
          <w:pgMar w:left="280" w:top="333" w:right="25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ADJUSTMENTS:</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Potential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Extraordinary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EXTRAORDINARY EVENTS: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Merger Events:</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Share-for-Share:</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Share-for-Other: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Share-for-Combined:</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Section 11.2(e) of the Equity Definitions, an Extraordinary Dividend shall not constitute a Potential Adjustment Event.</w:t>
      </w:r>
    </w:p>
    <w:p>
      <w:pPr>
        <w:spacing w:after="0" w:line="162"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It shall constitute a Potential Adjustment Event if a Disrupted Day occurs or, pursuant to Section 11 below, is deemed to occur (in whole or in part) on any Trading Day on or prior to the Valuation Date.</w:t>
      </w:r>
    </w:p>
    <w:p>
      <w:pPr>
        <w:spacing w:after="0" w:line="203" w:lineRule="exact"/>
        <w:rPr>
          <w:sz w:val="20"/>
          <w:szCs w:val="20"/>
          <w:color w:val="auto"/>
        </w:rPr>
      </w:pPr>
    </w:p>
    <w:p>
      <w:pPr>
        <w:jc w:val="both"/>
        <w:ind w:left="1280" w:right="20"/>
        <w:spacing w:after="0" w:line="258" w:lineRule="auto"/>
        <w:rPr>
          <w:sz w:val="20"/>
          <w:szCs w:val="20"/>
          <w:color w:val="auto"/>
        </w:rPr>
      </w:pPr>
      <w:r>
        <w:rPr>
          <w:rFonts w:ascii="Times New Roman" w:cs="Times New Roman" w:eastAsia="Times New Roman" w:hAnsi="Times New Roman"/>
          <w:sz w:val="18"/>
          <w:szCs w:val="18"/>
          <w:color w:val="auto"/>
        </w:rPr>
        <w:t>Any dividend or distribution on the Shares with an ex-dividend date occurring during the period from, and including, the Trade Date to, and including, the last day of the Calculation Period (other than any dividend or distribution of the type described in Section 11.2(e)(i), Section 11.2(e)(ii)(A) or Section 11.2(e)(ii)(B) of the Equity Definitions).</w:t>
      </w:r>
    </w:p>
    <w:p>
      <w:pPr>
        <w:spacing w:after="0" w:line="238"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 xml:space="preserve">Calculation Agent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hereto agree that any Share repurchases by the Issuer, whether pursuant to Rule 10b-18 of the Exchange Act, Rule 10b5-1 of the Exchange Act on customary terms, at prevailing market prices, or VWAP (subject to any discounts thereto) shall not be considered Potential Adjustment Events;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adjustments for any Potential Adjustment Event (other than pursuant to any Potential Adjustment Event defined in Sections 11.2(e)(i), 11.2(e)(ii)(A) and 11.2(e)(iii) of the Equity Definitions) may be made to account for changes in volatility, stock loan rate or liquidity relevant to the Shares or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252"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Cancellation and Payment on that portion of the Other Consideration that consists of cash; Modified Calculation Agent Adjustment on the remainder of the Other Consideration</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Component Adjustment</w:t>
      </w:r>
    </w:p>
    <w:p>
      <w:pPr>
        <w:spacing w:after="0" w:line="279" w:lineRule="exact"/>
        <w:rPr>
          <w:sz w:val="20"/>
          <w:szCs w:val="20"/>
          <w:color w:val="auto"/>
        </w:rPr>
      </w:pPr>
    </w:p>
    <w:p>
      <w:pPr>
        <w:jc w:val="both"/>
        <w:ind w:left="1280" w:right="20"/>
        <w:spacing w:after="0" w:line="255"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definition of “Tender Offer” in Section 12.1 of the Equity Definitions will be amended by replacing the phrase “greater than 10% and less than 100% of the outstanding voting shares of the Issuer” in the third and fourth line thereof with “(a) greater than 15% and less than 100% of the outstanding Shares of the Issuer in the event that such Tender Offer is being made by any entity or person other than the Issuer or any subsidiary thereof or (b) greater than 20% and less than 100% of the outstanding Shares of the Issuer in the event that such Tender Offer is being made by the Issuer or any subsidiary thereof”.</w:t>
      </w:r>
    </w:p>
    <w:p>
      <w:pPr>
        <w:sectPr>
          <w:pgSz w:w="11900" w:h="16838" w:orient="portrait"/>
          <w:cols w:equalWidth="0" w:num="2">
            <w:col w:w="3180" w:space="720"/>
            <w:col w:w="7500"/>
          </w:cols>
          <w:pgMar w:left="240" w:top="333" w:right="259" w:bottom="1440" w:gutter="0" w:footer="0" w:header="0"/>
        </w:sectPr>
      </w:pPr>
    </w:p>
    <w:bookmarkStart w:id="60" w:name="page61"/>
    <w:bookmarkEnd w:id="60"/>
    <w:p>
      <w:pPr>
        <w:ind w:left="3900"/>
        <w:spacing w:after="0"/>
        <w:rPr>
          <w:sz w:val="20"/>
          <w:szCs w:val="20"/>
          <w:color w:val="auto"/>
        </w:rPr>
      </w:pPr>
      <w:r>
        <w:rPr>
          <w:rFonts w:ascii="Times New Roman" w:cs="Times New Roman" w:eastAsia="Times New Roman" w:hAnsi="Times New Roman"/>
          <w:sz w:val="14"/>
          <w:szCs w:val="14"/>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18"/>
          <w:szCs w:val="18"/>
          <w:color w:val="auto"/>
        </w:rPr>
        <w:t>Share-for-Share:</w:t>
      </w:r>
      <w:r>
        <w:rPr>
          <w:sz w:val="20"/>
          <w:szCs w:val="20"/>
          <w:color w:val="auto"/>
        </w:rPr>
        <w:tab/>
      </w:r>
      <w:r>
        <w:rPr>
          <w:rFonts w:ascii="Times New Roman" w:cs="Times New Roman" w:eastAsia="Times New Roman" w:hAnsi="Times New Roman"/>
          <w:sz w:val="18"/>
          <w:szCs w:val="18"/>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18"/>
          <w:szCs w:val="18"/>
          <w:color w:val="auto"/>
        </w:rPr>
        <w:t>Share-for-Other:</w:t>
      </w:r>
      <w:r>
        <w:rPr>
          <w:sz w:val="20"/>
          <w:szCs w:val="20"/>
          <w:color w:val="auto"/>
        </w:rPr>
        <w:tab/>
      </w:r>
      <w:r>
        <w:rPr>
          <w:rFonts w:ascii="Times New Roman" w:cs="Times New Roman" w:eastAsia="Times New Roman" w:hAnsi="Times New Roman"/>
          <w:sz w:val="18"/>
          <w:szCs w:val="18"/>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18"/>
          <w:szCs w:val="18"/>
          <w:color w:val="auto"/>
        </w:rPr>
        <w:t>Share-for-Combined:</w:t>
      </w:r>
      <w:r>
        <w:rPr>
          <w:sz w:val="20"/>
          <w:szCs w:val="20"/>
          <w:color w:val="auto"/>
        </w:rPr>
        <w:tab/>
      </w:r>
      <w:r>
        <w:rPr>
          <w:rFonts w:ascii="Times New Roman" w:cs="Times New Roman" w:eastAsia="Times New Roman" w:hAnsi="Times New Roman"/>
          <w:sz w:val="18"/>
          <w:szCs w:val="18"/>
          <w:color w:val="auto"/>
        </w:rPr>
        <w:t>Modified Calculation Agent Adjustment</w:t>
      </w:r>
    </w:p>
    <w:p>
      <w:pPr>
        <w:spacing w:after="0" w:line="252"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18"/>
          <w:szCs w:val="18"/>
          <w:color w:val="auto"/>
        </w:rPr>
        <w:t>New Shares:</w:t>
      </w:r>
      <w:r>
        <w:rPr>
          <w:sz w:val="20"/>
          <w:szCs w:val="20"/>
          <w:color w:val="auto"/>
        </w:rPr>
        <w:tab/>
      </w:r>
      <w:r>
        <w:rPr>
          <w:rFonts w:ascii="Times New Roman" w:cs="Times New Roman" w:eastAsia="Times New Roman" w:hAnsi="Times New Roman"/>
          <w:sz w:val="18"/>
          <w:szCs w:val="18"/>
          <w:color w:val="auto"/>
        </w:rPr>
        <w:t>In the definition of New Shares in Section 12.1(i) of the Equity Definitions, the text</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clause (i) thereof shall be deleted in its entirety (including the word “and”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following such clause (i)) and replaced with “publicly quoted, traded or listed on any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of the New York Stock Exchange, The NASDAQ Global Select Market or The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NASDAQ Global Market (or their respective successors)”.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Transaction,</w:t>
      </w:r>
    </w:p>
    <w:p>
      <w:pPr>
        <w:spacing w:after="0" w:line="225" w:lineRule="exact"/>
        <w:rPr>
          <w:sz w:val="20"/>
          <w:szCs w:val="20"/>
          <w:color w:val="auto"/>
        </w:rPr>
      </w:pPr>
    </w:p>
    <w:p>
      <w:pPr>
        <w:ind w:left="660" w:firstLine="645"/>
        <w:spacing w:after="0" w:line="282"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Merger Date in Section 12.1(c) of the Equity Definitions shall be amended to read, “Merger Date shall mean the Announcement Date.”;</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Tender Offer Date in Section 12.1(e) of the Equity Definitions shall be amended to read, “Tender Offer Date shall mean the Announcement Date.”;</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6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“Announcement Date” in Section 12.1(l) of the Equity Definitions is hereby amended by (a) replacing the words “a firm” with the word “any bona fide” in the second and fourth lines thereof, (b) replacing the word “leads to the” with the words “, if completed, would lead to a” in the third and the fifth lines thereof, (c) replacing the words “voting shares” with the word “Shares” in the fifth line thereof, (d) inserting the words “by any bona fide entity that is reasonably likely to be a party to the transaction” after the word “announcement” in the second and the fourth lines thereof, (e) inserting the words “or to explore the possibility of engaging in” after the words “engage in” in the second line thereof and (f) inserting the words “or to explore the possibility of purchasing or otherwise obtaining” after the word “obtain” in the fourth line thereof; and</w:t>
      </w:r>
    </w:p>
    <w:p>
      <w:pPr>
        <w:spacing w:after="0" w:line="189" w:lineRule="exact"/>
        <w:rPr>
          <w:rFonts w:ascii="Times New Roman" w:cs="Times New Roman" w:eastAsia="Times New Roman" w:hAnsi="Times New Roman"/>
          <w:sz w:val="18"/>
          <w:szCs w:val="18"/>
          <w:color w:val="auto"/>
        </w:rPr>
      </w:pPr>
    </w:p>
    <w:p>
      <w:pPr>
        <w:ind w:left="660" w:firstLine="645"/>
        <w:spacing w:after="0" w:line="282" w:lineRule="auto"/>
        <w:tabs>
          <w:tab w:leader="none" w:pos="16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12.2 of the Equity Definitions is hereby amended by inserting the words “Announcement Date in respect of any Merger Event or any potential” before the words “Merger Event” in the final line thereof.</w:t>
      </w:r>
    </w:p>
    <w:p>
      <w:pPr>
        <w:sectPr>
          <w:pgSz w:w="11900" w:h="16838" w:orient="portrait"/>
          <w:cols w:equalWidth="0" w:num="1">
            <w:col w:w="11420"/>
          </w:cols>
          <w:pgMar w:left="240" w:top="333" w:right="239" w:bottom="1440" w:gutter="0" w:footer="0" w:header="0"/>
        </w:sect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Composition of Combined Consideration:</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Nationalization, Insolvency or 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Cancellation and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shall constitute a Delisting if the Exchange is located in the United States and the Shares are not immediately re-listed, re-traded or re-quoted on any of the New York Stock Exchange, The NASDAQ Global Market or The NASDAQ Global Select Market (or their respective successors); if the Shares are immediately re-listed, re-traded or re-quoted on any such exchange or quotation system, such exchange or quotation system shall thereafter be deemed to be the Exchange.</w:t>
      </w:r>
    </w:p>
    <w:p>
      <w:pPr>
        <w:sectPr>
          <w:pgSz w:w="11900" w:h="16838" w:orient="portrait"/>
          <w:cols w:equalWidth="0" w:num="2">
            <w:col w:w="4460" w:space="720"/>
            <w:col w:w="6240"/>
          </w:cols>
          <w:pgMar w:left="240" w:top="333" w:right="239" w:bottom="1440" w:gutter="0" w:footer="0" w:header="0"/>
          <w:type w:val="continuous"/>
        </w:sectPr>
      </w:pPr>
    </w:p>
    <w:bookmarkStart w:id="61" w:name="page62"/>
    <w:bookmarkEnd w:id="61"/>
    <w:p>
      <w:pPr>
        <w:ind w:left="3860"/>
        <w:spacing w:after="0"/>
        <w:rPr>
          <w:sz w:val="20"/>
          <w:szCs w:val="20"/>
          <w:color w:val="auto"/>
        </w:rPr>
      </w:pPr>
      <w:r>
        <w:rPr>
          <w:rFonts w:ascii="Times New Roman" w:cs="Times New Roman" w:eastAsia="Times New Roman" w:hAnsi="Times New Roman"/>
          <w:sz w:val="14"/>
          <w:szCs w:val="14"/>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Change in Law:</w:t>
            </w: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Applicable; provided that (i) any determination as to whether (A) the adoption of or</w:t>
            </w:r>
          </w:p>
        </w:tc>
      </w:tr>
      <w:tr>
        <w:trPr>
          <w:trHeight w:val="20"/>
        </w:trPr>
        <w:tc>
          <w:tcPr>
            <w:tcW w:w="3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18"/>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any change in any applicable law or regulation (including, for the avoidance of doubt</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and without limitation, (x) any tax law or (y) adoption or promulgation of new</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regulations authorized or mandated by existing statute) or (B) the promulgation of or</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any change in the interpretation by any court, tribunal or regulatory authority with</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competent jurisdiction of any applicable law or regulation (including any action taken</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a taxing authority), in each case, constitutes a “Change in Law” shall be made</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without regard to Section 739 of the Dodd-Frank Wall Street Reform and Consumer</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Protection Act of 2010 or any similar legal certainty provision in any legislation</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enacted, or rule or regulation promulgated, on or after the Trade Date, (ii) Section</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12.9(a)(ii) of the Equity Definitions is hereby amended by replacing the parenthetical</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beginning  after  the  word  “regulation”  in  the  second  line  thereof  the  words</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“(including, for the avoidance of doubt and without limitation, (x) any tax law or (y)</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adoption or promulgation of new regulations authorized or mandated by existing</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statute)” and (iii) by, immediately following the word “Transaction” in clause (x)</w:t>
            </w:r>
          </w:p>
        </w:tc>
      </w:tr>
      <w:tr>
        <w:trPr>
          <w:trHeight w:val="216"/>
        </w:trPr>
        <w:tc>
          <w:tcPr>
            <w:tcW w:w="3140" w:type="dxa"/>
            <w:vAlign w:val="bottom"/>
          </w:tcPr>
          <w:p>
            <w:pPr>
              <w:spacing w:after="0"/>
              <w:rPr>
                <w:sz w:val="18"/>
                <w:szCs w:val="18"/>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thereof, adding the phrase “in the manner contemplated by the Hedging Party on the</w:t>
            </w:r>
          </w:p>
        </w:tc>
      </w:tr>
      <w:tr>
        <w:trPr>
          <w:trHeight w:val="234"/>
        </w:trPr>
        <w:tc>
          <w:tcPr>
            <w:tcW w:w="3140" w:type="dxa"/>
            <w:vAlign w:val="bottom"/>
          </w:tcPr>
          <w:p>
            <w:pPr>
              <w:spacing w:after="0"/>
              <w:rPr>
                <w:sz w:val="20"/>
                <w:szCs w:val="20"/>
                <w:color w:val="auto"/>
              </w:rPr>
            </w:pPr>
          </w:p>
        </w:tc>
        <w:tc>
          <w:tcPr>
            <w:tcW w:w="82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Trade Date”.</w:t>
            </w:r>
          </w:p>
        </w:tc>
      </w:tr>
    </w:tbl>
    <w:p>
      <w:pPr>
        <w:spacing w:after="0" w:line="200" w:lineRule="exact"/>
        <w:rPr>
          <w:sz w:val="20"/>
          <w:szCs w:val="20"/>
          <w:color w:val="auto"/>
        </w:rPr>
      </w:pPr>
    </w:p>
    <w:p>
      <w:pPr>
        <w:sectPr>
          <w:pgSz w:w="11900" w:h="16838" w:orient="portrait"/>
          <w:cols w:equalWidth="0" w:num="1">
            <w:col w:w="11360"/>
          </w:cols>
          <w:pgMar w:left="280" w:top="333" w:right="25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Filing: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Disruption: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of Stock Borrow:</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Maximum Stock Loan 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 of Stock Borrow:</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Initial Stock Loan 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Party: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Non-Reliance: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and Acknowledgements Regarding Hedging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Acknowledgments: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79" w:lineRule="exact"/>
        <w:rPr>
          <w:sz w:val="20"/>
          <w:szCs w:val="20"/>
          <w:color w:val="auto"/>
        </w:rPr>
      </w:pPr>
    </w:p>
    <w:p>
      <w:pPr>
        <w:ind w:left="320" w:hanging="319"/>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bps</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52" w:lineRule="exact"/>
        <w:rPr>
          <w:rFonts w:ascii="Times New Roman" w:cs="Times New Roman" w:eastAsia="Times New Roman" w:hAnsi="Times New Roman"/>
          <w:sz w:val="18"/>
          <w:szCs w:val="18"/>
          <w:color w:val="auto"/>
        </w:rPr>
      </w:pPr>
    </w:p>
    <w:p>
      <w:pPr>
        <w:ind w:left="220" w:hanging="219"/>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bps</w:t>
      </w:r>
    </w:p>
    <w:p>
      <w:pPr>
        <w:spacing w:after="0" w:line="252" w:lineRule="exact"/>
        <w:rPr>
          <w:rFonts w:ascii="Times New Roman" w:cs="Times New Roman" w:eastAsia="Times New Roman" w:hAnsi="Times New Roman"/>
          <w:sz w:val="18"/>
          <w:szCs w:val="18"/>
          <w:color w:val="auto"/>
        </w:rPr>
      </w:pPr>
    </w:p>
    <w:p>
      <w:pPr>
        <w:jc w:val="both"/>
        <w:ind w:right="38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applicable events, Dealer For all applicable events, Dealer Applicable</w:t>
      </w:r>
    </w:p>
    <w:p>
      <w:pPr>
        <w:spacing w:after="0" w:line="1" w:lineRule="exact"/>
        <w:rPr>
          <w:rFonts w:ascii="Times New Roman" w:cs="Times New Roman" w:eastAsia="Times New Roman" w:hAnsi="Times New Roman"/>
          <w:sz w:val="18"/>
          <w:szCs w:val="18"/>
          <w:color w:val="auto"/>
        </w:rPr>
      </w:pPr>
    </w:p>
    <w:p>
      <w:pPr>
        <w:jc w:val="both"/>
        <w:ind w:right="5420"/>
        <w:spacing w:after="0" w:line="5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Applicable</w:t>
      </w:r>
    </w:p>
    <w:p>
      <w:pPr>
        <w:sectPr>
          <w:pgSz w:w="11900" w:h="16838" w:orient="portrait"/>
          <w:cols w:equalWidth="0" w:num="2">
            <w:col w:w="4900" w:space="240"/>
            <w:col w:w="6220"/>
          </w:cols>
          <w:pgMar w:left="280" w:top="333" w:right="259" w:bottom="1440" w:gutter="0" w:footer="0" w:header="0"/>
          <w:type w:val="continuous"/>
        </w:sectPr>
      </w:pPr>
    </w:p>
    <w:bookmarkStart w:id="62" w:name="page63"/>
    <w:bookmarkEnd w:id="62"/>
    <w:p>
      <w:pPr>
        <w:jc w:val="right"/>
        <w:ind w:right="100"/>
        <w:spacing w:after="0"/>
        <w:rPr>
          <w:sz w:val="20"/>
          <w:szCs w:val="20"/>
          <w:color w:val="auto"/>
        </w:rPr>
      </w:pPr>
      <w:r>
        <w:rPr>
          <w:rFonts w:ascii="Times New Roman" w:cs="Times New Roman" w:eastAsia="Times New Roman" w:hAnsi="Times New Roman"/>
          <w:sz w:val="14"/>
          <w:szCs w:val="14"/>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Account Details and Notices</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for delivery of Shares to Issuer: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to be delivered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250 Royal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Client Operations (Align Technology,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for payments to Issuer: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of America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Acct: 1487803801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ABA: 026009593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Issuer of such failure the Issuer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All calculations and determinations by the Calculation Agent shall be made in good faith and in a commercially reasonable manner. Following any calculation made by the Calculation Agent hereunder, upon a prior written request by the Issuer, the Calculation Agent will provide to the Issuer by email to the email address provided by the Issuer in such prior written request a report (in a commonly used file format for the storage and manipulation of financial data) displaying in reasonable detail the basis for such calculation and specifying the particular section of the Confirmation pursuant to which such calculation or determination is being made (and in the event that more than one section of the Confirmation would permit the Calculation Agent to make an adjustment upon the occurrence of a specific event, then the Calculation Agent shall specify the particular section number pursuant to which the Calculation Agent is making the adjustment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will the Calculation Agent be obligated to share with the Issuer any proprietary or confidential data or information or any proprietary models used by it.</w:t>
      </w:r>
    </w:p>
    <w:p>
      <w:pPr>
        <w:sectPr>
          <w:pgSz w:w="11900" w:h="16838" w:orient="portrait"/>
          <w:cols w:equalWidth="0" w:num="2">
            <w:col w:w="4460" w:space="720"/>
            <w:col w:w="6220"/>
          </w:cols>
          <w:pgMar w:left="240" w:top="333" w:right="259" w:bottom="1440" w:gutter="0" w:footer="0" w:header="0"/>
        </w:sectPr>
      </w:pPr>
    </w:p>
    <w:bookmarkStart w:id="63" w:name="page64"/>
    <w:bookmarkEnd w:id="63"/>
    <w:p>
      <w:pPr>
        <w:ind w:left="3900"/>
        <w:spacing w:after="0"/>
        <w:rPr>
          <w:sz w:val="20"/>
          <w:szCs w:val="20"/>
          <w:color w:val="auto"/>
        </w:rPr>
      </w:pPr>
      <w:r>
        <w:rPr>
          <w:rFonts w:ascii="Times New Roman" w:cs="Times New Roman" w:eastAsia="Times New Roman" w:hAnsi="Times New Roman"/>
          <w:sz w:val="14"/>
          <w:szCs w:val="14"/>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for payments to Dealer: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Citibank, 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ABA #: 021000089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 38890774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Align Technology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2305251</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Confirmation:</w:t>
      </w:r>
    </w:p>
    <w:p>
      <w:pPr>
        <w:spacing w:after="0" w:line="225"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Address for notices or communications to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Align Technology,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2560 Orchard Parkway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0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Address for notices or communications to Dealer: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10036-8293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Usman Khan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+1 212 761 0955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10036-8293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Anthony Cicia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212-761-4828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212-507-4338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Anthony.cicia@morganstanley.com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email notification to the following address: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Usman.S.Khan@morganstanley.com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Amendments to the Equity Definitions and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9.2(a)(iii) of the Equity Definitions is hereby amended by deleting the words “the Excess Dividend Amount, if any,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deleting the words “a diluting or concentrative effect on the theoretical value of the relevant Shares” and replacing them with the words “a material economic effect on the relevant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w:t>
      </w:r>
    </w:p>
    <w:p>
      <w:pPr>
        <w:sectPr>
          <w:pgSz w:w="11900" w:h="16838" w:orient="portrait"/>
          <w:cols w:equalWidth="0" w:num="1">
            <w:col w:w="11420"/>
          </w:cols>
          <w:pgMar w:left="240" w:top="333" w:right="239" w:bottom="1440" w:gutter="0" w:footer="0" w:header="0"/>
        </w:sectPr>
      </w:pPr>
    </w:p>
    <w:bookmarkStart w:id="64" w:name="page65"/>
    <w:bookmarkEnd w:id="64"/>
    <w:p>
      <w:pPr>
        <w:ind w:left="3900"/>
        <w:spacing w:after="0"/>
        <w:rPr>
          <w:sz w:val="20"/>
          <w:szCs w:val="20"/>
          <w:color w:val="auto"/>
        </w:rPr>
      </w:pPr>
      <w:r>
        <w:rPr>
          <w:rFonts w:ascii="Times New Roman" w:cs="Times New Roman" w:eastAsia="Times New Roman" w:hAnsi="Times New Roman"/>
          <w:sz w:val="14"/>
          <w:szCs w:val="14"/>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such Potential Adjustment Event has a material economic effect on the Transaction and, if so, will (i) make appropriate adjustment(s), if any, to any one or more of:’.</w:t>
      </w:r>
    </w:p>
    <w:p>
      <w:pPr>
        <w:spacing w:after="0" w:line="162" w:lineRule="exact"/>
        <w:rPr>
          <w:sz w:val="20"/>
          <w:szCs w:val="20"/>
          <w:color w:val="auto"/>
        </w:rPr>
      </w:pPr>
    </w:p>
    <w:p>
      <w:pPr>
        <w:ind w:firstLine="656"/>
        <w:spacing w:after="0" w:line="282"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deleting the words “diluting or concentrative effect on the theoretical value of the relevant Shares” and replacing them with the words “a material economic effect on the relevant Transaction”.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12.6(c)(ii) of the Equity Definitions is hereby amended by replacing the words “the Transaction will be cancelled,” in the first line with the words “Dealer will have the right to cancel the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76" w:lineRule="auto"/>
        <w:tabs>
          <w:tab w:leader="none" w:pos="863"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w:t>
      </w: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in the penultimate sentence the words “either party” with “the Hedging Party” and (4) deleting clause (X) in the final sentence.</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2(a)(iii) of the Agreement is hereby amended by deleting the words “or Potential Event of Default” in clause (1) of such Section and deleting the word “and” immediately before subsection (3) and deleting clause “(3)” in its entirety.</w:t>
      </w:r>
    </w:p>
    <w:p>
      <w:pPr>
        <w:spacing w:after="0" w:line="162"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Payments and Deliveries by Dealer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if at any time (i) an Early Termination Date occurs and Dealer would be required to make a payment pursuant to Section 6 of the Agreement or (ii) an Extraordinary Event occurs and Dealer would be required to make a payment pursuant to Article 12 of the Equity Definitions (the amount of any such payment obligation described in Section 6(i) or (ii) above, an “</w:t>
      </w:r>
      <w:r>
        <w:rPr>
          <w:rFonts w:ascii="Times New Roman" w:cs="Times New Roman" w:eastAsia="Times New Roman" w:hAnsi="Times New Roman"/>
          <w:sz w:val="18"/>
          <w:szCs w:val="18"/>
          <w:b w:val="1"/>
          <w:bCs w:val="1"/>
          <w:color w:val="auto"/>
        </w:rPr>
        <w:t>Dealer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then Issuer shall have the right, by prior written notice to Dealer, to require Dealer to settle such payment obligation in Shares in lieu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Issuer shall not have the right to so elect in the event of (i) an Insolvency, a Nationalization, a Merger Event or a Tender 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If Issuer does not so elect for Dealer to settle an Dealer Payment Amount in Shares, then Dealer shall have the right, in its sole discretion, to elect to settle such Dealer Payment Amount in Shares. If either Issuer or Dealer so elects, then Dealer shall deliver to Issuer, on or within a commercially reasonable time following the date on which such Dealer Payment Amount would have been due, a number of Shares with a market value, as determined by the Calculation Agent, equal to all or a portion (which portion may be zero) of the Dealer Payment Amount. If the market value of such Shares equals a portion, but not all, of the Dealer Payment Amount, then, on the date such Dealer Payment Amount is due, a notional balance (the “</w:t>
      </w:r>
      <w:r>
        <w:rPr>
          <w:rFonts w:ascii="Times New Roman" w:cs="Times New Roman" w:eastAsia="Times New Roman" w:hAnsi="Times New Roman"/>
          <w:sz w:val="18"/>
          <w:szCs w:val="18"/>
          <w:b w:val="1"/>
          <w:bCs w:val="1"/>
          <w:color w:val="auto"/>
        </w:rPr>
        <w:t>Settlement Balance</w:t>
      </w:r>
      <w:r>
        <w:rPr>
          <w:rFonts w:ascii="Times New Roman" w:cs="Times New Roman" w:eastAsia="Times New Roman" w:hAnsi="Times New Roman"/>
          <w:sz w:val="18"/>
          <w:szCs w:val="18"/>
          <w:color w:val="auto"/>
        </w:rPr>
        <w:t>”) shall be established equal to the remaining portion of the Dealer Payment Amount, and Dealer shall commence purchasing Shares for delivery to Issuer. At the end of each Trading Day on which Dealer purchases Shares pursuant to this Section 6, Dealer shall reduce the Settlement Balance by the amount paid by Dealer to purchase the Shares purchased on such Trading Day. Dealer shall deliver any Shares purchased on a Trading Day pursuant to this Section 6 to Issuer on the third Exchange Business Day following such Trading Day. Dealer shall continue so purchasing and delivering Shares until the Settlement Balance has been reduced to zero. In making any purchases of Shares contemplated by this Section 6, Dealer shall use commercially reasonable efforts to purchase such Shares in a manner that would qualify for the safe harbor provided by Rule 10b-18 if such purchases were made by or on behalf of Issuer. The period until the Settlement Balance is reduced to zero shall be considered to be part of the Calculation Period for purposes of the representations, warranties and covenants and other provisions herein as the context requires.</w:t>
      </w:r>
    </w:p>
    <w:p>
      <w:pPr>
        <w:sectPr>
          <w:pgSz w:w="11900" w:h="16838" w:orient="portrait"/>
          <w:cols w:equalWidth="0" w:num="1">
            <w:col w:w="11420"/>
          </w:cols>
          <w:pgMar w:left="240" w:top="333" w:right="239" w:bottom="1440" w:gutter="0" w:footer="0" w:header="0"/>
        </w:sectPr>
      </w:pPr>
    </w:p>
    <w:bookmarkStart w:id="65" w:name="page66"/>
    <w:bookmarkEnd w:id="65"/>
    <w:p>
      <w:pPr>
        <w:ind w:left="3900"/>
        <w:spacing w:after="0"/>
        <w:rPr>
          <w:sz w:val="20"/>
          <w:szCs w:val="20"/>
          <w:color w:val="auto"/>
        </w:rPr>
      </w:pPr>
      <w:r>
        <w:rPr>
          <w:rFonts w:ascii="Times New Roman" w:cs="Times New Roman" w:eastAsia="Times New Roman" w:hAnsi="Times New Roman"/>
          <w:sz w:val="14"/>
          <w:szCs w:val="14"/>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Payments and Deliveries by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if at any time (i) an Early Termination Date occurs and Issuer would be required to make a payment pursuant to Section 6 of the Agreement or (ii) an Extraordinary Event occurs and Issuer would be required to make a payment pursuant to Article 12 of the Equity Definitions (any such payment described in Section 7(i) or (ii) above, an “</w:t>
      </w:r>
      <w:r>
        <w:rPr>
          <w:rFonts w:ascii="Times New Roman" w:cs="Times New Roman" w:eastAsia="Times New Roman" w:hAnsi="Times New Roman"/>
          <w:sz w:val="18"/>
          <w:szCs w:val="18"/>
          <w:b w:val="1"/>
          <w:bCs w:val="1"/>
          <w:color w:val="auto"/>
        </w:rPr>
        <w:t>Early Settlement Payment</w:t>
      </w:r>
      <w:r>
        <w:rPr>
          <w:rFonts w:ascii="Times New Roman" w:cs="Times New Roman" w:eastAsia="Times New Roman" w:hAnsi="Times New Roman"/>
          <w:sz w:val="18"/>
          <w:szCs w:val="18"/>
          <w:color w:val="auto"/>
        </w:rPr>
        <w:t>”), then Issuer shall have the right, by prior written notice to Dealer, in lieu of making such cash payment, to settle such payment obligation in Shares (such Shares, “</w:t>
      </w:r>
      <w:r>
        <w:rPr>
          <w:rFonts w:ascii="Times New Roman" w:cs="Times New Roman" w:eastAsia="Times New Roman" w:hAnsi="Times New Roman"/>
          <w:sz w:val="18"/>
          <w:szCs w:val="18"/>
          <w:b w:val="1"/>
          <w:bCs w:val="1"/>
          <w:color w:val="auto"/>
        </w:rPr>
        <w:t>Early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Issuer shall not have the right to so elect in the event of (i) an Insolvency, a Nationalization, a Merger Event or a Tender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in each case, in which the consideration or proceeds to be paid to holders of Shares consists solely of cash or (ii) an Event of Default in which Issuer is the Defaulting Party or a Termination Event in which Issuer is an Affected Party, which Event of Default or Termination Event resulted from an event or events within Issuer’s control. In order to elect to deliver Early Settlement Shares, (i) Issuer must notify Dealer of its election by no later than 4:00 p.m., New York City time, on the date that is three Exchange Business Days before the date that the Early Settlement Payment is due, (ii) Issuer must specify whether such Early Settlement Shares are to be sold by means of a registered offering or by means of a private placement and (iii) Issuer must comply with Section 8 below.</w:t>
      </w:r>
    </w:p>
    <w:p>
      <w:pPr>
        <w:spacing w:after="0" w:line="193"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Relating to Delivery of Early Settlement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may deliver Early Settlement Shares and Make-Whole Shares (as defined below) by means of a registered offering only if the following conditions are satisfied:</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511"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later of (A) the second Trading Day following Issuer’s election to deliver Early Settlement Shares and any Make-Whole Shares by means of a registered offering (the “</w:t>
      </w:r>
      <w:r>
        <w:rPr>
          <w:rFonts w:ascii="Times New Roman" w:cs="Times New Roman" w:eastAsia="Times New Roman" w:hAnsi="Times New Roman"/>
          <w:sz w:val="18"/>
          <w:szCs w:val="18"/>
          <w:b w:val="1"/>
          <w:bCs w:val="1"/>
          <w:color w:val="auto"/>
        </w:rPr>
        <w:t>Registration Notice Date</w:t>
      </w:r>
      <w:r>
        <w:rPr>
          <w:rFonts w:ascii="Times New Roman" w:cs="Times New Roman" w:eastAsia="Times New Roman" w:hAnsi="Times New Roman"/>
          <w:sz w:val="18"/>
          <w:szCs w:val="18"/>
          <w:color w:val="auto"/>
        </w:rPr>
        <w:t xml:space="preserve">”), and (B) the date on which the Registration Statement is declared effective by the SEC or becomes effective, but in no event later than the date the Early Settlement Payment is due, Issuer shall deliver to Dealer a number of Early Settlement Shares equal to the quotient of (I) the relevant Early Settlement Payment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a price per Share as reasonably determined by the Calculation Agent (the date of such delivery, the “</w:t>
      </w:r>
      <w:r>
        <w:rPr>
          <w:rFonts w:ascii="Times New Roman" w:cs="Times New Roman" w:eastAsia="Times New Roman" w:hAnsi="Times New Roman"/>
          <w:sz w:val="18"/>
          <w:szCs w:val="18"/>
          <w:b w:val="1"/>
          <w:bCs w:val="1"/>
          <w:color w:val="auto"/>
        </w:rPr>
        <w:t>Registered Share Delivery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75"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Registration Notice Date, Issuer shall file with the SEC a registration statement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covering the public sale by Dealer of the Early Settlement Shares and any Make-Whole Shares (collectively, the “</w:t>
      </w:r>
      <w:r>
        <w:rPr>
          <w:rFonts w:ascii="Times New Roman" w:cs="Times New Roman" w:eastAsia="Times New Roman" w:hAnsi="Times New Roman"/>
          <w:sz w:val="18"/>
          <w:szCs w:val="18"/>
          <w:b w:val="1"/>
          <w:bCs w:val="1"/>
          <w:color w:val="auto"/>
        </w:rPr>
        <w:t>Registered Securities</w:t>
      </w:r>
      <w:r>
        <w:rPr>
          <w:rFonts w:ascii="Times New Roman" w:cs="Times New Roman" w:eastAsia="Times New Roman" w:hAnsi="Times New Roman"/>
          <w:sz w:val="18"/>
          <w:szCs w:val="18"/>
          <w:color w:val="auto"/>
        </w:rPr>
        <w:t>”) on a continuous or delayed basis pursuant to Rule 415 (or any similar or successor rule), if available,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filing shall be required pursuant to this paragraph (ii) if Issuer shall have filed a similar registration statement with unused capacity at least equal to the relevant Early Settlement Payment and such registration statement has become effective or been declared effective by the SEC on or prior to the Registration Notice Date and no stop order is in effect with respect to such registration statement as of the Registration Notice Date, in which case such registration statement shall be the Registration Statement. Issuer shall use its commercially reasonable efforts to file the Registration Statement as an automatic shelf registration statement or have the Registration Statement declared effective by the SEC as promptly as possible. The Registration Statement shall be effective and subject to no stop order as of the Registered Share Delivery Date.</w:t>
      </w:r>
    </w:p>
    <w:p>
      <w:pPr>
        <w:spacing w:after="0" w:line="18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3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Registration Notice Date, Issuer shall afford Dealer a reasonable opportunity to conduct a due diligence investigation with respect to Issuer customary in scope for underwritten offerings of equity securities for companies of comparable size, maturity and line of business (including, without limitation, the availability of senior management to respond to questions regarding the business and financial condition of Issuer and the right to have made available to Dealer for inspection at times reasonably acceptable to Issuer any financial and other records, pertinent corporate documents and other information reasonably requested in connection with underwritten offerings of this type by Dealer), and Dealer shall be satisfied in its good faith discretion with the results of such due diligence investigation of Issuer. For the avoidance of doubt, Issuer shall not have the right to deliver Shares pursuant to this Section 8(a) (and the conditions to delivery of Early Settlement Shares specified in this Section 8(a) shall not be satisfied) unless and until Dealer is satisfied in its good faith discretion with the results of such due diligence investigation of Issuer.</w:t>
      </w:r>
    </w:p>
    <w:p>
      <w:pPr>
        <w:sectPr>
          <w:pgSz w:w="11900" w:h="16838" w:orient="portrait"/>
          <w:cols w:equalWidth="0" w:num="1">
            <w:col w:w="11420"/>
          </w:cols>
          <w:pgMar w:left="240" w:top="333" w:right="239" w:bottom="1440" w:gutter="0" w:footer="0" w:header="0"/>
        </w:sectPr>
      </w:pPr>
    </w:p>
    <w:bookmarkStart w:id="66" w:name="page67"/>
    <w:bookmarkEnd w:id="66"/>
    <w:p>
      <w:pPr>
        <w:ind w:left="3892"/>
        <w:spacing w:after="0"/>
        <w:rPr>
          <w:sz w:val="20"/>
          <w:szCs w:val="20"/>
          <w:color w:val="auto"/>
        </w:rPr>
      </w:pPr>
      <w:r>
        <w:rPr>
          <w:rFonts w:ascii="Times New Roman" w:cs="Times New Roman" w:eastAsia="Times New Roman" w:hAnsi="Times New Roman"/>
          <w:sz w:val="14"/>
          <w:szCs w:val="14"/>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592" w:hanging="295"/>
        <w:spacing w:after="0"/>
        <w:tabs>
          <w:tab w:leader="none" w:pos="15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effectiveness of the Registration Statement until the earlier of (1) when all Registered Securities have been sold by Dealer or</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days after effectiveness, Issuer shall, at the request of Dealer, make available to Dealer a printed prospectus relating to the Registered Securities in form and substance (including, without limitation, any sections describing the plan of distribution) reasonably satisfactory to Dealer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term shall include any prospectus supplement thereto), in such quantities as Dealer shall reasonably request.</w:t>
      </w:r>
    </w:p>
    <w:p>
      <w:pPr>
        <w:spacing w:after="0" w:line="186" w:lineRule="exact"/>
        <w:rPr>
          <w:rFonts w:ascii="Times New Roman" w:cs="Times New Roman" w:eastAsia="Times New Roman" w:hAnsi="Times New Roman"/>
          <w:sz w:val="18"/>
          <w:szCs w:val="18"/>
          <w:color w:val="auto"/>
        </w:rPr>
      </w:pPr>
    </w:p>
    <w:p>
      <w:pPr>
        <w:jc w:val="both"/>
        <w:ind w:left="-8" w:firstLine="1305"/>
        <w:spacing w:after="0" w:line="255" w:lineRule="auto"/>
        <w:tabs>
          <w:tab w:leader="none" w:pos="15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shall use its commercially reasonable efforts to avoid or prevent the issuance of any stop order suspending the effectiveness of the Registration Statement or of any order preventing or suspending the use of any Prospectus and, if any such order is issued, to obtain the lifting thereof as promptly as practicable. If the Registration Statement, the Prospectus or any document incorporated therein by reference contains a misstatement of a material fact or omits to state a material fact required to be stated therein or necessary to make any statement therein not misleading, Issuer shall use its commercially reasonable efforts to as promptly as practicable file any required document and prepare and furnish to Dealer a reasonable number of copies of such supplement or amendment thereto as may be necessary so that the Prospectus, as thereafter delivered to the purchasers of the Registered Securities, will not contain a misstatement of a material fact or omit to state a material fact required to be stated therein or necessary to make any statement therein not misleading.</w:t>
      </w:r>
    </w:p>
    <w:p>
      <w:pPr>
        <w:spacing w:after="0" w:line="181" w:lineRule="exact"/>
        <w:rPr>
          <w:rFonts w:ascii="Times New Roman" w:cs="Times New Roman" w:eastAsia="Times New Roman" w:hAnsi="Times New Roman"/>
          <w:sz w:val="18"/>
          <w:szCs w:val="18"/>
          <w:color w:val="auto"/>
        </w:rPr>
      </w:pPr>
    </w:p>
    <w:p>
      <w:pPr>
        <w:jc w:val="both"/>
        <w:ind w:left="-8" w:firstLine="1305"/>
        <w:spacing w:after="0" w:line="259" w:lineRule="auto"/>
        <w:tabs>
          <w:tab w:leader="none" w:pos="159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Registered Share Delivery Date, Issuer shall enter into an agreement (a “</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with Dealer (or any affiliate of Dealer designated by Dealer) relating to the public sale of the Registered Securities and substantially similar to underwriting agreements customary for underwritten offerings of equity securities for companies of comparable size, maturity and line of business, in form and substance reasonably satisfactory to Dealer (or such affiliate), which Transfer Agreement shall (without limiting the foregoing) contain provisions substantially similar to those contained in such underwriting agreements relating to:</w:t>
      </w:r>
    </w:p>
    <w:p>
      <w:pPr>
        <w:spacing w:after="0" w:line="184" w:lineRule="exact"/>
        <w:rPr>
          <w:sz w:val="20"/>
          <w:szCs w:val="20"/>
          <w:color w:val="auto"/>
        </w:rPr>
      </w:pPr>
    </w:p>
    <w:p>
      <w:pPr>
        <w:ind w:left="1732" w:hanging="435"/>
        <w:spacing w:after="0"/>
        <w:tabs>
          <w:tab w:leader="none" w:pos="17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and contribution in connection with the liability of, Dealer and its affiliates,</w:t>
      </w:r>
    </w:p>
    <w:p>
      <w:pPr>
        <w:spacing w:after="0" w:line="225" w:lineRule="exact"/>
        <w:rPr>
          <w:rFonts w:ascii="Times New Roman" w:cs="Times New Roman" w:eastAsia="Times New Roman" w:hAnsi="Times New Roman"/>
          <w:sz w:val="18"/>
          <w:szCs w:val="18"/>
          <w:color w:val="auto"/>
        </w:rPr>
      </w:pPr>
    </w:p>
    <w:p>
      <w:pPr>
        <w:jc w:val="both"/>
        <w:ind w:left="652" w:firstLine="645"/>
        <w:spacing w:after="0" w:line="266" w:lineRule="auto"/>
        <w:tabs>
          <w:tab w:leader="none" w:pos="18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to Dealer (or such affiliate) of customary letters and customary opinions (including, without limitation, accountants’ comfort letters, opinions relating to the due authorization, valid issuance and fully paid and non-assessable nature of the Registered Securities and letters of counsel relating to the lack of material misstatements and omissions in the Registration Statement, and the Prospectus); and</w:t>
      </w:r>
    </w:p>
    <w:p>
      <w:pPr>
        <w:spacing w:after="0" w:line="176" w:lineRule="exact"/>
        <w:rPr>
          <w:rFonts w:ascii="Times New Roman" w:cs="Times New Roman" w:eastAsia="Times New Roman" w:hAnsi="Times New Roman"/>
          <w:sz w:val="18"/>
          <w:szCs w:val="18"/>
          <w:color w:val="auto"/>
        </w:rPr>
      </w:pPr>
    </w:p>
    <w:p>
      <w:pPr>
        <w:ind w:left="652" w:firstLine="645"/>
        <w:spacing w:after="0" w:line="282" w:lineRule="auto"/>
        <w:tabs>
          <w:tab w:leader="none" w:pos="17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Issuer of all fees and expenses in connection with such resale of the Registered Securities, including all registration costs and all reasonable fees and expenses of counsel for Dealer documented in writing (or such affiliate).</w:t>
      </w:r>
    </w:p>
    <w:p>
      <w:pPr>
        <w:spacing w:after="0" w:line="158" w:lineRule="exact"/>
        <w:rPr>
          <w:sz w:val="20"/>
          <w:szCs w:val="20"/>
          <w:color w:val="auto"/>
        </w:rPr>
      </w:pPr>
    </w:p>
    <w:p>
      <w:pPr>
        <w:jc w:val="both"/>
        <w:ind w:left="-8" w:firstLine="1305"/>
        <w:spacing w:after="0" w:line="268" w:lineRule="auto"/>
        <w:tabs>
          <w:tab w:leader="none" w:pos="16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Registered Share Delivery Date, a notional balance (the “</w:t>
      </w:r>
      <w:r>
        <w:rPr>
          <w:rFonts w:ascii="Times New Roman" w:cs="Times New Roman" w:eastAsia="Times New Roman" w:hAnsi="Times New Roman"/>
          <w:sz w:val="18"/>
          <w:szCs w:val="18"/>
          <w:b w:val="1"/>
          <w:bCs w:val="1"/>
          <w:color w:val="auto"/>
        </w:rPr>
        <w:t>Early Settlement Balance</w:t>
      </w:r>
      <w:r>
        <w:rPr>
          <w:rFonts w:ascii="Times New Roman" w:cs="Times New Roman" w:eastAsia="Times New Roman" w:hAnsi="Times New Roman"/>
          <w:sz w:val="18"/>
          <w:szCs w:val="18"/>
          <w:color w:val="auto"/>
        </w:rPr>
        <w:t>”) shall be established with an initial balance equal to the amount of the Early Settlement Payment. Following the delivery of Early Settlement Shares or any Make-Whole Shares, Dealer shall sell all such Early Settlement Shares or Make-Whole Shares in a commercially reasonable manner.</w:t>
      </w:r>
    </w:p>
    <w:p>
      <w:pPr>
        <w:spacing w:after="0" w:line="174" w:lineRule="exact"/>
        <w:rPr>
          <w:rFonts w:ascii="Times New Roman" w:cs="Times New Roman" w:eastAsia="Times New Roman" w:hAnsi="Times New Roman"/>
          <w:sz w:val="18"/>
          <w:szCs w:val="18"/>
          <w:color w:val="auto"/>
        </w:rPr>
      </w:pPr>
    </w:p>
    <w:p>
      <w:pPr>
        <w:ind w:left="1692" w:hanging="395"/>
        <w:spacing w:after="0"/>
        <w:tabs>
          <w:tab w:leader="none" w:pos="16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each day on which sales have been made pursuant to paragraph 8(a)(vii) above, the Early Settlement Balance shall be</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by an amount equal to the net proceeds to be received by Dealer upon settlement of such sales, and (B) increased by an amount (as reasonably determined by the Calculation Agent) equal to Dealer’s funding cost with respect to the Early Settlement Balance as of the close of business on the day one Settlement Cycle prior to such day.</w:t>
      </w:r>
    </w:p>
    <w:p>
      <w:pPr>
        <w:spacing w:after="0" w:line="186" w:lineRule="exact"/>
        <w:rPr>
          <w:rFonts w:ascii="Times New Roman" w:cs="Times New Roman" w:eastAsia="Times New Roman" w:hAnsi="Times New Roman"/>
          <w:sz w:val="18"/>
          <w:szCs w:val="18"/>
          <w:color w:val="auto"/>
        </w:rPr>
      </w:pPr>
    </w:p>
    <w:p>
      <w:pPr>
        <w:jc w:val="both"/>
        <w:ind w:left="-8" w:firstLine="1305"/>
        <w:spacing w:after="0" w:line="266" w:lineRule="auto"/>
        <w:tabs>
          <w:tab w:leader="none" w:pos="15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the Settlement Balance has been reduced to zero but not all of the Early Settlement Shares have been sold, no additional Early Settlement Shares shall be sold and Dealer shall promptly deliver to Issuer (A) any remaining Early Settlement Shares and (B) if the Early Settlement Balance has been reduced to an amount less than zero, an amount in cash equal to the absolute value of the then-current Early Settlement Balance.</w:t>
      </w:r>
    </w:p>
    <w:p>
      <w:pPr>
        <w:sectPr>
          <w:pgSz w:w="11900" w:h="16838" w:orient="portrait"/>
          <w:cols w:equalWidth="0" w:num="1">
            <w:col w:w="11412"/>
          </w:cols>
          <w:pgMar w:left="248" w:top="333" w:right="239" w:bottom="1440" w:gutter="0" w:footer="0" w:header="0"/>
        </w:sectPr>
      </w:pPr>
    </w:p>
    <w:bookmarkStart w:id="67" w:name="page68"/>
    <w:bookmarkEnd w:id="67"/>
    <w:p>
      <w:pPr>
        <w:ind w:left="3900"/>
        <w:spacing w:after="0"/>
        <w:rPr>
          <w:sz w:val="20"/>
          <w:szCs w:val="20"/>
          <w:color w:val="auto"/>
        </w:rPr>
      </w:pPr>
      <w:r>
        <w:rPr>
          <w:rFonts w:ascii="Times New Roman" w:cs="Times New Roman" w:eastAsia="Times New Roman" w:hAnsi="Times New Roman"/>
          <w:sz w:val="14"/>
          <w:szCs w:val="14"/>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305"/>
        <w:spacing w:after="0" w:line="261" w:lineRule="auto"/>
        <w:tabs>
          <w:tab w:leader="none" w:pos="15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all of the Early Settlement Shares have been sold and the Settlement Balance has not been reduced to zero, Issuer shall, at its election, either pay the remaining Early Settlement Balance to Dealer in cash or promptly deliver to Dealer an additional number of Shares (“</w:t>
      </w:r>
      <w:r>
        <w:rPr>
          <w:rFonts w:ascii="Times New Roman" w:cs="Times New Roman" w:eastAsia="Times New Roman" w:hAnsi="Times New Roman"/>
          <w:sz w:val="18"/>
          <w:szCs w:val="18"/>
          <w:b w:val="1"/>
          <w:bCs w:val="1"/>
          <w:color w:val="auto"/>
        </w:rPr>
        <w:t>Make-Whole Shares</w:t>
      </w:r>
      <w:r>
        <w:rPr>
          <w:rFonts w:ascii="Times New Roman" w:cs="Times New Roman" w:eastAsia="Times New Roman" w:hAnsi="Times New Roman"/>
          <w:sz w:val="18"/>
          <w:szCs w:val="18"/>
          <w:color w:val="auto"/>
        </w:rPr>
        <w:t>”) equal to (A) the Settlement Balance as of such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a price per Share as reasonably determined by the Calculation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clause (x) shall be applied successively until the Settlement Balance is reduced to zero.</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number of Shares covered by the Registration Statement is less than the number of Registered Securities required to be delivered pursuant to this Section 8(a), Issuer shall, at the request of Dealer, file additional registration statement(s) to register the sale of all Registered Securities required to be delivered to Dealer.</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8(b) shall apply to any then-current Early Settlement Balance if (i) on any given day, Issuer cannot satisfy any of the conditions set forth in this Section 8(a) or (ii) for a period of at least 10 consecutive Exchange Business Days, Dealer has determined that it is inadvisable to effect sales of Registered Securities, unless in either case Issuer pays such then-current Early Settlement Balance to Dealer in cash pursuant to the Registration Statement.</w:t>
      </w:r>
    </w:p>
    <w:p>
      <w:pPr>
        <w:spacing w:after="0" w:line="18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Issuer timely elects to deliver Early Settlement Shares and Make-Whole Shares by means of a private placement, the following provisions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53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Early Settlement Shares and Make-Whole Shares shall be delivered to Dealer (or any affiliate of Dealer designated by Dealer) pursuant to the exemption from the registration requirements of the Securities Act provided by Section 4(2) thereof.</w:t>
      </w:r>
    </w:p>
    <w:p>
      <w:pPr>
        <w:spacing w:after="0" w:line="161"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6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shall afford Dealer and any potential purchaser of any such Shares from Dealer (or any affiliate of Dealer designated by Dealer) identified by Dealer a commercially reasonable opportunity to conduct a due diligence investigation with respect to Issuer customary in scope for private placements of equity securities for companies of comparable size, maturity and line of business (including, without limitation, the right to have made available to them for inspection at times reasonably acceptable to Issuer any financial and other records, pertinent corporate documents and other information reasonably requested by them in connection with underwritten offerings of this type), subject to any such potential purchasers entering into a non-disclosure agreement with Issuer in connection with such due diligence.</w:t>
      </w:r>
    </w:p>
    <w:p>
      <w:pPr>
        <w:spacing w:after="0" w:line="187"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1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shall enter into an agreement (a “Private Placement Agreement”) with Dealer (or any affiliate of Dealer designated by Dealer) in connection with the private placement of such Shares by Issuer to Dealer (or any such affiliate) and the private resale of such Shares by Dealer (or any such affiliate), substantially similar to private placement purchase agreements customary for private placements of equity securities for companies of comparable size, maturity and line of business, in form and substance commercially reasonably satisfactory to Dealer and Issuer,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shall provide for the payment by Issuer of all fees and expenses in connection with such resale (which fees and expenses shall be payable in cash or unregistered Shares), including all reasonable fees and expenses of one counsel for Dealer but not including any underwriter or broker discounts and commissions, and shall contain representations, warranties and agreements of Issuer and Dealer reasonably necessary or advisable to establish and maintain the availability of an exemption from the registration requirements of the Securities Act for such resales.</w:t>
      </w:r>
    </w:p>
    <w:p>
      <w:pPr>
        <w:spacing w:after="0" w:line="18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0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shall not take or cause to be taken any action that would make unavailable either (A) the exemption set forth in Section 4(2) of the Securities Act for the sale of any Early Settlement Shares or Make-Whole Shares by Issuer to Dealer or (B) an exemption from the registration requirements of the Securities Act reasonably acceptable to Dealer for resales of Early Settlement Shares and Make-Whole Shares by Dealer.</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5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requested by Dealer, Issuer shall deliver a number of Early Settlement Shares equal to the quotient of (A) the amount of the Early Settlement Payment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a per Share value, determined</w:t>
      </w:r>
    </w:p>
    <w:p>
      <w:pPr>
        <w:sectPr>
          <w:pgSz w:w="11900" w:h="16838" w:orient="portrait"/>
          <w:cols w:equalWidth="0" w:num="1">
            <w:col w:w="11420"/>
          </w:cols>
          <w:pgMar w:left="240" w:top="333" w:right="239" w:bottom="1440" w:gutter="0" w:footer="0" w:header="0"/>
        </w:sectPr>
      </w:pPr>
    </w:p>
    <w:bookmarkStart w:id="68" w:name="page69"/>
    <w:bookmarkEnd w:id="68"/>
    <w:p>
      <w:pPr>
        <w:ind w:left="3900"/>
        <w:spacing w:after="0"/>
        <w:rPr>
          <w:sz w:val="20"/>
          <w:szCs w:val="20"/>
          <w:color w:val="auto"/>
        </w:rPr>
      </w:pPr>
      <w:r>
        <w:rPr>
          <w:rFonts w:ascii="Times New Roman" w:cs="Times New Roman" w:eastAsia="Times New Roman" w:hAnsi="Times New Roman"/>
          <w:sz w:val="14"/>
          <w:szCs w:val="14"/>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Dealer in a commercially reasonable manner, which value shall take into account transfer restrictions applicable to such Shares and may be based on indicative bids from institutional “accredited investors” (as defined in Rule 501 under the Securities Act), and the provisions of Section 8(a)(vii) through (x) shall apply to the Early Settlement Shares delivered pursuant to this Section 8(b)(v). For purposes of applying the foregoing, the Registered Share Delivery Date referred to in Section 8(a)(vii) shall be the date on which Issuer delivers the Early Settlement Shares.</w:t>
      </w:r>
    </w:p>
    <w:p>
      <w:pPr>
        <w:spacing w:after="0" w:line="180" w:lineRule="exact"/>
        <w:rPr>
          <w:sz w:val="20"/>
          <w:szCs w:val="20"/>
          <w:color w:val="auto"/>
        </w:rPr>
      </w:pPr>
    </w:p>
    <w:p>
      <w:pPr>
        <w:jc w:val="both"/>
        <w:ind w:firstLine="656"/>
        <w:spacing w:after="0" w:line="266" w:lineRule="auto"/>
        <w:tabs>
          <w:tab w:leader="none" w:pos="89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Issuer elects to deliver Early Settlement Shares to settle its obligation to make an Early Settlement Payment, then, if necessary, Issuer shall use its commercially reasonable efforts to cause the number of authorized but unissued Shares of Common Stock to be increased to an amount sufficient to permit Issuer to fulfill its obligations under Sections 8(a) and/or 8(b) above.</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for Merger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w:t>
      </w:r>
    </w:p>
    <w:p>
      <w:pPr>
        <w:spacing w:after="0" w:line="225" w:lineRule="exact"/>
        <w:rPr>
          <w:sz w:val="20"/>
          <w:szCs w:val="20"/>
          <w:color w:val="auto"/>
        </w:rPr>
      </w:pPr>
    </w:p>
    <w:p>
      <w:pPr>
        <w:ind w:left="900" w:hanging="244"/>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agrees that:</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0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will use its commercially reasonable efforts such that Issuer will not during the term of the Transaction make, or, to the extent within its control, permit to be made, any public announcement (as defined in Rule 165(f) under the Securities Act) of any Merger Transaction or potential Merger Transaction unless such public announcement is made prior to the open or after the close of the regular trading session on the Exchange for the Shares.</w:t>
      </w:r>
    </w:p>
    <w:p>
      <w:pPr>
        <w:spacing w:after="0" w:line="180" w:lineRule="exact"/>
        <w:rPr>
          <w:rFonts w:ascii="Times New Roman" w:cs="Times New Roman" w:eastAsia="Times New Roman" w:hAnsi="Times New Roman"/>
          <w:sz w:val="18"/>
          <w:szCs w:val="18"/>
          <w:color w:val="auto"/>
        </w:rPr>
      </w:pPr>
    </w:p>
    <w:p>
      <w:pPr>
        <w:jc w:val="both"/>
        <w:ind w:firstLine="1305"/>
        <w:spacing w:after="0" w:line="253" w:lineRule="auto"/>
        <w:tabs>
          <w:tab w:leader="none" w:pos="166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announcement of a potential Merger Transaction occurs during the term of the Transaction and Dealer has not provided notice to Issuer as promptly as reasonably practicable following such announcement that Dealer will cause the Transaction to be cancelled or terminated in whole pursuant to “Extraordinary Events” in Section 2 above, then as soon as practicable following such notice from Dealer (but in any event prior to the next opening of the regular trading session on the Exchange), Issuer shall provide Dealer with written notice specifying (x) Issuer’s average daily “Rule 10b-18 purchases” (as defined in Rule 10b-18) during the three full calendar months immediately preceding the Announcement Date that were not effected through Dealer or its affiliates and (y) the number of Shares purchased pursuant to the block purchase proviso in Rule 10b-18(b)(4) under the Exchange Act for the three full calendar months preceding the Announcement Date. Such written notice shall be deemed to be a certification by Issuer to Dealer that such information is true and correct. Issuer understands that Dealer will use this information in calculating the trading volume for purposes of Rule 10b-18. In addition, Issuer shall promptly notify Dealer of the earlier to occur of the completion of such transaction and the completion of the vote by target shareholders. Issuer acknowledges that any such public announcement may trigger the provision set forth in Section 11 below. Accordingly, Issuer acknowledges that its actions in relation to any such announcement or transaction must comply with the standards set forth in Section 13(b) below.</w:t>
      </w:r>
    </w:p>
    <w:p>
      <w:pPr>
        <w:spacing w:after="0" w:line="192"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public announcement of a Merger Transaction, Dealer may in a good faith and commercially reasonable manner elect either to (i) apply the provisions of Section 11 below or (ii) treat the occurrence of such announcement as an Additional Termination Event with respect to which the Transaction shall be the sole Affected Transaction, Issuer shall be the sole Affected Party and Dealer shall be the party entitled to designate an Early Termination Date pursuant to Section 6(b) of the Agreement (a “</w:t>
      </w:r>
      <w:r>
        <w:rPr>
          <w:rFonts w:ascii="Times New Roman" w:cs="Times New Roman" w:eastAsia="Times New Roman" w:hAnsi="Times New Roman"/>
          <w:sz w:val="18"/>
          <w:szCs w:val="18"/>
          <w:b w:val="1"/>
          <w:bCs w:val="1"/>
          <w:color w:val="auto"/>
        </w:rPr>
        <w:t>Merger Termination Event</w:t>
      </w:r>
      <w:r>
        <w:rPr>
          <w:rFonts w:ascii="Times New Roman" w:cs="Times New Roman" w:eastAsia="Times New Roman" w:hAnsi="Times New Roman"/>
          <w:sz w:val="18"/>
          <w:szCs w:val="18"/>
          <w:color w:val="auto"/>
        </w:rPr>
        <w:t>”). In the event that the Dealer elects to treat the Merger Transaction as a Merger Termination Event under this Section 9(b), then neither the provisions of “Extraordinary Events: Consequences of Merger Events” set forth above in this Confirmation nor the provisions of Section 10 below shall apply.</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of Issuer as contemplated by Rule 10b-18(a)(13)(iv) under the Exchange Act.</w:t>
      </w:r>
    </w:p>
    <w:p>
      <w:pPr>
        <w:sectPr>
          <w:pgSz w:w="11900" w:h="16838" w:orient="portrait"/>
          <w:cols w:equalWidth="0" w:num="1">
            <w:col w:w="11420"/>
          </w:cols>
          <w:pgMar w:left="240" w:top="333" w:right="239" w:bottom="1440" w:gutter="0" w:footer="0" w:header="0"/>
        </w:sectPr>
      </w:pPr>
    </w:p>
    <w:bookmarkStart w:id="69" w:name="page70"/>
    <w:bookmarkEnd w:id="69"/>
    <w:p>
      <w:pPr>
        <w:ind w:left="3900"/>
        <w:spacing w:after="0"/>
        <w:rPr>
          <w:sz w:val="20"/>
          <w:szCs w:val="20"/>
          <w:color w:val="auto"/>
        </w:rPr>
      </w:pPr>
      <w:r>
        <w:rPr>
          <w:rFonts w:ascii="Times New Roman" w:cs="Times New Roman" w:eastAsia="Times New Roman" w:hAnsi="Times New Roman"/>
          <w:sz w:val="14"/>
          <w:szCs w:val="14"/>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for Acquisition Transaction Announcements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9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Transaction Announcement occurs on or prior to the final Valuation Date, then the Forward Price shall be determined as if the words “minus (ii) the Discount” were deleted from the definition thereof. If an Acquisition Transaction Announcement occurs after the Trade Date but prior to the Lock-Out Date, the Lock-Out Date shall be deemed to be the date of such Acquisition Transaction Announcement.</w:t>
      </w:r>
    </w:p>
    <w:p>
      <w:pPr>
        <w:spacing w:after="0" w:line="172"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 Announcement</w:t>
      </w:r>
      <w:r>
        <w:rPr>
          <w:rFonts w:ascii="Times New Roman" w:cs="Times New Roman" w:eastAsia="Times New Roman" w:hAnsi="Times New Roman"/>
          <w:sz w:val="18"/>
          <w:szCs w:val="18"/>
          <w:color w:val="auto"/>
        </w:rPr>
        <w:t>” means (i) the announcement of an Acquisition Transaction, (ii) an announcement that Issuer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or (iv) any announcement subsequent to an Acquisition Transaction Announcement relating to a material amendment, a material extension, withdrawal or other material change to the subject matter of the previous Acquisition Transaction Announcement. For the avoidance of doubt, the term “announcement” as used in the definition of Acquisition Transaction Announcement refers to any public announcement whether made by Issuer or by a bona fide third party that is reasonably likely to be a party to the Acquisition Transaction.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“25%” and to “50%” by “75%” and without reference to the clause beginning immediately following the definition of Reverse Merger therein to the end of such definition), Tender Offer or Merger Transaction or any other transaction involving the merger of Issuer with or into any third party, (ii) the sale or transfer of all or substantially all of the assets or liabilities of Issuer, (iii) a recapitalization, reclassification, binding share exchange or other similar transaction or (iv) any acquisition, lease, exchange, transfer, disposition (including by way of spin-off or distribution) of assets or liabilities (including any capital stock or other ownership interests in subsidiaries) or other similar event by Issuer or any of its subsidiaries where the aggregate consideration transferable or receivable by or to Issuer or its subsidiaries exceeds 25% of the market capitalization of Issuer.</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Dealer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Dealer determines, in a good faith and commercially reasonable manner that, based on advice of legal counsel, it is appropriate with regard to any legal, regulatory or self-regulatory requirements or related policies and procedures (whether or not such requirements, policies or procedures are imposed by law or have been voluntarily adopted by Dealer, and including, without limitation, Rule 10b-18, Rule 10b-5, Regulations 13D-G and Regulations 14 D-E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requirements, policies and procedures relate to legal and regulatory issues and are generally applicable in similar situations and applied in a consistent manner in similar transactions), for Dealer to refrain from purchasing Shares or engaging in other market activity or to purchase fewer than the number of Shares or to engage in fewer or smaller other market transactions Dealer would otherwise purchase or engage in on any Trading Day on or prior to the last day of the Calculation Period, then Dealer may, in its reasonable discretion, elect that a Market Disruption shall be deemed to have occurred on such Trading Day. Dealer shall notify Issuer upon the exercise of Dealer’s rights pursuant to this Section 11 and the Trading Days affected by it and shall subsequently notify Issuer on the day Dealer believes that the circumstances giving rise to such exercise have changed.</w:t>
      </w:r>
    </w:p>
    <w:p>
      <w:pPr>
        <w:spacing w:after="0" w:line="189" w:lineRule="exact"/>
        <w:rPr>
          <w:sz w:val="20"/>
          <w:szCs w:val="20"/>
          <w:color w:val="auto"/>
        </w:rPr>
      </w:pPr>
    </w:p>
    <w:p>
      <w:pPr>
        <w:ind w:left="280" w:hanging="272"/>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covenants and agrees that:</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151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end of the Potential Purchase Period (as defined below), neither it nor any of its affiliated purchasers (as defined in Rule 10b-18 under the Exchange Act) shall directly or indirectly (which shall be deemed to include the writing or purchase of any cash-settled or other derivative or structured Share repurchase transaction with a hedging period, calculation period or settlement valuation period or similar period that overlaps with the Transaction) purchase, offer to purchase, place any bid or limit order relating to a purchase of or commence any tender offer relating to Shares (or any security convertible into or exchangeable for Shares) without the prior</w:t>
      </w:r>
    </w:p>
    <w:p>
      <w:pPr>
        <w:sectPr>
          <w:pgSz w:w="11900" w:h="16838" w:orient="portrait"/>
          <w:cols w:equalWidth="0" w:num="1">
            <w:col w:w="11420"/>
          </w:cols>
          <w:pgMar w:left="240" w:top="333" w:right="239" w:bottom="1440" w:gutter="0" w:footer="0" w:header="0"/>
        </w:sectPr>
      </w:pPr>
    </w:p>
    <w:bookmarkStart w:id="70" w:name="page71"/>
    <w:bookmarkEnd w:id="70"/>
    <w:p>
      <w:pPr>
        <w:ind w:left="3900"/>
        <w:spacing w:after="0"/>
        <w:rPr>
          <w:sz w:val="20"/>
          <w:szCs w:val="20"/>
          <w:color w:val="auto"/>
        </w:rPr>
      </w:pPr>
      <w:r>
        <w:rPr>
          <w:rFonts w:ascii="Times New Roman" w:cs="Times New Roman" w:eastAsia="Times New Roman" w:hAnsi="Times New Roman"/>
          <w:sz w:val="14"/>
          <w:szCs w:val="14"/>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written approval of Dealer or take any other action that would cause the purchase by Dealer of any Shares in connection with this Agreement not to qualify for the safe harbor provided in Rule 10b-18 under the Exchange Act (assuming for the purposes of this paragraph that such safe harbor were otherwise available for such purchases);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12(a)(i) shall not (i) limit the Issuer’s ability, pursuant to its employee incentive plan or dividend reinvestment program to re-acquire Shares in connection with the related equity transactions, (ii) limit the Issuer’s ability to withhold shares to cover tax liabilities associated with such equity transactions or (iii) limit the Issuer’s ability to grant stock and options to “affiliated partners” (as defined in Rule 10b-</w:t>
      </w:r>
    </w:p>
    <w:p>
      <w:pPr>
        <w:spacing w:after="0" w:line="3" w:lineRule="exact"/>
        <w:rPr>
          <w:sz w:val="20"/>
          <w:szCs w:val="20"/>
          <w:color w:val="auto"/>
        </w:rPr>
      </w:pPr>
    </w:p>
    <w:p>
      <w:pPr>
        <w:jc w:val="both"/>
        <w:ind w:firstLine="8"/>
        <w:spacing w:after="0" w:line="252" w:lineRule="auto"/>
        <w:tabs>
          <w:tab w:leader="none" w:pos="2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ability of such affiliated purchasers to acquire such stock or options, provided that in connection with any such purchase Issuer will be deemed to represent to Dealer that such purchase does not constitute a “Rule 10b-18 Purchase” (as defined in Rule 10b-18) (any such incentive or compensatory plan, program or policy of Counterparty, a “Compensatory Plan”). “</w:t>
      </w:r>
      <w:r>
        <w:rPr>
          <w:rFonts w:ascii="Times New Roman" w:cs="Times New Roman" w:eastAsia="Times New Roman" w:hAnsi="Times New Roman"/>
          <w:sz w:val="18"/>
          <w:szCs w:val="18"/>
          <w:b w:val="1"/>
          <w:bCs w:val="1"/>
          <w:color w:val="auto"/>
        </w:rPr>
        <w:t>Potential Purchase Period</w:t>
      </w:r>
      <w:r>
        <w:rPr>
          <w:rFonts w:ascii="Times New Roman" w:cs="Times New Roman" w:eastAsia="Times New Roman" w:hAnsi="Times New Roman"/>
          <w:sz w:val="18"/>
          <w:szCs w:val="18"/>
          <w:color w:val="auto"/>
        </w:rPr>
        <w:t>” means the period from, and including, the Trade Date to, and including, the latest of (i) the last day of the Calculation Period, (ii) the earlier of (A) the date ten Exchange Business Days immediately following the last day of the Calculation Period and (B) the Scheduled Valuation Date and (iii) if an Early Termination Date occurs or the Transaction is cancelled pursuant to Article 12 of the Equity Definitions, a date determined by Dealer in its commercially reasonable discretion and communicated to Issuer no later than the Exchange Business Day immediately following such date.</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56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it is not relying, and has not relied, upon Dealer or any of its representatives or advisors with respect to the legal, accounting, tax or other implications of this Agreement and that it has conducted its own analyses of the legal, accounting, tax and other implications of this Agreement, and that Dealer and its affiliates may from time to time effect transactions for their own account or the account of customers and hold positions in securities or options on securities of Issuer and that Dealer and its affiliates may continue to conduct such transactions during the term of this Agreement. Without limiting the generality of the foregoing, Issuer acknowledges that Dealer is not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(or any successor issue statements) or under FASB’s Liabilities &amp; Equity Project.</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1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 nor any affiliates shall take any action that would cause a restricted period (as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to be applicable to any purchases of Shares, or of any security for which Shares is a reference security (as defined in Regulation M), by Issuer or any affiliated purchasers (as defined in Regulation M) of Issuer during the Potential Purchase Period.</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62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make any election or take any other action in connection with the Transaction while aware of any material nonpublic information regarding Issuer or the Shares.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55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declare or pay any Extraordinary Dividend until the earlier of (i) the Scheduled Valuation Date or (ii) the date ten Exchange Business Days immediately following the Valuation Date.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Acknowledgments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hereby represents and warrants to Dealer on the date hereof and on and as of the Initial Share Delivery Date that: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25"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Issuer and its officers and directors is aware of any material nonpublic information regarding Issuer or the Shares, and is entering into the Transaction in good faith and not as part of a plan or scheme to evade the prohibitions of federal securities laws, including, without limitation, Rule 10b-5 under the Exchange Act and (B) Issuer agrees not to alter or deviate from the terms of the Agreement or enter into or alter a corresponding or hedging transaction or position with respect to the Shares (including, without limitation, with respect to any securities convertible or exchangeable into the Shares) during the term of the Agreement. Without limiting the generality of the foregoing, all reports and other documents filed by Issuer with the Securities and Exchange</w:t>
      </w:r>
    </w:p>
    <w:p>
      <w:pPr>
        <w:sectPr>
          <w:pgSz w:w="11900" w:h="16838" w:orient="portrait"/>
          <w:cols w:equalWidth="0" w:num="1">
            <w:col w:w="11420"/>
          </w:cols>
          <w:pgMar w:left="240" w:top="333" w:right="239" w:bottom="1440" w:gutter="0" w:footer="0" w:header="0"/>
        </w:sectPr>
      </w:pPr>
    </w:p>
    <w:bookmarkStart w:id="71" w:name="page72"/>
    <w:bookmarkEnd w:id="71"/>
    <w:p>
      <w:pPr>
        <w:ind w:left="3900"/>
        <w:spacing w:after="0"/>
        <w:rPr>
          <w:sz w:val="20"/>
          <w:szCs w:val="20"/>
          <w:color w:val="auto"/>
        </w:rPr>
      </w:pPr>
      <w:r>
        <w:rPr>
          <w:rFonts w:ascii="Times New Roman" w:cs="Times New Roman" w:eastAsia="Times New Roman" w:hAnsi="Times New Roman"/>
          <w:sz w:val="14"/>
          <w:szCs w:val="14"/>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transactions contemplated by this Confirmation have been authorized under Issuer’s publicly announced program to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firstLine="1305"/>
        <w:spacing w:after="0" w:line="282" w:lineRule="auto"/>
        <w:tabs>
          <w:tab w:leader="none" w:pos="16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entering into this Agreement to facilitate a distribution of the Shares (or any security convertible into or exchangeable for Shares) or in connection with a future issuance of securities.</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0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entering into this Agreement to create actual or apparent trading activity in the Shares (or any security convertible into or exchangeable for Shares) or to manipulate the price of the Shares (or any security convertible into or exchangeable for Shares) in violation of the federal securities laws.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5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purchases of Shares in Rule 10b-18 purchases of blocks pursuant to the once-a-week block exception contained in Rule 10b-18(b)(4) by or for Issuer or any of its affiliated purchasers during each of the four calendar weeks preceding the Trade Date and during the calendar week in which the Trade Date occurs (“Rule 10b-18 purchase”, “blocks” and “affiliated purchaser” each being used as defined in Rule 10b-18).</w:t>
      </w:r>
    </w:p>
    <w:p>
      <w:pPr>
        <w:spacing w:after="0" w:line="176" w:lineRule="exact"/>
        <w:rPr>
          <w:rFonts w:ascii="Times New Roman" w:cs="Times New Roman" w:eastAsia="Times New Roman" w:hAnsi="Times New Roman"/>
          <w:sz w:val="18"/>
          <w:szCs w:val="18"/>
          <w:color w:val="auto"/>
        </w:rPr>
      </w:pPr>
    </w:p>
    <w:p>
      <w:pPr>
        <w:jc w:val="both"/>
        <w:ind w:firstLine="1305"/>
        <w:spacing w:after="0" w:line="253" w:lineRule="auto"/>
        <w:tabs>
          <w:tab w:leader="none" w:pos="16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as of the date hereof, and after giving effect to the transactions contemplated hereby will be, Solvent. As used in this paragraph, the term “Solvent” means, with respect to a particular date, that on such date (A) the present fair market value (or present fair saleable value) of the assets of Issuer is not less than the total amount required to pay the liabilities of Issuer on its total existing debts and liabilities (including contingent liabilities) as they become absolute and matured, (B) Issuer is able to realize upon its assets and pay its debts and other liabilities, contingent obligations and commitments as they mature and become due in the normal course of business, (C) assuming consummation of the transactions as contemplated by this Agreement, Issuer is not incurring debts or liabilities beyond its ability to pay as such debts and liabilities mature, (D) Issuer is not engaged in any business or transaction, and does not propose to engage in any business or transaction, for which its property would constitute unreasonably small capital after giving due consideration to the prevailing practice in the industry in which Issuer is engaged, (E) Issuer is not a defendant in any civil action that could reasonably be expected to result in a judgment that Issuer is or would become unable to satisfy, (F) Issuer is not “insolvent” (as such term is defined under Section 101(32) of the U.S. Bankruptcy Code (Title 11 of the United States Code) (the “Bankruptcy Code”)) and (G) Issuer would be able to purchase Shares with an aggregate purchase price equal to the Prepayment Amount in compliance with the corporate laws of the jurisdiction of its incorporation.</w:t>
      </w:r>
    </w:p>
    <w:p>
      <w:pPr>
        <w:spacing w:after="0" w:line="192" w:lineRule="exact"/>
        <w:rPr>
          <w:rFonts w:ascii="Times New Roman" w:cs="Times New Roman" w:eastAsia="Times New Roman" w:hAnsi="Times New Roman"/>
          <w:sz w:val="18"/>
          <w:szCs w:val="18"/>
          <w:color w:val="auto"/>
        </w:rPr>
      </w:pPr>
    </w:p>
    <w:p>
      <w:pPr>
        <w:ind w:firstLine="1305"/>
        <w:spacing w:after="0" w:line="282" w:lineRule="auto"/>
        <w:tabs>
          <w:tab w:leader="none" w:pos="167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0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such law, rule, regulation or regulatory order that applies (A) to the beneficial ownership of Shares under the Exchange Act or (B) solely as a result of the business, identity, place of business or jurisdiction of organization of Dealer or any such affiliate.</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acknowledges and agrees that the Initial Shares may be sold short to Issuer. Issuer further acknowledges and agrees that Dealer may purchase Shares in connection with the Transaction, which Shares may be used to cover all or a portion of such short sale or may be delivered to Issuer. Such purchases and any other market activity by Dealer will be conducted independently of Issuer by Dealer as principal for its own account. All of the actions to be taken by Dealer in connection with the Transaction shall be taken by Dealer independently and without any advance or subsequent consultation with Issuer. It is the intent of the parties that the Transaction</w:t>
      </w:r>
    </w:p>
    <w:p>
      <w:pPr>
        <w:sectPr>
          <w:pgSz w:w="11900" w:h="16838" w:orient="portrait"/>
          <w:cols w:equalWidth="0" w:num="1">
            <w:col w:w="11420"/>
          </w:cols>
          <w:pgMar w:left="240" w:top="333" w:right="239" w:bottom="1440" w:gutter="0" w:footer="0" w:header="0"/>
        </w:sectPr>
      </w:pPr>
    </w:p>
    <w:bookmarkStart w:id="72" w:name="page73"/>
    <w:bookmarkEnd w:id="72"/>
    <w:p>
      <w:pPr>
        <w:ind w:left="3900"/>
        <w:spacing w:after="0"/>
        <w:rPr>
          <w:sz w:val="20"/>
          <w:szCs w:val="20"/>
          <w:color w:val="auto"/>
        </w:rPr>
      </w:pPr>
      <w:r>
        <w:rPr>
          <w:rFonts w:ascii="Times New Roman" w:cs="Times New Roman" w:eastAsia="Times New Roman" w:hAnsi="Times New Roman"/>
          <w:sz w:val="14"/>
          <w:szCs w:val="14"/>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comply with the requirements of Rule 10b5-1(c)(1)(i)(B) of the Exchange Act, and the parties agree that this Confirmation shall be interpreted to comply with the requirements of such Rule, and Issuer shall not take any action that results in the Transaction not so complying with such requirements. Without limiting the generality of the preceding sentence, Issuer acknowledges and agrees that (A) Issuer does not have, and shall not attempt to exercise, any influence over how, when or whether Dealer effects any market transactions in connection with the Transaction and (B) neither Issuer nor its officers or employees shall, directly or indirectly, communicate any information regarding Issuer or the Shares to any employee of Dealer or its Affiliates that have been identified by Dealer to Issuer in writing as employees responsible for executing market transactions in connection with the Transaction. Issuer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or waiver shall be made at any time at which Issuer or any officer or director of Issuer is aware of any material nonpublic information regarding Issuer or the Shares.</w:t>
      </w:r>
    </w:p>
    <w:p>
      <w:pPr>
        <w:spacing w:after="0" w:line="193" w:lineRule="exact"/>
        <w:rPr>
          <w:sz w:val="20"/>
          <w:szCs w:val="20"/>
          <w:color w:val="auto"/>
        </w:rPr>
      </w:pPr>
    </w:p>
    <w:p>
      <w:pPr>
        <w:ind w:firstLine="656"/>
        <w:spacing w:after="0" w:line="282" w:lineRule="auto"/>
        <w:tabs>
          <w:tab w:leader="none" w:pos="8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Issuer and Dealer represents and warrants to the other that it is an “eligible contract participant” as defined in Section 1a(12) of the U.S. Commodity Exchange Act,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Issuer and Dealer acknowledges that the offer and sale of the Transaction to it is intended to be exempt from registration under the Securities Act by virtue of Section 4(2) thereof. Accordingly, it represents and warrants to the other party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 of Issuer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agrees, understands and acknowledges that:</w:t>
      </w:r>
    </w:p>
    <w:p>
      <w:pPr>
        <w:spacing w:after="0" w:line="252" w:lineRule="exact"/>
        <w:rPr>
          <w:rFonts w:ascii="Times New Roman" w:cs="Times New Roman" w:eastAsia="Times New Roman" w:hAnsi="Times New Roman"/>
          <w:sz w:val="18"/>
          <w:szCs w:val="18"/>
          <w:color w:val="auto"/>
        </w:rPr>
      </w:pPr>
    </w:p>
    <w:p>
      <w:pPr>
        <w:jc w:val="both"/>
        <w:ind w:firstLine="1305"/>
        <w:spacing w:after="0" w:line="313" w:lineRule="auto"/>
        <w:tabs>
          <w:tab w:leader="none" w:pos="211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(and including) the Trade Date to (and including) the Settlement Date, Dealer and its Affiliates may buy or sell Shares or other securities or buy or sell options or futures contracts or enter into swaps or other derivative transactions in order to adjust its Hedge Position with respect to the Transaction;</w:t>
      </w:r>
    </w:p>
    <w:p>
      <w:pPr>
        <w:spacing w:after="0" w:line="176" w:lineRule="exact"/>
        <w:rPr>
          <w:rFonts w:ascii="Times New Roman" w:cs="Times New Roman" w:eastAsia="Times New Roman" w:hAnsi="Times New Roman"/>
          <w:sz w:val="18"/>
          <w:szCs w:val="18"/>
          <w:color w:val="auto"/>
        </w:rPr>
      </w:pPr>
    </w:p>
    <w:p>
      <w:pPr>
        <w:ind w:firstLine="1305"/>
        <w:spacing w:after="0" w:line="329" w:lineRule="auto"/>
        <w:tabs>
          <w:tab w:leader="none" w:pos="216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also may be active in the market for the Shares or options, futures contracts, swaps or other derivative transactions relating to the Shares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jc w:val="both"/>
        <w:ind w:firstLine="1305"/>
        <w:spacing w:after="0" w:line="313" w:lineRule="auto"/>
        <w:tabs>
          <w:tab w:leader="none" w:pos="221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and in what manner any hedging or market activities in Issuer’s securities or other securities or transactions shall be conducted and shall do so in a manner that it deems appropriate to hedge its price and market risk with respect to the Transaction; and</w:t>
      </w:r>
    </w:p>
    <w:p>
      <w:pPr>
        <w:spacing w:after="0" w:line="176" w:lineRule="exact"/>
        <w:rPr>
          <w:rFonts w:ascii="Times New Roman" w:cs="Times New Roman" w:eastAsia="Times New Roman" w:hAnsi="Times New Roman"/>
          <w:sz w:val="18"/>
          <w:szCs w:val="18"/>
          <w:color w:val="auto"/>
        </w:rPr>
      </w:pPr>
    </w:p>
    <w:p>
      <w:pPr>
        <w:ind w:firstLine="1305"/>
        <w:spacing w:after="0" w:line="329" w:lineRule="auto"/>
        <w:tabs>
          <w:tab w:leader="none" w:pos="220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market activities of Dealer and its Affiliates may affect the market price and volatility of the Shares, including the 10b-18 VWAP and the Forward Price, each in a manner that may be adverse to Issuer.</w:t>
      </w:r>
    </w:p>
    <w:p>
      <w:pPr>
        <w:spacing w:after="0" w:line="13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252" w:lineRule="exact"/>
        <w:rPr>
          <w:rFonts w:ascii="Times New Roman" w:cs="Times New Roman" w:eastAsia="Times New Roman" w:hAnsi="Times New Roman"/>
          <w:sz w:val="18"/>
          <w:szCs w:val="18"/>
          <w:color w:val="auto"/>
        </w:rPr>
      </w:pPr>
    </w:p>
    <w:p>
      <w:pPr>
        <w:ind w:left="2120" w:hanging="815"/>
        <w:spacing w:after="0"/>
        <w:tabs>
          <w:tab w:leader="none" w:pos="212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“institutional account” as defined in FINRA Rule 4512(c);</w:t>
      </w:r>
    </w:p>
    <w:p>
      <w:pPr>
        <w:sectPr>
          <w:pgSz w:w="11900" w:h="16838" w:orient="portrait"/>
          <w:cols w:equalWidth="0" w:num="1">
            <w:col w:w="11420"/>
          </w:cols>
          <w:pgMar w:left="240" w:top="333" w:right="239" w:bottom="1440" w:gutter="0" w:footer="0" w:header="0"/>
        </w:sectPr>
      </w:pPr>
    </w:p>
    <w:bookmarkStart w:id="73" w:name="page74"/>
    <w:bookmarkEnd w:id="73"/>
    <w:p>
      <w:pPr>
        <w:ind w:left="3892"/>
        <w:spacing w:after="0"/>
        <w:rPr>
          <w:sz w:val="20"/>
          <w:szCs w:val="20"/>
          <w:color w:val="auto"/>
        </w:rPr>
      </w:pPr>
      <w:r>
        <w:rPr>
          <w:rFonts w:ascii="Times New Roman" w:cs="Times New Roman" w:eastAsia="Times New Roman" w:hAnsi="Times New Roman"/>
          <w:sz w:val="14"/>
          <w:szCs w:val="14"/>
          <w:color w:val="auto"/>
        </w:rPr>
        <w:t>Page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8" w:right="20" w:firstLine="1305"/>
        <w:spacing w:after="0" w:line="313" w:lineRule="auto"/>
        <w:tabs>
          <w:tab w:leader="none" w:pos="215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capable of evaluating investment risks independently, both in general and with regard to all transactions and investment strategies involving a security or securities, and will exercise independent judgment in evaluating the recommendations of Dealer or its associated persons, unless it has otherwise notified Dealer in writing; and</w:t>
      </w:r>
    </w:p>
    <w:p>
      <w:pPr>
        <w:spacing w:after="0" w:line="176" w:lineRule="exact"/>
        <w:rPr>
          <w:rFonts w:ascii="Times New Roman" w:cs="Times New Roman" w:eastAsia="Times New Roman" w:hAnsi="Times New Roman"/>
          <w:sz w:val="18"/>
          <w:szCs w:val="18"/>
          <w:color w:val="auto"/>
        </w:rPr>
      </w:pPr>
    </w:p>
    <w:p>
      <w:pPr>
        <w:ind w:left="2212" w:hanging="915"/>
        <w:spacing w:after="0"/>
        <w:tabs>
          <w:tab w:leader="none" w:pos="221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notify Dealer if any of the statements contained in clause (i) or (ii) of this Section 14(b) ceases to be true.</w:t>
      </w:r>
    </w:p>
    <w:p>
      <w:pPr>
        <w:spacing w:after="0" w:line="238"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89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agrees and acknowledges that Dealer is a “financial institution” and “financial participant” within the meaning of Sections 101(22) and 101(22A) of the Bankruptcy Code. The parties hereto further agree and acknowledge that it is the intent of the parties that (A)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Dealer is entitled to the protections afforded by, among other sections, Sections 362(b)(6), 362(b)(17), 362(o), 546(e), 555 and 561 of the Bankruptcy Code.</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Issuer hereby agree and acknowledge that Dealer has authorized Issuer to disclose the Transaction to any and all persons, and there are no express or implied agreements, arrangements or understandings to the contrary, and authorizes Issuer to use any information that Issuer receives or has received with respect to the Transaction in any manner.</w:t>
      </w:r>
    </w:p>
    <w:p>
      <w:pPr>
        <w:spacing w:after="0" w:line="172"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91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Issuer becomes the subject of proceedings (“</w:t>
      </w:r>
      <w:r>
        <w:rPr>
          <w:rFonts w:ascii="Times New Roman" w:cs="Times New Roman" w:eastAsia="Times New Roman" w:hAnsi="Times New Roman"/>
          <w:sz w:val="18"/>
          <w:szCs w:val="18"/>
          <w:b w:val="1"/>
          <w:bCs w:val="1"/>
          <w:color w:val="auto"/>
        </w:rPr>
        <w:t>Bankruptcy Proceedings</w:t>
      </w:r>
      <w:r>
        <w:rPr>
          <w:rFonts w:ascii="Times New Roman" w:cs="Times New Roman" w:eastAsia="Times New Roman" w:hAnsi="Times New Roman"/>
          <w:sz w:val="18"/>
          <w:szCs w:val="18"/>
          <w:color w:val="auto"/>
        </w:rPr>
        <w:t>”) under the Bankruptcy Code or any other applicable bankruptcy or insolvency statute, any rights or claims of Dealer hereunder in respect of the Transaction shall rank for all purposes no higher than, but on a parity with, the rights or claims of holders of Shares, and Dealer hereby agrees that its rights and claims hereunder shall be subordinated to those of all parties with claims or rights against Issuer (other than common stockholders) to the extent necessary to assure such ranking. Without limiting the generality of the foregoing, after the commencement of Bankruptcy Proceedings, the claims of Dealer hereunder shall for all purposes have rights equivalent to the rights of a holder of a percentage of the Shares equal to the aggregate amount of such claims (the “</w:t>
      </w:r>
      <w:r>
        <w:rPr>
          <w:rFonts w:ascii="Times New Roman" w:cs="Times New Roman" w:eastAsia="Times New Roman" w:hAnsi="Times New Roman"/>
          <w:sz w:val="18"/>
          <w:szCs w:val="18"/>
          <w:b w:val="1"/>
          <w:bCs w:val="1"/>
          <w:color w:val="auto"/>
        </w:rPr>
        <w:t>Claim Amount</w:t>
      </w:r>
      <w:r>
        <w:rPr>
          <w:rFonts w:ascii="Times New Roman" w:cs="Times New Roman" w:eastAsia="Times New Roman" w:hAnsi="Times New Roman"/>
          <w:sz w:val="18"/>
          <w:szCs w:val="18"/>
          <w:color w:val="auto"/>
        </w:rPr>
        <w:t>”) taken as a percentage of the sum of (i) the Claim Amount and (ii) the aggregate fair market value of all outstanding Shares on the record date for distributions made to the holders of such Shares in the related Bankruptcy Proceedings. Notwithstanding any right it might otherwise have to assert a higher priority claim in any such Bankruptcy Proceedings, Dealer shall be entitled to receive a distribution solely to the extent and only in the form that a holder of such percentage of the Shares would be entitled to receive in such Bankruptcy Proceedings, and, from and after the commencement of such Bankruptcy Proceedings, Dealer expressly waives (i) any other rights or distributions to which it might otherwise be entitled in such Bankruptcy Proceedings in respect of its rights and claims hereunder and (ii) any rights of setoff it might otherwise be entitled to assert in respect of such rights and claims.</w:t>
      </w:r>
    </w:p>
    <w:p>
      <w:pPr>
        <w:spacing w:after="0" w:line="194"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Confirmation or any other agreement between the parties to the contrary, neither the obligations of Issuer nor the obligations of Dealer hereunder are secured by any collateral, security interest, pledge or lien.</w:t>
      </w:r>
    </w:p>
    <w:p>
      <w:pPr>
        <w:spacing w:after="0" w:line="161" w:lineRule="exact"/>
        <w:rPr>
          <w:rFonts w:ascii="Times New Roman" w:cs="Times New Roman" w:eastAsia="Times New Roman" w:hAnsi="Times New Roman"/>
          <w:sz w:val="18"/>
          <w:szCs w:val="18"/>
          <w:color w:val="auto"/>
        </w:rPr>
      </w:pPr>
    </w:p>
    <w:p>
      <w:pPr>
        <w:ind w:left="-8" w:firstLine="656"/>
        <w:spacing w:after="0" w:line="282" w:lineRule="auto"/>
        <w:tabs>
          <w:tab w:leader="none" w:pos="88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waives any and all rights it may have to set off obligations arising under the Agreement and the Transaction against other obligations between the parties, whether arising under any other agreement, applicable law or otherwise.</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Dealer may, by prior notice to Issuer,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w:t>
      </w:r>
    </w:p>
    <w:p>
      <w:pPr>
        <w:sectPr>
          <w:pgSz w:w="11900" w:h="16838" w:orient="portrait"/>
          <w:cols w:equalWidth="0" w:num="1">
            <w:col w:w="11412"/>
          </w:cols>
          <w:pgMar w:left="248" w:top="333" w:right="239" w:bottom="1440" w:gutter="0" w:footer="0" w:header="0"/>
        </w:sectPr>
      </w:pPr>
    </w:p>
    <w:bookmarkStart w:id="74" w:name="page75"/>
    <w:bookmarkEnd w:id="74"/>
    <w:p>
      <w:pPr>
        <w:ind w:left="3900"/>
        <w:spacing w:after="0"/>
        <w:rPr>
          <w:sz w:val="20"/>
          <w:szCs w:val="20"/>
          <w:color w:val="auto"/>
        </w:rPr>
      </w:pPr>
      <w:r>
        <w:rPr>
          <w:rFonts w:ascii="Times New Roman" w:cs="Times New Roman" w:eastAsia="Times New Roman" w:hAnsi="Times New Roman"/>
          <w:sz w:val="14"/>
          <w:szCs w:val="14"/>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Original Delivery Date, so long as the aggregate number of Shares and other securities so delivered on or prior to such Original Delivery Date is equal to the number required to be delivered on such Original Delivery Date.</w:t>
      </w:r>
    </w:p>
    <w:p>
      <w:pPr>
        <w:spacing w:after="0" w:line="162" w:lineRule="exact"/>
        <w:rPr>
          <w:sz w:val="20"/>
          <w:szCs w:val="20"/>
          <w:color w:val="auto"/>
        </w:rPr>
      </w:pPr>
    </w:p>
    <w:p>
      <w:pPr>
        <w:jc w:val="both"/>
        <w:ind w:firstLine="656"/>
        <w:spacing w:after="0" w:line="261" w:lineRule="auto"/>
        <w:tabs>
          <w:tab w:leader="none" w:pos="9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constitute an Additional Termination Event with respect to which the Transaction is the sole Affected Transaction and Issuer is the sole Affected Party and Dealer shall be the party entitled to designate an Early Termination Date pursuant to Section 6(b) of the Agreement if, at any time on or prior to the Valuation Date, the price per Share on the Exchange, as determined by the Calculation Agent, is at or below the Threshold Price (as specified in Schedule I).</w:t>
      </w:r>
    </w:p>
    <w:p>
      <w:pPr>
        <w:spacing w:after="0" w:line="1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Confirmation or the Agreement to the contrary, in no event shall Issuer be required to deliver to Dealer in the aggregate a number of Shares that exceeds the Share Cap as of the date of delivery (as specified in Schedule I).</w:t>
      </w:r>
    </w:p>
    <w:p>
      <w:pPr>
        <w:spacing w:after="0" w:line="162"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Dealer may transfer or assign its rights and obligations hereunder and under the Agreement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in whole or in part, to any of its Affiliates that have a credit rating that is not lower than the credit rating of Dealer immediately prior to the proposed time of such Transfer (or whose obligations are guaranteed by an entity of equivalent credit quality) without the consent of Issuer. Dealer will provide prompt written notice of any such transfer to Issuer.</w:t>
      </w:r>
    </w:p>
    <w:p>
      <w:pPr>
        <w:spacing w:after="0" w:line="197"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 Jurisdiction; Waiver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CONFIRMATION AND ANY CLAIM, CONTROVERSY OR DISPUTE ARISING UNDER OR RELATED TO THIS CONFIRMATION SHALL BE GOVERNED BY THE LAWS OF THE STATE 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EACH PARTY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ISSUER OR ITS AFFILIATES IN THE NEGOTIATION, PERFORMANCE OR ENFORCEMENT 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1420"/>
          </w:cols>
          <w:pgMar w:left="240" w:top="333" w:right="2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us by facsimile to the number provided on the attached facsimile cover page.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ALIGN TECHNOLOGY, INC.</w:t>
            </w:r>
          </w:p>
        </w:tc>
        <w:tc>
          <w:tcPr>
            <w:tcW w:w="44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44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DAVID L. WHITE</w:t>
            </w:r>
          </w:p>
        </w:tc>
        <w:tc>
          <w:tcPr>
            <w:tcW w:w="44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9"/>
              </w:rPr>
              <w:t>By: /S/ CHRISTOPHER ANDREWS</w:t>
            </w: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218"/>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David L. White</w:t>
            </w:r>
          </w:p>
        </w:tc>
        <w:tc>
          <w:tcPr>
            <w:tcW w:w="44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Name: Christopher Andrews</w:t>
            </w:r>
          </w:p>
        </w:tc>
      </w:tr>
      <w:tr>
        <w:trPr>
          <w:trHeight w:val="234"/>
        </w:trPr>
        <w:tc>
          <w:tcPr>
            <w:tcW w:w="3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44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Title: Managing Director</w:t>
            </w:r>
          </w:p>
        </w:tc>
      </w:tr>
    </w:tbl>
    <w:p>
      <w:pPr>
        <w:sectPr>
          <w:pgSz w:w="11900" w:h="16838" w:orient="portrait"/>
          <w:cols w:equalWidth="0" w:num="1">
            <w:col w:w="11000"/>
          </w:cols>
          <w:pgMar w:left="240" w:top="1053" w:right="6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4013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60"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White, certify that:</w:t>
      </w:r>
    </w:p>
    <w:p>
      <w:pPr>
        <w:spacing w:after="0" w:line="387"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 Technology,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4013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David L. White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8" w:lineRule="auto"/>
        <w:rPr>
          <w:sz w:val="20"/>
          <w:szCs w:val="20"/>
          <w:color w:val="auto"/>
        </w:rPr>
      </w:pPr>
      <w:r>
        <w:rPr>
          <w:rFonts w:ascii="Times New Roman" w:cs="Times New Roman" w:eastAsia="Times New Roman" w:hAnsi="Times New Roman"/>
          <w:sz w:val="18"/>
          <w:szCs w:val="18"/>
          <w:color w:val="auto"/>
        </w:rPr>
        <w:t>I, Joseph M. Hogan, certify, pursuant to 18 U.S.C. Section 1350, as adopted pursuant to Section 906 of the Sarbanes-Oxley Act of 2002, that the Quarterly Report of Align Technology, Inc. on Form 10-Q for the quarter ended June 30,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8" w:lineRule="auto"/>
        <w:rPr>
          <w:sz w:val="20"/>
          <w:szCs w:val="20"/>
          <w:color w:val="auto"/>
        </w:rPr>
      </w:pPr>
      <w:r>
        <w:rPr>
          <w:rFonts w:ascii="Times New Roman" w:cs="Times New Roman" w:eastAsia="Times New Roman" w:hAnsi="Times New Roman"/>
          <w:sz w:val="18"/>
          <w:szCs w:val="18"/>
          <w:color w:val="auto"/>
        </w:rPr>
        <w:t>I, David L. White, certify, pursuant to 18 U.S.C. Section 1350, as adopted pursuant to Section 906 of the Sarbanes-Oxley Act of 2002, that the Quarterly Report of Align Technology, Inc. on Form 10-Q for the quarter ended June 30, 2016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L. WHITE</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L. White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sectPr>
      <w:pgSz w:w="11900" w:h="16838" w:orient="portrait"/>
      <w:cols w:equalWidth="0" w:num="1">
        <w:col w:w="11420"/>
      </w:cols>
      <w:pgMar w:left="240" w:top="6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lowerRoman"/>
      <w:start w:val="1"/>
    </w:lvl>
    <w:lvl w:ilvl="1">
      <w:lvlJc w:val="left"/>
      <w:lvlText w:val="%2."/>
      <w:numFmt w:val="decimal"/>
      <w:start w:val="1"/>
    </w:lvl>
  </w:abstractNum>
  <w:abstractNum w:abstractNumId="29">
    <w:nsid w:val="579478FE"/>
    <w:multiLevelType w:val="hybridMultilevel"/>
    <w:lvl w:ilvl="0">
      <w:lvlJc w:val="left"/>
      <w:lvlText w:val="(%1)"/>
      <w:numFmt w:val="lowerRoman"/>
      <w:start w:val="2"/>
    </w:lvl>
    <w:lvl w:ilvl="1">
      <w:lvlJc w:val="left"/>
      <w:lvlText w:val="%2"/>
      <w:numFmt w:val="decimal"/>
      <w:start w:val="1"/>
    </w:lvl>
  </w:abstractNum>
  <w:abstractNum w:abstractNumId="30">
    <w:nsid w:val="749ABB43"/>
    <w:multiLevelType w:val="hybridMultilevel"/>
    <w:lvl w:ilvl="0">
      <w:lvlJc w:val="left"/>
      <w:lvlText w:val="%1."/>
      <w:numFmt w:val="decimal"/>
      <w:start w:val="2"/>
    </w:lvl>
  </w:abstractNum>
  <w:abstractNum w:abstractNumId="31">
    <w:nsid w:val="3DC240FB"/>
    <w:multiLevelType w:val="hybridMultilevel"/>
    <w:lvl w:ilvl="0">
      <w:lvlJc w:val="left"/>
      <w:lvlText w:val="(%1)"/>
      <w:numFmt w:val="lowerRoman"/>
      <w:start w:val="3"/>
    </w:lvl>
  </w:abstractNum>
  <w:abstractNum w:abstractNumId="32">
    <w:nsid w:val="1BA026FA"/>
    <w:multiLevelType w:val="hybridMultilevel"/>
    <w:lvl w:ilvl="0">
      <w:lvlJc w:val="left"/>
      <w:lvlText w:val="(%1)"/>
      <w:numFmt w:val="lowerRoman"/>
      <w:start w:val="1"/>
    </w:lvl>
  </w:abstractNum>
  <w:abstractNum w:abstractNumId="33">
    <w:nsid w:val="79A1DEAA"/>
    <w:multiLevelType w:val="hybridMultilevel"/>
    <w:lvl w:ilvl="0">
      <w:lvlJc w:val="left"/>
      <w:lvlText w:val="(%1)"/>
      <w:numFmt w:val="lowerRoman"/>
      <w:start w:val="1"/>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1"/>
      <w:numFmt w:val="decimal"/>
      <w:start w:val="100"/>
    </w:lvl>
  </w:abstractNum>
  <w:abstractNum w:abstractNumId="36">
    <w:nsid w:val="70C6A529"/>
    <w:multiLevelType w:val="hybridMultilevel"/>
    <w:lvl w:ilvl="0">
      <w:lvlJc w:val="left"/>
      <w:lvlText w:val="%1"/>
      <w:numFmt w:val="decimal"/>
      <w:start w:val="25"/>
    </w:lvl>
  </w:abstractNum>
  <w:abstractNum w:abstractNumId="37">
    <w:nsid w:val="520EEDD1"/>
    <w:multiLevelType w:val="hybridMultilevel"/>
    <w:lvl w:ilvl="0">
      <w:lvlJc w:val="left"/>
      <w:lvlText w:val="(%1)"/>
      <w:numFmt w:val="lowerLetter"/>
      <w:start w:val="4"/>
    </w:lvl>
  </w:abstractNum>
  <w:abstractNum w:abstractNumId="38">
    <w:nsid w:val="374A3FE6"/>
    <w:multiLevelType w:val="hybridMultilevel"/>
    <w:lvl w:ilvl="0">
      <w:lvlJc w:val="left"/>
      <w:lvlText w:val="%1"/>
      <w:numFmt w:val="decimal"/>
      <w:start w:val="1"/>
    </w:lvl>
    <w:lvl w:ilvl="1">
      <w:lvlJc w:val="left"/>
      <w:lvlText w:val="(%2)"/>
      <w:numFmt w:val="lowerLetter"/>
      <w:start w:val="7"/>
    </w:lvl>
  </w:abstractNum>
  <w:abstractNum w:abstractNumId="39">
    <w:nsid w:val="4F4EF005"/>
    <w:multiLevelType w:val="hybridMultilevel"/>
    <w:lvl w:ilvl="0">
      <w:lvlJc w:val="left"/>
      <w:lvlText w:val="(%1)"/>
      <w:numFmt w:val="decimal"/>
      <w:start w:val="3"/>
    </w:lvl>
    <w:lvl w:ilvl="1">
      <w:lvlJc w:val="left"/>
      <w:lvlText w:val="(%2)"/>
      <w:numFmt w:val="lowerLetter"/>
      <w:start w:val="11"/>
    </w:lvl>
  </w:abstractNum>
  <w:abstractNum w:abstractNumId="40">
    <w:nsid w:val="23F9C13C"/>
    <w:multiLevelType w:val="hybridMultilevel"/>
    <w:lvl w:ilvl="0">
      <w:lvlJc w:val="left"/>
      <w:lvlText w:val="%1."/>
      <w:numFmt w:val="decimal"/>
      <w:start w:val="5"/>
    </w:lvl>
  </w:abstractNum>
  <w:abstractNum w:abstractNumId="41">
    <w:nsid w:val="649BB77C"/>
    <w:multiLevelType w:val="hybridMultilevel"/>
    <w:lvl w:ilvl="0">
      <w:lvlJc w:val="left"/>
      <w:lvlText w:val="%1."/>
      <w:numFmt w:val="decimal"/>
      <w:start w:val="6"/>
    </w:lvl>
  </w:abstractNum>
  <w:abstractNum w:abstractNumId="42">
    <w:nsid w:val="275AC7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
    <w:nsid w:val="39386575"/>
    <w:multiLevelType w:val="hybridMultilevel"/>
    <w:lvl w:ilvl="0">
      <w:lvlJc w:val="left"/>
      <w:lvlText w:val="%1"/>
      <w:numFmt w:val="decimal"/>
      <w:start w:val="1"/>
    </w:lvl>
    <w:lvl w:ilvl="1">
      <w:lvlJc w:val="left"/>
      <w:lvlText w:val="(%2)"/>
      <w:numFmt w:val="lowerRoman"/>
      <w:start w:val="4"/>
    </w:lvl>
  </w:abstractNum>
  <w:abstractNum w:abstractNumId="44">
    <w:nsid w:val="1CF10FD8"/>
    <w:multiLevelType w:val="hybridMultilevel"/>
    <w:lvl w:ilvl="0">
      <w:lvlJc w:val="left"/>
      <w:lvlText w:val="(%1)"/>
      <w:numFmt w:val="decimal"/>
      <w:start w:val="2"/>
    </w:lvl>
    <w:lvl w:ilvl="1">
      <w:lvlJc w:val="left"/>
      <w:lvlText w:val="(%2)"/>
      <w:numFmt w:val="lowerRoman"/>
      <w:start w:val="5"/>
    </w:lvl>
  </w:abstractNum>
  <w:abstractNum w:abstractNumId="45">
    <w:nsid w:val="180115BE"/>
    <w:multiLevelType w:val="hybridMultilevel"/>
    <w:lvl w:ilvl="0">
      <w:lvlJc w:val="left"/>
      <w:lvlText w:val="(%1)"/>
      <w:numFmt w:val="upperLetter"/>
      <w:start w:val="1"/>
    </w:lvl>
  </w:abstractNum>
  <w:abstractNum w:abstractNumId="46">
    <w:nsid w:val="235BA861"/>
    <w:multiLevelType w:val="hybridMultilevel"/>
    <w:lvl w:ilvl="0">
      <w:lvlJc w:val="left"/>
      <w:lvlText w:val="%1"/>
      <w:numFmt w:val="upperLetter"/>
      <w:start w:val="1"/>
    </w:lvl>
    <w:lvl w:ilvl="1">
      <w:lvlJc w:val="left"/>
      <w:lvlText w:val="(%2)"/>
      <w:numFmt w:val="lowerRoman"/>
      <w:start w:val="7"/>
    </w:lvl>
  </w:abstractNum>
  <w:abstractNum w:abstractNumId="47">
    <w:nsid w:val="47398C89"/>
    <w:multiLevelType w:val="hybridMultilevel"/>
    <w:lvl w:ilvl="0">
      <w:lvlJc w:val="left"/>
      <w:lvlText w:val="(%1)"/>
      <w:numFmt w:val="upperLetter"/>
      <w:start w:val="1"/>
    </w:lvl>
    <w:lvl w:ilvl="1">
      <w:lvlJc w:val="left"/>
      <w:lvlText w:val="(%2)"/>
      <w:numFmt w:val="lowerRoman"/>
      <w:start w:val="9"/>
    </w:lvl>
  </w:abstractNum>
  <w:abstractNum w:abstractNumId="48">
    <w:nsid w:val="354FE9F9"/>
    <w:multiLevelType w:val="hybridMultilevel"/>
    <w:lvl w:ilvl="0">
      <w:lvlJc w:val="left"/>
      <w:lvlText w:val="%1"/>
      <w:numFmt w:val="lowerLetter"/>
      <w:start w:val="1"/>
    </w:lvl>
    <w:lvl w:ilvl="1">
      <w:lvlJc w:val="left"/>
      <w:lvlText w:val="(%2)"/>
      <w:numFmt w:val="lowerRoman"/>
      <w:start w:val="10"/>
    </w:lvl>
  </w:abstractNum>
  <w:abstractNum w:abstractNumId="49">
    <w:nsid w:val="15B5AF5C"/>
    <w:multiLevelType w:val="hybridMultilevel"/>
    <w:lvl w:ilvl="0">
      <w:lvlJc w:val="left"/>
      <w:lvlText w:val="(%1)"/>
      <w:numFmt w:val="lowerLetter"/>
      <w:start w:val="2"/>
    </w:lvl>
    <w:lvl w:ilvl="1">
      <w:lvlJc w:val="left"/>
      <w:lvlText w:val="(%2)"/>
      <w:numFmt w:val="lowerRoman"/>
      <w:start w:val="1"/>
    </w:lvl>
  </w:abstractNum>
  <w:abstractNum w:abstractNumId="50">
    <w:nsid w:val="741226BB"/>
    <w:multiLevelType w:val="hybridMultilevel"/>
    <w:lvl w:ilvl="0">
      <w:lvlJc w:val="left"/>
      <w:lvlText w:val="%1"/>
      <w:numFmt w:val="decimal"/>
      <w:start w:val="1"/>
    </w:lvl>
    <w:lvl w:ilvl="1">
      <w:lvlJc w:val="left"/>
      <w:lvlText w:val="(%2)"/>
      <w:numFmt w:val="lowerLetter"/>
      <w:start w:val="3"/>
    </w:lvl>
  </w:abstractNum>
  <w:abstractNum w:abstractNumId="51">
    <w:nsid w:val="D34B6A8"/>
    <w:multiLevelType w:val="hybridMultilevel"/>
    <w:lvl w:ilvl="0">
      <w:lvlJc w:val="left"/>
      <w:lvlText w:val="%1."/>
      <w:numFmt w:val="decimal"/>
      <w:start w:val="8"/>
    </w:lvl>
    <w:lvl w:ilvl="1">
      <w:lvlJc w:val="left"/>
      <w:lvlText w:val="%2"/>
      <w:numFmt w:val="lowerLetter"/>
      <w:start w:val="1"/>
    </w:lvl>
  </w:abstractNum>
  <w:abstractNum w:abstractNumId="52">
    <w:nsid w:val="10233C99"/>
    <w:multiLevelType w:val="hybridMultilevel"/>
    <w:lvl w:ilvl="0">
      <w:lvlJc w:val="left"/>
      <w:lvlText w:val="(%1)"/>
      <w:numFmt w:val="lowerLetter"/>
      <w:start w:val="1"/>
    </w:lvl>
    <w:lvl w:ilvl="1">
      <w:lvlJc w:val="left"/>
      <w:lvlText w:val="(%2)"/>
      <w:numFmt w:val="lowerRoman"/>
      <w:start w:val="6"/>
    </w:lvl>
  </w:abstractNum>
  <w:abstractNum w:abstractNumId="53">
    <w:nsid w:val="3F6AB60F"/>
    <w:multiLevelType w:val="hybridMultilevel"/>
    <w:lvl w:ilvl="0">
      <w:lvlJc w:val="left"/>
      <w:lvlText w:val="%1."/>
      <w:numFmt w:val="decimal"/>
      <w:start w:val="9"/>
    </w:lvl>
    <w:lvl w:ilvl="1">
      <w:lvlJc w:val="left"/>
      <w:lvlText w:val="(%2)"/>
      <w:numFmt w:val="lowerLetter"/>
      <w:start w:val="1"/>
    </w:lvl>
  </w:abstractNum>
  <w:abstractNum w:abstractNumId="54">
    <w:nsid w:val="6157409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5">
    <w:nsid w:val="7E0C57B1"/>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2"/>
    </w:lvl>
  </w:abstractNum>
  <w:abstractNum w:abstractNumId="56">
    <w:nsid w:val="77AE35E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57">
    <w:nsid w:val="579BE4F1"/>
    <w:multiLevelType w:val="hybridMultilevel"/>
    <w:lvl w:ilvl="0">
      <w:lvlJc w:val="left"/>
      <w:lvlText w:val="%1"/>
      <w:numFmt w:val="lowerLetter"/>
      <w:start w:val="1"/>
    </w:lvl>
    <w:lvl w:ilvl="1">
      <w:lvlJc w:val="left"/>
      <w:lvlText w:val="(%2)"/>
      <w:numFmt w:val="lowerRoman"/>
      <w:start w:val="3"/>
    </w:lvl>
  </w:abstractNum>
  <w:abstractNum w:abstractNumId="58">
    <w:nsid w:val="310C50B3"/>
    <w:multiLevelType w:val="hybridMultilevel"/>
    <w:lvl w:ilvl="0">
      <w:lvlJc w:val="left"/>
      <w:lvlText w:val="(%1)"/>
      <w:numFmt w:val="lowerLetter"/>
      <w:start w:val="2"/>
    </w:lvl>
    <w:lvl w:ilvl="1">
      <w:lvlJc w:val="left"/>
      <w:lvlText w:val="%2"/>
      <w:numFmt w:val="lowerRoman"/>
      <w:start w:val="1"/>
    </w:lvl>
  </w:abstractNum>
  <w:abstractNum w:abstractNumId="59">
    <w:nsid w:val="5FF87E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2F305DEF"/>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1">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2">
    <w:nsid w:val="1DBABF0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3">
    <w:nsid w:val="4AD084E9"/>
    <w:multiLevelType w:val="hybridMultilevel"/>
    <w:lvl w:ilvl="0">
      <w:lvlJc w:val="left"/>
      <w:lvlText w:val="%1"/>
      <w:numFmt w:val="decimal"/>
      <w:start w:val="1"/>
    </w:lvl>
    <w:lvl w:ilvl="1">
      <w:lvlJc w:val="left"/>
      <w:lvlText w:val="(%2)"/>
      <w:numFmt w:val="lowerLetter"/>
      <w:start w:val="7"/>
    </w:lvl>
  </w:abstractNum>
  <w:abstractNum w:abstractNumId="64">
    <w:nsid w:val="1F48EAA1"/>
    <w:multiLevelType w:val="hybridMultilevel"/>
    <w:lvl w:ilvl="0">
      <w:lvlJc w:val="left"/>
      <w:lvlText w:val="%1."/>
      <w:numFmt w:val="decimal"/>
      <w:start w:val="16"/>
    </w:lvl>
    <w:lvl w:ilvl="1">
      <w:lvlJc w:val="left"/>
      <w:lvlText w:val="%2"/>
      <w:numFmt w:val="lowerLetter"/>
      <w:start w:val="1"/>
    </w:lvl>
  </w:abstractNum>
  <w:abstractNum w:abstractNumId="65">
    <w:nsid w:val="1381823A"/>
    <w:multiLevelType w:val="hybridMultilevel"/>
    <w:lvl w:ilvl="0">
      <w:lvlJc w:val="left"/>
      <w:lvlText w:val="%1."/>
      <w:numFmt w:val="decimal"/>
      <w:start w:val="17"/>
    </w:lvl>
  </w:abstractNum>
  <w:abstractNum w:abstractNumId="66">
    <w:nsid w:val="5DB70AE5"/>
    <w:multiLevelType w:val="hybridMultilevel"/>
    <w:lvl w:ilvl="0">
      <w:lvlJc w:val="left"/>
      <w:lvlText w:val="%1."/>
      <w:numFmt w:val="decimal"/>
      <w:start w:val="18"/>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2019-12-29T10:30:41Z</dcterms:created>
  <dcterms:modified xsi:type="dcterms:W3CDTF">2019-12-29T10:30:41Z</dcterms:modified>
</cp:coreProperties>
</file>