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9" w:lineRule="exact"/>
        <w:rPr>
          <w:sz w:val="24"/>
          <w:szCs w:val="24"/>
          <w:color w:val="auto"/>
        </w:rPr>
      </w:pPr>
    </w:p>
    <w:p>
      <w:pPr>
        <w:ind w:left="4000"/>
        <w:spacing w:after="0"/>
        <w:rPr>
          <w:sz w:val="20"/>
          <w:szCs w:val="20"/>
          <w:color w:val="auto"/>
        </w:rPr>
      </w:pPr>
      <w:r>
        <w:rPr>
          <w:rFonts w:ascii="Arial" w:cs="Arial" w:eastAsia="Arial" w:hAnsi="Arial"/>
          <w:sz w:val="8"/>
          <w:szCs w:val="8"/>
          <w:color w:val="auto"/>
        </w:rPr>
        <w:t>________________________________________________________________________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FORM 10-K</w:t>
      </w:r>
    </w:p>
    <w:p>
      <w:pPr>
        <w:spacing w:after="0" w:line="25" w:lineRule="exact"/>
        <w:rPr>
          <w:sz w:val="24"/>
          <w:szCs w:val="24"/>
          <w:color w:val="auto"/>
        </w:rPr>
      </w:pPr>
    </w:p>
    <w:p>
      <w:pPr>
        <w:ind w:left="4020"/>
        <w:spacing w:after="0"/>
        <w:rPr>
          <w:sz w:val="20"/>
          <w:szCs w:val="20"/>
          <w:color w:val="auto"/>
        </w:rPr>
      </w:pPr>
      <w:r>
        <w:rPr>
          <w:rFonts w:ascii="Arial" w:cs="Arial" w:eastAsia="Arial" w:hAnsi="Arial"/>
          <w:sz w:val="8"/>
          <w:szCs w:val="8"/>
          <w:color w:val="auto"/>
        </w:rPr>
        <w:t>________________________________________________________________________</w:t>
      </w:r>
    </w:p>
    <w:p>
      <w:pPr>
        <w:spacing w:after="0" w:line="5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(Mark One)</w:t>
      </w:r>
    </w:p>
    <w:p>
      <w:pPr>
        <w:spacing w:after="0" w:line="101"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43" w:lineRule="exact"/>
        <w:rPr>
          <w:sz w:val="24"/>
          <w:szCs w:val="24"/>
          <w:color w:val="auto"/>
        </w:rPr>
      </w:pPr>
    </w:p>
    <w:p>
      <w:pPr>
        <w:ind w:left="4900"/>
        <w:spacing w:after="0"/>
        <w:rPr>
          <w:sz w:val="20"/>
          <w:szCs w:val="20"/>
          <w:color w:val="auto"/>
        </w:rPr>
      </w:pPr>
      <w:r>
        <w:rPr>
          <w:rFonts w:ascii="Arial" w:cs="Arial" w:eastAsia="Arial" w:hAnsi="Arial"/>
          <w:sz w:val="10"/>
          <w:szCs w:val="10"/>
          <w:b w:val="1"/>
          <w:bCs w:val="1"/>
          <w:color w:val="auto"/>
        </w:rPr>
        <w:t>For the fiscal year ended December 31, 2017</w:t>
      </w:r>
    </w:p>
    <w:p>
      <w:pPr>
        <w:ind w:left="5660"/>
        <w:spacing w:after="0" w:line="236" w:lineRule="auto"/>
        <w:rPr>
          <w:sz w:val="20"/>
          <w:szCs w:val="20"/>
          <w:color w:val="auto"/>
        </w:rPr>
      </w:pPr>
      <w:r>
        <w:rPr>
          <w:rFonts w:ascii="Arial" w:cs="Arial" w:eastAsia="Arial" w:hAnsi="Arial"/>
          <w:sz w:val="10"/>
          <w:szCs w:val="10"/>
          <w:b w:val="1"/>
          <w:bCs w:val="1"/>
          <w:color w:val="auto"/>
        </w:rPr>
        <w:t>OR</w:t>
      </w:r>
    </w:p>
    <w:p>
      <w:pPr>
        <w:spacing w:after="0" w:line="93" w:lineRule="exact"/>
        <w:rPr>
          <w:sz w:val="24"/>
          <w:szCs w:val="24"/>
          <w:color w:val="auto"/>
        </w:rPr>
      </w:pPr>
    </w:p>
    <w:p>
      <w:pPr>
        <w:ind w:left="700" w:hanging="690"/>
        <w:spacing w:after="0"/>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3" w:lineRule="exact"/>
        <w:rPr>
          <w:sz w:val="24"/>
          <w:szCs w:val="24"/>
          <w:color w:val="auto"/>
        </w:rPr>
      </w:pPr>
    </w:p>
    <w:p>
      <w:pPr>
        <w:jc w:val="center"/>
        <w:ind w:right="340"/>
        <w:spacing w:after="0"/>
        <w:tabs>
          <w:tab w:leader="none" w:pos="480" w:val="left"/>
        </w:tabs>
        <w:rPr>
          <w:sz w:val="20"/>
          <w:szCs w:val="20"/>
          <w:color w:val="auto"/>
        </w:rPr>
      </w:pPr>
      <w:r>
        <w:rPr>
          <w:rFonts w:ascii="Arial" w:cs="Arial" w:eastAsia="Arial" w:hAnsi="Arial"/>
          <w:sz w:val="10"/>
          <w:szCs w:val="10"/>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jc w:val="center"/>
        <w:ind w:right="20"/>
        <w:spacing w:after="0" w:line="225" w:lineRule="auto"/>
        <w:rPr>
          <w:sz w:val="20"/>
          <w:szCs w:val="20"/>
          <w:color w:val="auto"/>
        </w:rPr>
      </w:pPr>
      <w:r>
        <w:rPr>
          <w:rFonts w:ascii="Arial" w:cs="Arial" w:eastAsia="Arial" w:hAnsi="Arial"/>
          <w:sz w:val="10"/>
          <w:szCs w:val="10"/>
          <w:b w:val="1"/>
          <w:bCs w:val="1"/>
          <w:color w:val="auto"/>
        </w:rPr>
        <w:t>Commission file number: 0-32259</w:t>
      </w:r>
    </w:p>
    <w:p>
      <w:pPr>
        <w:jc w:val="center"/>
        <w:ind w:right="20"/>
        <w:spacing w:after="0" w:line="237" w:lineRule="auto"/>
        <w:rPr>
          <w:sz w:val="20"/>
          <w:szCs w:val="20"/>
          <w:color w:val="auto"/>
        </w:rPr>
      </w:pPr>
      <w:r>
        <w:rPr>
          <w:rFonts w:ascii="Arial" w:cs="Arial" w:eastAsia="Arial" w:hAnsi="Arial"/>
          <w:sz w:val="10"/>
          <w:szCs w:val="10"/>
          <w:color w:val="auto"/>
        </w:rPr>
        <w:t>_______________________________________________________</w:t>
      </w:r>
    </w:p>
    <w:p>
      <w:pPr>
        <w:jc w:val="center"/>
        <w:ind w:right="20"/>
        <w:spacing w:after="0" w:line="236" w:lineRule="auto"/>
        <w:rPr>
          <w:sz w:val="20"/>
          <w:szCs w:val="20"/>
          <w:color w:val="auto"/>
        </w:rPr>
      </w:pPr>
      <w:r>
        <w:rPr>
          <w:rFonts w:ascii="Arial" w:cs="Arial" w:eastAsia="Arial" w:hAnsi="Arial"/>
          <w:sz w:val="17"/>
          <w:szCs w:val="17"/>
          <w:b w:val="1"/>
          <w:bCs w:val="1"/>
          <w:color w:val="auto"/>
        </w:rPr>
        <w:t>ALIGN TECHNOLOGY, INC.</w:t>
      </w:r>
    </w:p>
    <w:p>
      <w:pPr>
        <w:jc w:val="center"/>
        <w:ind w:right="20"/>
        <w:spacing w:after="0" w:line="227" w:lineRule="auto"/>
        <w:rPr>
          <w:sz w:val="20"/>
          <w:szCs w:val="20"/>
          <w:color w:val="auto"/>
        </w:rPr>
      </w:pPr>
      <w:r>
        <w:rPr>
          <w:rFonts w:ascii="Arial" w:cs="Arial" w:eastAsia="Arial" w:hAnsi="Arial"/>
          <w:sz w:val="10"/>
          <w:szCs w:val="10"/>
          <w:b w:val="1"/>
          <w:bCs w:val="1"/>
          <w:color w:val="auto"/>
        </w:rPr>
        <w:t>(Exact name of registrant as specified in its charter)</w:t>
      </w:r>
    </w:p>
    <w:p>
      <w:pPr>
        <w:ind w:left="4060"/>
        <w:spacing w:after="0"/>
        <w:rPr>
          <w:sz w:val="20"/>
          <w:szCs w:val="20"/>
          <w:color w:val="auto"/>
        </w:rPr>
      </w:pPr>
      <w:r>
        <w:rPr>
          <w:rFonts w:ascii="Arial" w:cs="Arial" w:eastAsia="Arial" w:hAnsi="Arial"/>
          <w:sz w:val="8"/>
          <w:szCs w:val="8"/>
          <w:color w:val="auto"/>
        </w:rPr>
        <w:t>_____________________________________________________________________</w:t>
      </w:r>
    </w:p>
    <w:p>
      <w:pPr>
        <w:sectPr>
          <w:pgSz w:w="11900" w:h="16838" w:orient="portrait"/>
          <w:cols w:equalWidth="0" w:num="1">
            <w:col w:w="11480"/>
          </w:cols>
          <w:pgMar w:left="220" w:top="521" w:right="199" w:bottom="1440" w:gutter="0" w:footer="0" w:header="0"/>
        </w:sectPr>
      </w:pPr>
    </w:p>
    <w:p>
      <w:pPr>
        <w:spacing w:after="0" w:line="116" w:lineRule="exact"/>
        <w:rPr>
          <w:sz w:val="24"/>
          <w:szCs w:val="24"/>
          <w:color w:val="auto"/>
        </w:rPr>
      </w:pPr>
    </w:p>
    <w:p>
      <w:pPr>
        <w:ind w:left="25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94-3267295</w:t>
      </w:r>
    </w:p>
    <w:p>
      <w:pPr>
        <w:spacing w:after="0" w:line="58" w:lineRule="exact"/>
        <w:rPr>
          <w:sz w:val="24"/>
          <w:szCs w:val="24"/>
          <w:color w:val="auto"/>
        </w:rPr>
      </w:pPr>
    </w:p>
    <w:p>
      <w:pPr>
        <w:sectPr>
          <w:pgSz w:w="11900" w:h="16838" w:orient="portrait"/>
          <w:cols w:equalWidth="0" w:num="2">
            <w:col w:w="7800" w:space="720"/>
            <w:col w:w="2960"/>
          </w:cols>
          <w:pgMar w:left="220" w:top="521" w:right="199" w:bottom="1440" w:gutter="0" w:footer="0" w:header="0"/>
          <w:type w:val="continuous"/>
        </w:sectPr>
      </w:pPr>
    </w:p>
    <w:p>
      <w:pPr>
        <w:spacing w:after="0" w:line="6" w:lineRule="exact"/>
        <w:rPr>
          <w:sz w:val="24"/>
          <w:szCs w:val="24"/>
          <w:color w:val="auto"/>
        </w:rPr>
      </w:pPr>
    </w:p>
    <w:p>
      <w:pPr>
        <w:ind w:left="2140"/>
        <w:spacing w:after="0"/>
        <w:rPr>
          <w:sz w:val="20"/>
          <w:szCs w:val="20"/>
          <w:color w:val="auto"/>
        </w:rPr>
      </w:pPr>
      <w:r>
        <w:rPr>
          <w:rFonts w:ascii="Arial" w:cs="Arial" w:eastAsia="Arial" w:hAnsi="Arial"/>
          <w:sz w:val="8"/>
          <w:szCs w:val="8"/>
          <w:b w:val="1"/>
          <w:bCs w:val="1"/>
          <w:color w:val="auto"/>
        </w:rPr>
        <w:t>(State or other jurisdiction of</w:t>
      </w:r>
    </w:p>
    <w:p>
      <w:pPr>
        <w:spacing w:after="0" w:line="17" w:lineRule="exact"/>
        <w:rPr>
          <w:sz w:val="24"/>
          <w:szCs w:val="24"/>
          <w:color w:val="auto"/>
        </w:rPr>
      </w:pPr>
    </w:p>
    <w:p>
      <w:pPr>
        <w:ind w:left="2120"/>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0"/>
          <w:szCs w:val="10"/>
          <w:b w:val="1"/>
          <w:bCs w:val="1"/>
          <w:color w:val="auto"/>
        </w:rPr>
        <w:t>(I.R.S. Employer</w:t>
      </w:r>
    </w:p>
    <w:p>
      <w:pPr>
        <w:jc w:val="center"/>
        <w:ind w:right="2180"/>
        <w:spacing w:after="0"/>
        <w:rPr>
          <w:sz w:val="20"/>
          <w:szCs w:val="20"/>
          <w:color w:val="auto"/>
        </w:rPr>
      </w:pPr>
      <w:r>
        <w:rPr>
          <w:rFonts w:ascii="Arial" w:cs="Arial" w:eastAsia="Arial" w:hAnsi="Arial"/>
          <w:sz w:val="8"/>
          <w:szCs w:val="8"/>
          <w:b w:val="1"/>
          <w:bCs w:val="1"/>
          <w:color w:val="auto"/>
        </w:rPr>
        <w:t>Identification Number)</w:t>
      </w:r>
    </w:p>
    <w:p>
      <w:pPr>
        <w:spacing w:after="0" w:line="51" w:lineRule="exact"/>
        <w:rPr>
          <w:sz w:val="24"/>
          <w:szCs w:val="24"/>
          <w:color w:val="auto"/>
        </w:rPr>
      </w:pPr>
    </w:p>
    <w:p>
      <w:pPr>
        <w:sectPr>
          <w:pgSz w:w="11900" w:h="16838" w:orient="portrait"/>
          <w:cols w:equalWidth="0" w:num="2">
            <w:col w:w="7620" w:space="720"/>
            <w:col w:w="3140"/>
          </w:cols>
          <w:pgMar w:left="220" w:top="521" w:right="199" w:bottom="1440" w:gutter="0" w:footer="0" w:header="0"/>
          <w:type w:val="continuous"/>
        </w:sectPr>
      </w:pPr>
    </w:p>
    <w:p>
      <w:pPr>
        <w:jc w:val="center"/>
        <w:ind w:right="20"/>
        <w:spacing w:after="0"/>
        <w:rPr>
          <w:sz w:val="20"/>
          <w:szCs w:val="20"/>
          <w:color w:val="auto"/>
        </w:rPr>
      </w:pPr>
      <w:r>
        <w:rPr>
          <w:rFonts w:ascii="Arial" w:cs="Arial" w:eastAsia="Arial" w:hAnsi="Arial"/>
          <w:sz w:val="10"/>
          <w:szCs w:val="10"/>
          <w:b w:val="1"/>
          <w:bCs w:val="1"/>
          <w:color w:val="auto"/>
        </w:rPr>
        <w:t>2820 Orchard Parkway</w:t>
      </w:r>
    </w:p>
    <w:p>
      <w:pPr>
        <w:jc w:val="center"/>
        <w:ind w:right="20"/>
        <w:spacing w:after="0" w:line="232" w:lineRule="auto"/>
        <w:rPr>
          <w:sz w:val="20"/>
          <w:szCs w:val="20"/>
          <w:color w:val="auto"/>
        </w:rPr>
      </w:pPr>
      <w:r>
        <w:rPr>
          <w:rFonts w:ascii="Arial" w:cs="Arial" w:eastAsia="Arial" w:hAnsi="Arial"/>
          <w:sz w:val="10"/>
          <w:szCs w:val="10"/>
          <w:b w:val="1"/>
          <w:bCs w:val="1"/>
          <w:color w:val="auto"/>
        </w:rPr>
        <w:t>San Jose, California 95134</w:t>
      </w:r>
    </w:p>
    <w:p>
      <w:pPr>
        <w:jc w:val="center"/>
        <w:ind w:right="20"/>
        <w:spacing w:after="0" w:line="237" w:lineRule="auto"/>
        <w:rPr>
          <w:sz w:val="20"/>
          <w:szCs w:val="20"/>
          <w:color w:val="auto"/>
        </w:rPr>
      </w:pPr>
      <w:r>
        <w:rPr>
          <w:rFonts w:ascii="Arial" w:cs="Arial" w:eastAsia="Arial" w:hAnsi="Arial"/>
          <w:sz w:val="10"/>
          <w:szCs w:val="10"/>
          <w:b w:val="1"/>
          <w:bCs w:val="1"/>
          <w:color w:val="auto"/>
        </w:rPr>
        <w:t>(Address of principal executive offices)</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(408) 470-1000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35" w:lineRule="exact"/>
        <w:rPr>
          <w:sz w:val="24"/>
          <w:szCs w:val="24"/>
          <w:color w:val="auto"/>
        </w:rPr>
      </w:pPr>
    </w:p>
    <w:p>
      <w:pPr>
        <w:ind w:left="4100"/>
        <w:spacing w:after="0"/>
        <w:rPr>
          <w:sz w:val="20"/>
          <w:szCs w:val="20"/>
          <w:color w:val="auto"/>
        </w:rPr>
      </w:pPr>
      <w:r>
        <w:rPr>
          <w:rFonts w:ascii="Arial" w:cs="Arial" w:eastAsia="Arial" w:hAnsi="Arial"/>
          <w:sz w:val="10"/>
          <w:szCs w:val="10"/>
          <w:color w:val="auto"/>
        </w:rPr>
        <w:t>______________________________________________________</w:t>
      </w:r>
    </w:p>
    <w:p>
      <w:pPr>
        <w:sectPr>
          <w:pgSz w:w="11900" w:h="16838" w:orient="portrait"/>
          <w:cols w:equalWidth="0" w:num="1">
            <w:col w:w="11480"/>
          </w:cols>
          <w:pgMar w:left="220" w:top="521" w:right="199" w:bottom="1440" w:gutter="0" w:footer="0" w:header="0"/>
          <w:type w:val="continuous"/>
        </w:sectPr>
      </w:pPr>
    </w:p>
    <w:p>
      <w:pPr>
        <w:spacing w:after="0" w:line="132" w:lineRule="exact"/>
        <w:rPr>
          <w:sz w:val="24"/>
          <w:szCs w:val="24"/>
          <w:color w:val="auto"/>
        </w:rPr>
      </w:pPr>
    </w:p>
    <w:p>
      <w:pPr>
        <w:ind w:left="2380"/>
        <w:spacing w:after="0"/>
        <w:rPr>
          <w:sz w:val="20"/>
          <w:szCs w:val="20"/>
          <w:color w:val="auto"/>
        </w:rPr>
      </w:pPr>
      <w:r>
        <w:rPr>
          <w:rFonts w:ascii="Arial" w:cs="Arial" w:eastAsia="Arial" w:hAnsi="Arial"/>
          <w:sz w:val="8"/>
          <w:szCs w:val="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Name of each exchange on which registered</w:t>
      </w:r>
    </w:p>
    <w:p>
      <w:pPr>
        <w:spacing w:after="0" w:line="43" w:lineRule="exact"/>
        <w:rPr>
          <w:sz w:val="24"/>
          <w:szCs w:val="24"/>
          <w:color w:val="auto"/>
        </w:rPr>
      </w:pPr>
    </w:p>
    <w:p>
      <w:pPr>
        <w:sectPr>
          <w:pgSz w:w="11900" w:h="16838" w:orient="portrait"/>
          <w:cols w:equalWidth="0" w:num="2">
            <w:col w:w="7200" w:space="720"/>
            <w:col w:w="3560"/>
          </w:cols>
          <w:pgMar w:left="220" w:top="521" w:right="199" w:bottom="1440" w:gutter="0" w:footer="0" w:header="0"/>
          <w:type w:val="continuous"/>
        </w:sectPr>
      </w:pPr>
    </w:p>
    <w:p>
      <w:pPr>
        <w:ind w:left="2040"/>
        <w:spacing w:after="0"/>
        <w:rPr>
          <w:sz w:val="20"/>
          <w:szCs w:val="20"/>
          <w:color w:val="auto"/>
        </w:rPr>
      </w:pPr>
      <w:r>
        <w:rPr>
          <w:rFonts w:ascii="Arial" w:cs="Arial" w:eastAsia="Arial" w:hAnsi="Arial"/>
          <w:sz w:val="8"/>
          <w:szCs w:val="8"/>
          <w:b w:val="1"/>
          <w:bCs w:val="1"/>
          <w:color w:val="auto"/>
        </w:rPr>
        <w:t>Common Stock, $0.0001 par value</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8"/>
          <w:szCs w:val="8"/>
          <w:b w:val="1"/>
          <w:bCs w:val="1"/>
          <w:color w:val="auto"/>
        </w:rPr>
        <w:t>The NASDAQ Stock Market LLC</w:t>
      </w:r>
    </w:p>
    <w:p>
      <w:pPr>
        <w:spacing w:after="0" w:line="16" w:lineRule="exact"/>
        <w:rPr>
          <w:sz w:val="24"/>
          <w:szCs w:val="24"/>
          <w:color w:val="auto"/>
        </w:rPr>
      </w:pPr>
    </w:p>
    <w:p>
      <w:pPr>
        <w:jc w:val="center"/>
        <w:ind w:right="1960"/>
        <w:spacing w:after="0"/>
        <w:rPr>
          <w:sz w:val="20"/>
          <w:szCs w:val="20"/>
          <w:color w:val="auto"/>
        </w:rPr>
      </w:pPr>
      <w:r>
        <w:rPr>
          <w:rFonts w:ascii="Arial" w:cs="Arial" w:eastAsia="Arial" w:hAnsi="Arial"/>
          <w:sz w:val="10"/>
          <w:szCs w:val="10"/>
          <w:b w:val="1"/>
          <w:bCs w:val="1"/>
          <w:color w:val="auto"/>
        </w:rPr>
        <w:t>(NASDAQ Global Market)</w:t>
      </w:r>
    </w:p>
    <w:p>
      <w:pPr>
        <w:spacing w:after="0" w:line="48" w:lineRule="exact"/>
        <w:rPr>
          <w:sz w:val="24"/>
          <w:szCs w:val="24"/>
          <w:color w:val="auto"/>
        </w:rPr>
      </w:pPr>
    </w:p>
    <w:p>
      <w:pPr>
        <w:sectPr>
          <w:pgSz w:w="11900" w:h="16838" w:orient="portrait"/>
          <w:cols w:equalWidth="0" w:num="2">
            <w:col w:w="7400" w:space="720"/>
            <w:col w:w="3360"/>
          </w:cols>
          <w:pgMar w:left="220" w:top="521" w:right="199" w:bottom="1440" w:gutter="0" w:footer="0" w:header="0"/>
          <w:type w:val="continuous"/>
        </w:sectPr>
      </w:pPr>
    </w:p>
    <w:p>
      <w:pPr>
        <w:jc w:val="center"/>
        <w:ind w:right="20"/>
        <w:spacing w:after="0"/>
        <w:rPr>
          <w:sz w:val="20"/>
          <w:szCs w:val="20"/>
          <w:color w:val="auto"/>
        </w:rPr>
      </w:pPr>
      <w:r>
        <w:rPr>
          <w:rFonts w:ascii="Arial" w:cs="Arial" w:eastAsia="Arial" w:hAnsi="Arial"/>
          <w:sz w:val="8"/>
          <w:szCs w:val="8"/>
          <w:b w:val="1"/>
          <w:bCs w:val="1"/>
          <w:color w:val="auto"/>
        </w:rPr>
        <w:t>Securities registered pursuant to Section 12(g) of the Act:</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None</w:t>
      </w:r>
    </w:p>
    <w:p>
      <w:pPr>
        <w:spacing w:after="0" w:line="21" w:lineRule="exact"/>
        <w:rPr>
          <w:sz w:val="24"/>
          <w:szCs w:val="24"/>
          <w:color w:val="auto"/>
        </w:rPr>
      </w:pPr>
    </w:p>
    <w:p>
      <w:pPr>
        <w:ind w:left="200"/>
        <w:spacing w:after="0" w:line="104" w:lineRule="exact"/>
        <w:tabs>
          <w:tab w:leader="none" w:pos="4500" w:val="left"/>
          <w:tab w:leader="none" w:pos="4860" w:val="left"/>
        </w:tabs>
        <w:rPr>
          <w:sz w:val="20"/>
          <w:szCs w:val="20"/>
          <w:color w:val="auto"/>
        </w:rPr>
      </w:pPr>
      <w:r>
        <w:rPr>
          <w:rFonts w:ascii="Arial" w:cs="Arial" w:eastAsia="Arial" w:hAnsi="Arial"/>
          <w:sz w:val="8"/>
          <w:szCs w:val="8"/>
          <w:color w:val="auto"/>
        </w:rPr>
        <w:t>Indicate by check mark if the registrant is a well-known seasoned issuer, as defined in Rule 405 of the Securities Act.</w:t>
      </w:r>
      <w:r>
        <w:rPr>
          <w:sz w:val="20"/>
          <w:szCs w:val="20"/>
          <w:color w:val="auto"/>
        </w:rPr>
        <w:tab/>
      </w: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44" w:lineRule="exact"/>
        <w:rPr>
          <w:sz w:val="24"/>
          <w:szCs w:val="24"/>
          <w:color w:val="auto"/>
        </w:rPr>
      </w:pPr>
    </w:p>
    <w:p>
      <w:pPr>
        <w:ind w:left="200"/>
        <w:spacing w:after="0" w:line="104" w:lineRule="exact"/>
        <w:tabs>
          <w:tab w:leader="none" w:pos="4960" w:val="left"/>
          <w:tab w:leader="none" w:pos="5300" w:val="left"/>
        </w:tabs>
        <w:rPr>
          <w:sz w:val="20"/>
          <w:szCs w:val="20"/>
          <w:color w:val="auto"/>
        </w:rPr>
      </w:pPr>
      <w:r>
        <w:rPr>
          <w:rFonts w:ascii="Arial" w:cs="Arial" w:eastAsia="Arial" w:hAnsi="Arial"/>
          <w:sz w:val="8"/>
          <w:szCs w:val="8"/>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rFonts w:ascii="Arial" w:cs="Arial" w:eastAsia="Arial" w:hAnsi="Arial"/>
          <w:sz w:val="9"/>
          <w:szCs w:val="9"/>
          <w:color w:val="auto"/>
        </w:rPr>
        <w:tab/>
        <w:t xml:space="preserve">No </w:t>
      </w:r>
      <w:r>
        <w:rPr>
          <w:rFonts w:ascii="MS PGothic" w:cs="MS PGothic" w:eastAsia="MS PGothic" w:hAnsi="MS PGothic"/>
          <w:sz w:val="9"/>
          <w:szCs w:val="9"/>
          <w:color w:val="auto"/>
        </w:rPr>
        <w:t>☒</w:t>
      </w:r>
    </w:p>
    <w:p>
      <w:pPr>
        <w:sectPr>
          <w:pgSz w:w="11900" w:h="16838" w:orient="portrait"/>
          <w:cols w:equalWidth="0" w:num="1">
            <w:col w:w="11480"/>
          </w:cols>
          <w:pgMar w:left="220" w:top="521" w:right="199" w:bottom="1440" w:gutter="0" w:footer="0" w:header="0"/>
          <w:type w:val="continuous"/>
        </w:sectPr>
      </w:pPr>
    </w:p>
    <w:p>
      <w:pPr>
        <w:spacing w:after="0" w:line="53" w:lineRule="exact"/>
        <w:rPr>
          <w:sz w:val="24"/>
          <w:szCs w:val="24"/>
          <w:color w:val="auto"/>
        </w:rPr>
      </w:pPr>
    </w:p>
    <w:p>
      <w:pPr>
        <w:ind w:firstLine="216"/>
        <w:spacing w:after="0" w:line="116" w:lineRule="exact"/>
        <w:rPr>
          <w:sz w:val="20"/>
          <w:szCs w:val="20"/>
          <w:color w:val="auto"/>
        </w:rPr>
      </w:pPr>
      <w:r>
        <w:rPr>
          <w:rFonts w:ascii="Arial" w:cs="Arial" w:eastAsia="Arial" w:hAnsi="Arial"/>
          <w:sz w:val="9"/>
          <w:szCs w:val="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0" w:lineRule="exact"/>
        <w:rPr>
          <w:sz w:val="24"/>
          <w:szCs w:val="24"/>
          <w:color w:val="auto"/>
        </w:rPr>
      </w:pPr>
    </w:p>
    <w:p>
      <w:pPr>
        <w:ind w:firstLine="216"/>
        <w:spacing w:after="0" w:line="116" w:lineRule="exact"/>
        <w:rPr>
          <w:sz w:val="20"/>
          <w:szCs w:val="20"/>
          <w:color w:val="auto"/>
        </w:rPr>
      </w:pPr>
      <w:r>
        <w:rPr>
          <w:rFonts w:ascii="Arial" w:cs="Arial" w:eastAsia="Arial" w:hAnsi="Arial"/>
          <w:sz w:val="9"/>
          <w:szCs w:val="9"/>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0" w:lineRule="exact"/>
        <w:rPr>
          <w:sz w:val="24"/>
          <w:szCs w:val="24"/>
          <w:color w:val="auto"/>
        </w:rPr>
      </w:pPr>
    </w:p>
    <w:p>
      <w:pPr>
        <w:ind w:right="20" w:firstLine="216"/>
        <w:spacing w:after="0" w:line="116" w:lineRule="exact"/>
        <w:rPr>
          <w:sz w:val="20"/>
          <w:szCs w:val="20"/>
          <w:color w:val="auto"/>
        </w:rPr>
      </w:pPr>
      <w:r>
        <w:rPr>
          <w:rFonts w:ascii="Arial" w:cs="Arial" w:eastAsia="Arial" w:hAnsi="Arial"/>
          <w:sz w:val="9"/>
          <w:szCs w:val="9"/>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9"/>
          <w:szCs w:val="9"/>
          <w:color w:val="auto"/>
        </w:rPr>
        <w:t>☒</w:t>
      </w:r>
    </w:p>
    <w:p>
      <w:pPr>
        <w:spacing w:after="0" w:line="20" w:lineRule="exact"/>
        <w:rPr>
          <w:sz w:val="24"/>
          <w:szCs w:val="24"/>
          <w:color w:val="auto"/>
        </w:rPr>
      </w:pPr>
    </w:p>
    <w:p>
      <w:pPr>
        <w:ind w:left="200"/>
        <w:spacing w:after="0"/>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80"/>
          </w:cols>
          <w:pgMar w:left="220" w:top="521" w:right="199" w:bottom="1440" w:gutter="0" w:footer="0" w:header="0"/>
          <w:type w:val="continuous"/>
        </w:sectPr>
      </w:pPr>
    </w:p>
    <w:p>
      <w:pPr>
        <w:spacing w:after="0" w:line="135" w:lineRule="exact"/>
        <w:rPr>
          <w:sz w:val="24"/>
          <w:szCs w:val="24"/>
          <w:color w:val="auto"/>
        </w:rPr>
      </w:pPr>
    </w:p>
    <w:p>
      <w:pPr>
        <w:ind w:left="20"/>
        <w:spacing w:after="0" w:line="493" w:lineRule="auto"/>
        <w:rPr>
          <w:sz w:val="20"/>
          <w:szCs w:val="20"/>
          <w:color w:val="auto"/>
        </w:rPr>
      </w:pPr>
      <w:r>
        <w:rPr>
          <w:rFonts w:ascii="Arial" w:cs="Arial" w:eastAsia="Arial" w:hAnsi="Arial"/>
          <w:sz w:val="9"/>
          <w:szCs w:val="9"/>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tabs>
          <w:tab w:leader="none" w:pos="7340" w:val="left"/>
        </w:tabs>
        <w:rPr>
          <w:sz w:val="20"/>
          <w:szCs w:val="20"/>
          <w:color w:val="auto"/>
        </w:rPr>
      </w:pPr>
      <w:r>
        <w:rPr>
          <w:rFonts w:ascii="Arial" w:cs="Arial" w:eastAsia="Arial" w:hAnsi="Arial"/>
          <w:sz w:val="11"/>
          <w:szCs w:val="11"/>
          <w:color w:val="auto"/>
        </w:rPr>
        <w:t>x</w:t>
      </w:r>
      <w:r>
        <w:rPr>
          <w:sz w:val="20"/>
          <w:szCs w:val="20"/>
          <w:color w:val="auto"/>
        </w:rPr>
        <w:tab/>
      </w:r>
      <w:r>
        <w:rPr>
          <w:rFonts w:ascii="Arial" w:cs="Arial" w:eastAsia="Arial" w:hAnsi="Arial"/>
          <w:sz w:val="11"/>
          <w:szCs w:val="11"/>
          <w:color w:val="auto"/>
        </w:rPr>
        <w:t>Accelerated filer o</w:t>
      </w:r>
    </w:p>
    <w:p>
      <w:pPr>
        <w:spacing w:after="0" w:line="54" w:lineRule="exact"/>
        <w:rPr>
          <w:sz w:val="24"/>
          <w:szCs w:val="24"/>
          <w:color w:val="auto"/>
        </w:rPr>
      </w:pPr>
    </w:p>
    <w:p>
      <w:pPr>
        <w:ind w:left="1740"/>
        <w:spacing w:after="0"/>
        <w:tabs>
          <w:tab w:leader="none" w:pos="7340" w:val="left"/>
        </w:tabs>
        <w:rPr>
          <w:sz w:val="20"/>
          <w:szCs w:val="20"/>
          <w:color w:val="auto"/>
        </w:rPr>
      </w:pPr>
      <w:r>
        <w:rPr>
          <w:rFonts w:ascii="Arial" w:cs="Arial" w:eastAsia="Arial" w:hAnsi="Arial"/>
          <w:sz w:val="11"/>
          <w:szCs w:val="11"/>
          <w:color w:val="auto"/>
        </w:rPr>
        <w:t>(Do not check if a smaller reporting company)</w:t>
      </w:r>
      <w:r>
        <w:rPr>
          <w:sz w:val="20"/>
          <w:szCs w:val="20"/>
          <w:color w:val="auto"/>
        </w:rPr>
        <w:tab/>
      </w:r>
      <w:r>
        <w:rPr>
          <w:rFonts w:ascii="Arial" w:cs="Arial" w:eastAsia="Arial" w:hAnsi="Arial"/>
          <w:sz w:val="10"/>
          <w:szCs w:val="10"/>
          <w:color w:val="auto"/>
        </w:rPr>
        <w:t>Smaller reporting company o</w:t>
      </w:r>
    </w:p>
    <w:p>
      <w:pPr>
        <w:spacing w:after="0" w:line="54" w:lineRule="exact"/>
        <w:rPr>
          <w:sz w:val="24"/>
          <w:szCs w:val="24"/>
          <w:color w:val="auto"/>
        </w:rPr>
      </w:pPr>
    </w:p>
    <w:p>
      <w:pPr>
        <w:ind w:left="7360"/>
        <w:spacing w:after="0"/>
        <w:rPr>
          <w:sz w:val="20"/>
          <w:szCs w:val="20"/>
          <w:color w:val="auto"/>
        </w:rPr>
      </w:pPr>
      <w:r>
        <w:rPr>
          <w:rFonts w:ascii="Arial" w:cs="Arial" w:eastAsia="Arial" w:hAnsi="Arial"/>
          <w:sz w:val="10"/>
          <w:szCs w:val="10"/>
          <w:color w:val="auto"/>
        </w:rPr>
        <w:t>Emerging growth company o</w:t>
      </w:r>
    </w:p>
    <w:p>
      <w:pPr>
        <w:spacing w:after="0" w:line="56" w:lineRule="exact"/>
        <w:rPr>
          <w:sz w:val="24"/>
          <w:szCs w:val="24"/>
          <w:color w:val="auto"/>
        </w:rPr>
      </w:pPr>
    </w:p>
    <w:p>
      <w:pPr>
        <w:sectPr>
          <w:pgSz w:w="11900" w:h="16838" w:orient="portrait"/>
          <w:cols w:equalWidth="0" w:num="3">
            <w:col w:w="980" w:space="0"/>
            <w:col w:w="60" w:space="0"/>
            <w:col w:w="10440"/>
          </w:cols>
          <w:pgMar w:left="220" w:top="521" w:right="199" w:bottom="1440" w:gutter="0" w:footer="0" w:header="0"/>
          <w:type w:val="continuous"/>
        </w:sectPr>
      </w:pPr>
    </w:p>
    <w:p>
      <w:pPr>
        <w:ind w:left="200" w:right="340" w:hanging="197"/>
        <w:spacing w:after="0" w:line="157"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9"/>
          <w:szCs w:val="9"/>
          <w:color w:val="auto"/>
        </w:rPr>
        <w:t xml:space="preserve">Indicate by check mark whether the registrant is a shell company (as defined in Rule 12b-2 of the Exchange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13" w:lineRule="exact"/>
        <w:rPr>
          <w:sz w:val="24"/>
          <w:szCs w:val="24"/>
          <w:color w:val="auto"/>
        </w:rPr>
      </w:pPr>
    </w:p>
    <w:p>
      <w:pPr>
        <w:ind w:firstLine="216"/>
        <w:spacing w:after="0" w:line="239" w:lineRule="auto"/>
        <w:rPr>
          <w:sz w:val="20"/>
          <w:szCs w:val="20"/>
          <w:color w:val="auto"/>
        </w:rPr>
      </w:pPr>
      <w:r>
        <w:rPr>
          <w:rFonts w:ascii="Arial" w:cs="Arial" w:eastAsia="Arial" w:hAnsi="Arial"/>
          <w:sz w:val="10"/>
          <w:szCs w:val="10"/>
          <w:color w:val="auto"/>
        </w:rPr>
        <w:t>The aggregate market value of the registrant’s common stock held by non-affiliates of the registrant was $9,773,962,344 as of June 30, 2017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0"/>
          <w:szCs w:val="10"/>
          <w:color w:val="auto"/>
        </w:rPr>
        <w:t>On February 23, 2018, 80,135,229 shares of the registrant’s common stock were outstanding.</w:t>
      </w:r>
    </w:p>
    <w:p>
      <w:pPr>
        <w:spacing w:after="0" w:line="2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DOCUMENTS INCORPORATED BY REFERENCE</w:t>
      </w:r>
    </w:p>
    <w:p>
      <w:pPr>
        <w:spacing w:after="0" w:line="31" w:lineRule="exact"/>
        <w:rPr>
          <w:sz w:val="24"/>
          <w:szCs w:val="24"/>
          <w:color w:val="auto"/>
        </w:rPr>
      </w:pPr>
    </w:p>
    <w:p>
      <w:pPr>
        <w:ind w:firstLine="216"/>
        <w:spacing w:after="0" w:line="239" w:lineRule="auto"/>
        <w:rPr>
          <w:sz w:val="20"/>
          <w:szCs w:val="20"/>
          <w:color w:val="auto"/>
        </w:rPr>
      </w:pPr>
      <w:r>
        <w:rPr>
          <w:rFonts w:ascii="Arial" w:cs="Arial" w:eastAsia="Arial" w:hAnsi="Arial"/>
          <w:sz w:val="10"/>
          <w:szCs w:val="10"/>
          <w:color w:val="auto"/>
        </w:rPr>
        <w:t>Portions of the registrant’s definitive Proxy Statement relating to its 2018 Annual Stockholders’ Meeting to be filed pursuant to Regulation 14A within 120 days after the registrant’s fiscal year end of December 31, 2017 are incorporated by reference into Part III of this Annual Report on Form 10-K.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521"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120" w:type="dxa"/>
            <w:vAlign w:val="bottom"/>
          </w:tcPr>
          <w:p>
            <w:pPr>
              <w:jc w:val="center"/>
              <w:ind w:right="140"/>
              <w:spacing w:after="0"/>
              <w:rPr>
                <w:sz w:val="20"/>
                <w:szCs w:val="20"/>
                <w:color w:val="auto"/>
              </w:rPr>
            </w:pPr>
            <w:r>
              <w:rPr>
                <w:rFonts w:ascii="Arial" w:cs="Arial" w:eastAsia="Arial" w:hAnsi="Arial"/>
                <w:sz w:val="12"/>
                <w:szCs w:val="12"/>
                <w:b w:val="1"/>
                <w:bCs w:val="1"/>
                <w:color w:val="auto"/>
              </w:rPr>
              <w:t>ALIGN TECHNOLOGY, INC.</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120" w:type="dxa"/>
            <w:vAlign w:val="bottom"/>
          </w:tcPr>
          <w:p>
            <w:pPr>
              <w:jc w:val="center"/>
              <w:ind w:right="160"/>
              <w:spacing w:after="0"/>
              <w:rPr>
                <w:sz w:val="20"/>
                <w:szCs w:val="20"/>
                <w:color w:val="auto"/>
              </w:rPr>
            </w:pPr>
            <w:r>
              <w:rPr>
                <w:rFonts w:ascii="Arial" w:cs="Arial" w:eastAsia="Arial" w:hAnsi="Arial"/>
                <w:sz w:val="12"/>
                <w:szCs w:val="12"/>
                <w:b w:val="1"/>
                <w:bCs w:val="1"/>
                <w:color w:val="auto"/>
              </w:rPr>
              <w:t>FORM 10-K</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120" w:type="dxa"/>
            <w:vAlign w:val="bottom"/>
          </w:tcPr>
          <w:p>
            <w:pPr>
              <w:jc w:val="center"/>
              <w:ind w:right="160"/>
              <w:spacing w:after="0"/>
              <w:rPr>
                <w:sz w:val="20"/>
                <w:szCs w:val="20"/>
                <w:color w:val="auto"/>
              </w:rPr>
            </w:pPr>
            <w:r>
              <w:rPr>
                <w:rFonts w:ascii="Arial" w:cs="Arial" w:eastAsia="Arial" w:hAnsi="Arial"/>
                <w:sz w:val="12"/>
                <w:szCs w:val="12"/>
                <w:b w:val="1"/>
                <w:bCs w:val="1"/>
                <w:color w:val="auto"/>
                <w:w w:val="91"/>
              </w:rPr>
              <w:t>For the Year Ended December 31, 2017</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12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TABLE OF CONTENTS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120" w:type="dxa"/>
            <w:vAlign w:val="bottom"/>
            <w:shd w:val="clear" w:color="auto" w:fill="CCEEFF"/>
          </w:tcPr>
          <w:p>
            <w:pPr>
              <w:spacing w:after="0"/>
              <w:rPr>
                <w:sz w:val="11"/>
                <w:szCs w:val="11"/>
                <w:color w:val="auto"/>
              </w:rPr>
            </w:pPr>
          </w:p>
        </w:tc>
        <w:tc>
          <w:tcPr>
            <w:tcW w:w="58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780" w:type="dxa"/>
            <w:vAlign w:val="bottom"/>
            <w:gridSpan w:val="6"/>
          </w:tcPr>
          <w:p>
            <w:pPr>
              <w:ind w:left="20"/>
              <w:spacing w:after="0" w:line="95" w:lineRule="exact"/>
              <w:rPr>
                <w:rFonts w:ascii="Arial" w:cs="Arial" w:eastAsia="Arial" w:hAnsi="Arial"/>
                <w:sz w:val="11"/>
                <w:szCs w:val="11"/>
                <w:color w:val="0000EE"/>
              </w:rPr>
            </w:pPr>
            <w:hyperlink w:anchor="page3">
              <w:r>
                <w:rPr>
                  <w:rFonts w:ascii="Arial" w:cs="Arial" w:eastAsia="Arial" w:hAnsi="Arial"/>
                  <w:sz w:val="11"/>
                  <w:szCs w:val="11"/>
                  <w:color w:val="0000EE"/>
                </w:rPr>
                <w:t>PART I</w:t>
              </w:r>
            </w:hyperlink>
          </w:p>
        </w:tc>
        <w:tc>
          <w:tcPr>
            <w:tcW w:w="10120" w:type="dxa"/>
            <w:vAlign w:val="bottom"/>
          </w:tcPr>
          <w:p>
            <w:pPr>
              <w:spacing w:after="0"/>
              <w:rPr>
                <w:sz w:val="10"/>
                <w:szCs w:val="10"/>
                <w:color w:val="auto"/>
              </w:rPr>
            </w:pPr>
          </w:p>
        </w:tc>
        <w:tc>
          <w:tcPr>
            <w:tcW w:w="560" w:type="dxa"/>
            <w:vAlign w:val="bottom"/>
            <w:gridSpan w:val="2"/>
          </w:tcPr>
          <w:p>
            <w:pPr>
              <w:jc w:val="right"/>
              <w:spacing w:after="0" w:line="106" w:lineRule="exact"/>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80" w:type="dxa"/>
            <w:vAlign w:val="bottom"/>
            <w:gridSpan w:val="6"/>
            <w:shd w:val="clear" w:color="auto" w:fill="CCEEFF"/>
          </w:tcPr>
          <w:p>
            <w:pPr>
              <w:ind w:left="20"/>
              <w:spacing w:after="0"/>
              <w:rPr>
                <w:sz w:val="20"/>
                <w:szCs w:val="20"/>
                <w:color w:val="auto"/>
              </w:rPr>
            </w:pPr>
            <w:r>
              <w:rPr>
                <w:rFonts w:ascii="Arial" w:cs="Arial" w:eastAsia="Arial" w:hAnsi="Arial"/>
                <w:sz w:val="12"/>
                <w:szCs w:val="12"/>
                <w:color w:val="auto"/>
              </w:rPr>
              <w:t>Item 1.</w:t>
            </w:r>
          </w:p>
        </w:tc>
        <w:tc>
          <w:tcPr>
            <w:tcW w:w="101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Business</w:t>
            </w:r>
          </w:p>
        </w:tc>
        <w:tc>
          <w:tcPr>
            <w:tcW w:w="560" w:type="dxa"/>
            <w:vAlign w:val="bottom"/>
            <w:gridSpan w:val="2"/>
            <w:shd w:val="clear" w:color="auto" w:fill="CCEEFF"/>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3</w:t>
              </w:r>
            </w:hyperlink>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Executive Officers of the Registrant</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13">
              <w:r>
                <w:rPr>
                  <w:rFonts w:ascii="Arial" w:cs="Arial" w:eastAsia="Arial" w:hAnsi="Arial"/>
                  <w:sz w:val="12"/>
                  <w:szCs w:val="12"/>
                  <w:color w:val="0000EE"/>
                </w:rPr>
                <w:t>13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1A.</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Risk Factors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15">
              <w:r>
                <w:rPr>
                  <w:rFonts w:ascii="Arial" w:cs="Arial" w:eastAsia="Arial" w:hAnsi="Arial"/>
                  <w:sz w:val="12"/>
                  <w:szCs w:val="12"/>
                  <w:color w:val="0000EE"/>
                </w:rPr>
                <w:t>15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1B.</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Unresolved Staff Comments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29">
              <w:r>
                <w:rPr>
                  <w:rFonts w:ascii="Arial" w:cs="Arial" w:eastAsia="Arial" w:hAnsi="Arial"/>
                  <w:sz w:val="12"/>
                  <w:szCs w:val="12"/>
                  <w:color w:val="0000EE"/>
                </w:rPr>
                <w:t>29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2.</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Properties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29">
              <w:r>
                <w:rPr>
                  <w:rFonts w:ascii="Arial" w:cs="Arial" w:eastAsia="Arial" w:hAnsi="Arial"/>
                  <w:sz w:val="12"/>
                  <w:szCs w:val="12"/>
                  <w:color w:val="0000EE"/>
                </w:rPr>
                <w:t>29</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3.</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Legal Proceedings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29">
              <w:r>
                <w:rPr>
                  <w:rFonts w:ascii="Arial" w:cs="Arial" w:eastAsia="Arial" w:hAnsi="Arial"/>
                  <w:sz w:val="12"/>
                  <w:szCs w:val="12"/>
                  <w:color w:val="0000EE"/>
                </w:rPr>
                <w:t>29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4.</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Mine Safety Disclosures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30">
              <w:r>
                <w:rPr>
                  <w:rFonts w:ascii="Arial" w:cs="Arial" w:eastAsia="Arial" w:hAnsi="Arial"/>
                  <w:sz w:val="12"/>
                  <w:szCs w:val="12"/>
                  <w:color w:val="0000EE"/>
                </w:rPr>
                <w:t>30</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rFonts w:ascii="Arial" w:cs="Arial" w:eastAsia="Arial" w:hAnsi="Arial"/>
                <w:sz w:val="12"/>
                <w:szCs w:val="12"/>
                <w:color w:val="0000EE"/>
              </w:rPr>
            </w:pPr>
            <w:hyperlink w:anchor="page31">
              <w:r>
                <w:rPr>
                  <w:rFonts w:ascii="Arial" w:cs="Arial" w:eastAsia="Arial" w:hAnsi="Arial"/>
                  <w:sz w:val="12"/>
                  <w:szCs w:val="12"/>
                  <w:color w:val="0000EE"/>
                </w:rPr>
                <w:t>PART II</w:t>
              </w:r>
            </w:hyperlink>
          </w:p>
        </w:tc>
        <w:tc>
          <w:tcPr>
            <w:tcW w:w="10120" w:type="dxa"/>
            <w:vAlign w:val="bottom"/>
          </w:tcPr>
          <w:p>
            <w:pPr>
              <w:spacing w:after="0"/>
              <w:rPr>
                <w:sz w:val="11"/>
                <w:szCs w:val="11"/>
                <w:color w:val="auto"/>
              </w:rPr>
            </w:pPr>
          </w:p>
        </w:tc>
        <w:tc>
          <w:tcPr>
            <w:tcW w:w="560" w:type="dxa"/>
            <w:vAlign w:val="bottom"/>
            <w:gridSpan w:val="2"/>
          </w:tcPr>
          <w:p>
            <w:pPr>
              <w:jc w:val="right"/>
              <w:spacing w:after="0" w:line="135" w:lineRule="exact"/>
              <w:rPr>
                <w:rFonts w:ascii="Arial" w:cs="Arial" w:eastAsia="Arial" w:hAnsi="Arial"/>
                <w:sz w:val="12"/>
                <w:szCs w:val="12"/>
                <w:color w:val="0000EE"/>
              </w:rPr>
            </w:pPr>
            <w:hyperlink w:anchor="page31">
              <w:r>
                <w:rPr>
                  <w:rFonts w:ascii="Arial" w:cs="Arial" w:eastAsia="Arial" w:hAnsi="Arial"/>
                  <w:sz w:val="12"/>
                  <w:szCs w:val="12"/>
                  <w:color w:val="0000EE"/>
                </w:rPr>
                <w:t>31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5.</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Market for Registrant’s Common Equity, Related Stockholder Matters and Issuer Purchases of Equity Securities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31">
              <w:r>
                <w:rPr>
                  <w:rFonts w:ascii="Arial" w:cs="Arial" w:eastAsia="Arial" w:hAnsi="Arial"/>
                  <w:sz w:val="12"/>
                  <w:szCs w:val="12"/>
                  <w:color w:val="0000EE"/>
                </w:rPr>
                <w:t>31</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6.</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Selected Consolidated Financial Data</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33">
              <w:r>
                <w:rPr>
                  <w:rFonts w:ascii="Arial" w:cs="Arial" w:eastAsia="Arial" w:hAnsi="Arial"/>
                  <w:sz w:val="12"/>
                  <w:szCs w:val="12"/>
                  <w:color w:val="0000EE"/>
                </w:rPr>
                <w:t>33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7.</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35">
              <w:r>
                <w:rPr>
                  <w:rFonts w:ascii="Arial" w:cs="Arial" w:eastAsia="Arial" w:hAnsi="Arial"/>
                  <w:sz w:val="12"/>
                  <w:szCs w:val="12"/>
                  <w:color w:val="0000EE"/>
                </w:rPr>
                <w:t>35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7A.</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Quantitative and Qualitative Disclosures About Market Risk</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52">
              <w:r>
                <w:rPr>
                  <w:rFonts w:ascii="Arial" w:cs="Arial" w:eastAsia="Arial" w:hAnsi="Arial"/>
                  <w:sz w:val="12"/>
                  <w:szCs w:val="12"/>
                  <w:color w:val="0000EE"/>
                </w:rPr>
                <w:t>52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8.</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Consolidated Financial Statements and Supplementary Data</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53">
              <w:r>
                <w:rPr>
                  <w:rFonts w:ascii="Arial" w:cs="Arial" w:eastAsia="Arial" w:hAnsi="Arial"/>
                  <w:sz w:val="12"/>
                  <w:szCs w:val="12"/>
                  <w:color w:val="0000EE"/>
                </w:rPr>
                <w:t>53</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9.</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Changes in and Disagreements with Accountants on Accounting and Financial Disclosure</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4">
              <w:r>
                <w:rPr>
                  <w:rFonts w:ascii="Arial" w:cs="Arial" w:eastAsia="Arial" w:hAnsi="Arial"/>
                  <w:sz w:val="12"/>
                  <w:szCs w:val="12"/>
                  <w:color w:val="0000EE"/>
                </w:rPr>
                <w:t>94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9A.</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Controls and Procedures</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4">
              <w:r>
                <w:rPr>
                  <w:rFonts w:ascii="Arial" w:cs="Arial" w:eastAsia="Arial" w:hAnsi="Arial"/>
                  <w:sz w:val="12"/>
                  <w:szCs w:val="12"/>
                  <w:color w:val="0000EE"/>
                </w:rPr>
                <w:t>94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9B.</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Other Information</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4">
              <w:r>
                <w:rPr>
                  <w:rFonts w:ascii="Arial" w:cs="Arial" w:eastAsia="Arial" w:hAnsi="Arial"/>
                  <w:sz w:val="12"/>
                  <w:szCs w:val="12"/>
                  <w:color w:val="0000EE"/>
                </w:rPr>
                <w:t>94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PART III</w:t>
              </w:r>
            </w:hyperlink>
          </w:p>
        </w:tc>
        <w:tc>
          <w:tcPr>
            <w:tcW w:w="10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10.</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Directors, Executive Officers and Corporate Governance</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11.</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Executive Compensation</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5">
              <w:r>
                <w:rPr>
                  <w:rFonts w:ascii="Arial" w:cs="Arial" w:eastAsia="Arial" w:hAnsi="Arial"/>
                  <w:sz w:val="12"/>
                  <w:szCs w:val="12"/>
                  <w:color w:val="0000EE"/>
                </w:rPr>
                <w:t>95</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12.</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Security Ownership of Certain Beneficial Owners and Management and Related Stockholder Matters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6">
              <w:r>
                <w:rPr>
                  <w:rFonts w:ascii="Arial" w:cs="Arial" w:eastAsia="Arial" w:hAnsi="Arial"/>
                  <w:sz w:val="12"/>
                  <w:szCs w:val="12"/>
                  <w:color w:val="0000EE"/>
                </w:rPr>
                <w:t>96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2"/>
                <w:szCs w:val="12"/>
                <w:color w:val="auto"/>
              </w:rPr>
              <w:t>Item 13.</w:t>
            </w:r>
          </w:p>
        </w:tc>
        <w:tc>
          <w:tcPr>
            <w:tcW w:w="1012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Certain Relationships and Related Transactions and Director Independence</w:t>
            </w: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6">
              <w:r>
                <w:rPr>
                  <w:rFonts w:ascii="Arial" w:cs="Arial" w:eastAsia="Arial" w:hAnsi="Arial"/>
                  <w:sz w:val="12"/>
                  <w:szCs w:val="12"/>
                  <w:color w:val="0000EE"/>
                </w:rPr>
                <w:t>96</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14.</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Principal Accounting Fees and Services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6">
              <w:r>
                <w:rPr>
                  <w:rFonts w:ascii="Arial" w:cs="Arial" w:eastAsia="Arial" w:hAnsi="Arial"/>
                  <w:sz w:val="12"/>
                  <w:szCs w:val="12"/>
                  <w:color w:val="0000EE"/>
                </w:rPr>
                <w:t>96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shd w:val="clear" w:color="auto" w:fill="CCEEFF"/>
          </w:tcPr>
          <w:p>
            <w:pPr>
              <w:ind w:left="20"/>
              <w:spacing w:after="0" w:line="135" w:lineRule="exact"/>
              <w:rPr>
                <w:rFonts w:ascii="Arial" w:cs="Arial" w:eastAsia="Arial" w:hAnsi="Arial"/>
                <w:sz w:val="12"/>
                <w:szCs w:val="12"/>
                <w:color w:val="0000EE"/>
              </w:rPr>
            </w:pPr>
            <w:hyperlink w:anchor="page97">
              <w:r>
                <w:rPr>
                  <w:rFonts w:ascii="Arial" w:cs="Arial" w:eastAsia="Arial" w:hAnsi="Arial"/>
                  <w:sz w:val="12"/>
                  <w:szCs w:val="12"/>
                  <w:color w:val="0000EE"/>
                </w:rPr>
                <w:t>PART IV</w:t>
              </w:r>
            </w:hyperlink>
          </w:p>
        </w:tc>
        <w:tc>
          <w:tcPr>
            <w:tcW w:w="10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rFonts w:ascii="Arial" w:cs="Arial" w:eastAsia="Arial" w:hAnsi="Arial"/>
                <w:sz w:val="12"/>
                <w:szCs w:val="12"/>
                <w:color w:val="0000EE"/>
              </w:rPr>
            </w:pPr>
            <w:hyperlink w:anchor="page97">
              <w:r>
                <w:rPr>
                  <w:rFonts w:ascii="Arial" w:cs="Arial" w:eastAsia="Arial" w:hAnsi="Arial"/>
                  <w:sz w:val="12"/>
                  <w:szCs w:val="12"/>
                  <w:color w:val="0000EE"/>
                </w:rPr>
                <w:t>97</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Item 15.</w:t>
            </w:r>
          </w:p>
        </w:tc>
        <w:tc>
          <w:tcPr>
            <w:tcW w:w="10120" w:type="dxa"/>
            <w:vAlign w:val="bottom"/>
          </w:tcPr>
          <w:p>
            <w:pPr>
              <w:ind w:left="260"/>
              <w:spacing w:after="0" w:line="135" w:lineRule="exact"/>
              <w:rPr>
                <w:sz w:val="20"/>
                <w:szCs w:val="20"/>
                <w:color w:val="auto"/>
              </w:rPr>
            </w:pPr>
            <w:r>
              <w:rPr>
                <w:rFonts w:ascii="Arial" w:cs="Arial" w:eastAsia="Arial" w:hAnsi="Arial"/>
                <w:sz w:val="12"/>
                <w:szCs w:val="12"/>
                <w:color w:val="auto"/>
              </w:rPr>
              <w:t>Exhibits, Financial Statement Schedules</w:t>
            </w:r>
          </w:p>
        </w:tc>
        <w:tc>
          <w:tcPr>
            <w:tcW w:w="560" w:type="dxa"/>
            <w:vAlign w:val="bottom"/>
            <w:gridSpan w:val="2"/>
          </w:tcPr>
          <w:p>
            <w:pPr>
              <w:jc w:val="right"/>
              <w:spacing w:after="0" w:line="135" w:lineRule="exact"/>
              <w:rPr>
                <w:rFonts w:ascii="Arial" w:cs="Arial" w:eastAsia="Arial" w:hAnsi="Arial"/>
                <w:sz w:val="12"/>
                <w:szCs w:val="12"/>
                <w:color w:val="0000EE"/>
              </w:rPr>
            </w:pPr>
            <w:hyperlink w:anchor="page97">
              <w:r>
                <w:rPr>
                  <w:rFonts w:ascii="Arial" w:cs="Arial" w:eastAsia="Arial" w:hAnsi="Arial"/>
                  <w:sz w:val="12"/>
                  <w:szCs w:val="12"/>
                  <w:color w:val="0000EE"/>
                </w:rPr>
                <w:t>97</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80" w:type="dxa"/>
            <w:vAlign w:val="bottom"/>
            <w:gridSpan w:val="6"/>
            <w:shd w:val="clear" w:color="auto" w:fill="CCEEFF"/>
          </w:tcPr>
          <w:p>
            <w:pPr>
              <w:ind w:left="20"/>
              <w:spacing w:after="0"/>
              <w:rPr>
                <w:sz w:val="20"/>
                <w:szCs w:val="20"/>
                <w:color w:val="auto"/>
              </w:rPr>
            </w:pPr>
            <w:r>
              <w:rPr>
                <w:rFonts w:ascii="Arial" w:cs="Arial" w:eastAsia="Arial" w:hAnsi="Arial"/>
                <w:sz w:val="12"/>
                <w:szCs w:val="12"/>
                <w:color w:val="auto"/>
              </w:rPr>
              <w:t>Item 16.</w:t>
            </w:r>
          </w:p>
        </w:tc>
        <w:tc>
          <w:tcPr>
            <w:tcW w:w="1012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Form 10-K Summary</w:t>
            </w:r>
          </w:p>
        </w:tc>
        <w:tc>
          <w:tcPr>
            <w:tcW w:w="560" w:type="dxa"/>
            <w:vAlign w:val="bottom"/>
            <w:gridSpan w:val="2"/>
            <w:vMerge w:val="restart"/>
            <w:shd w:val="clear" w:color="auto" w:fill="CCEEFF"/>
          </w:tcPr>
          <w:p>
            <w:pPr>
              <w:jc w:val="right"/>
              <w:spacing w:after="0"/>
              <w:rPr>
                <w:rFonts w:ascii="Arial" w:cs="Arial" w:eastAsia="Arial" w:hAnsi="Arial"/>
                <w:sz w:val="12"/>
                <w:szCs w:val="12"/>
                <w:color w:val="0000EE"/>
              </w:rPr>
            </w:pPr>
            <w:hyperlink w:anchor="page101">
              <w:r>
                <w:rPr>
                  <w:rFonts w:ascii="Arial" w:cs="Arial" w:eastAsia="Arial" w:hAnsi="Arial"/>
                  <w:sz w:val="12"/>
                  <w:szCs w:val="12"/>
                  <w:color w:val="0000EE"/>
                </w:rPr>
                <w:t>101</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120" w:type="dxa"/>
            <w:vAlign w:val="bottom"/>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gridSpan w:val="6"/>
          </w:tcPr>
          <w:p>
            <w:pPr>
              <w:ind w:left="20"/>
              <w:spacing w:after="0" w:line="135" w:lineRule="exact"/>
              <w:rPr>
                <w:sz w:val="20"/>
                <w:szCs w:val="20"/>
                <w:color w:val="auto"/>
              </w:rPr>
            </w:pPr>
            <w:r>
              <w:rPr>
                <w:rFonts w:ascii="Arial" w:cs="Arial" w:eastAsia="Arial" w:hAnsi="Arial"/>
                <w:sz w:val="12"/>
                <w:szCs w:val="12"/>
                <w:color w:val="auto"/>
              </w:rPr>
              <w:t>Signatures</w:t>
            </w:r>
          </w:p>
        </w:tc>
        <w:tc>
          <w:tcPr>
            <w:tcW w:w="10120" w:type="dxa"/>
            <w:vAlign w:val="bottom"/>
          </w:tcPr>
          <w:p>
            <w:pPr>
              <w:spacing w:after="0"/>
              <w:rPr>
                <w:sz w:val="11"/>
                <w:szCs w:val="11"/>
                <w:color w:val="auto"/>
              </w:rPr>
            </w:pPr>
          </w:p>
        </w:tc>
        <w:tc>
          <w:tcPr>
            <w:tcW w:w="560" w:type="dxa"/>
            <w:vAlign w:val="bottom"/>
            <w:gridSpan w:val="2"/>
          </w:tcPr>
          <w:p>
            <w:pPr>
              <w:jc w:val="right"/>
              <w:spacing w:after="0" w:line="135" w:lineRule="exact"/>
              <w:rPr>
                <w:rFonts w:ascii="Arial" w:cs="Arial" w:eastAsia="Arial" w:hAnsi="Arial"/>
                <w:sz w:val="12"/>
                <w:szCs w:val="12"/>
                <w:color w:val="0000EE"/>
              </w:rPr>
            </w:pPr>
            <w:hyperlink w:anchor="page102">
              <w:r>
                <w:rPr>
                  <w:rFonts w:ascii="Arial" w:cs="Arial" w:eastAsia="Arial" w:hAnsi="Arial"/>
                  <w:sz w:val="12"/>
                  <w:szCs w:val="12"/>
                  <w:color w:val="0000EE"/>
                </w:rPr>
                <w:t>102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Invisalign, Align, the Invisalign logo, ClinCheck, Made to Move, Invisalign Assist, Invisalign Teen, Invisalign Go,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33" w:right="199" w:bottom="1440" w:gutter="0" w:footer="0" w:header="0"/>
        </w:sectPr>
      </w:pPr>
    </w:p>
    <w:bookmarkStart w:id="2" w:name="page3"/>
    <w:bookmarkEnd w:id="2"/>
    <w:p>
      <w:pPr>
        <w:jc w:val="both"/>
        <w:ind w:firstLine="288"/>
        <w:spacing w:after="0" w:line="279" w:lineRule="auto"/>
        <w:rPr>
          <w:sz w:val="20"/>
          <w:szCs w:val="20"/>
          <w:color w:val="auto"/>
        </w:rPr>
      </w:pPr>
      <w:r>
        <w:rPr>
          <w:rFonts w:ascii="Arial" w:cs="Arial" w:eastAsia="Arial" w:hAnsi="Arial"/>
          <w:sz w:val="11"/>
          <w:szCs w:val="11"/>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establishing regional order acquisition, treatment planning and manufacturing facilities, as well as the anticipated timing of such facilities being operational, our expectations regarding the continued expansion of our international markets, impact of the U.S. Tax Cuts and Jobs Act,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Company</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Align Technology, Inc (“We”, “Our”, “Align”) is a global medical device company engaged in the design, manufacture and marketing of Invisalign® clear aligners and iTero® intraoral scanners and services for orthodontics, restorative and aesthetic dentistry. Align’s products are intended primarily for the treatment of malocclusion or the misalignment of teeth and are designed to help dental professionals achieve the clinical outcomes that they expect. Align Technology was founded in March 1997 and incorporated in Delaware in April 1997. Our headquarters is located at 2820 Orchard Parkway, San Jose, California 95134, and our telephone number is 408-470-1000. Our internet address is www.aligntech.com. Our European headquarters is located in Amsterdam, the Netherlands and our Asia Pacific headquarters is located in Singapore.</w:t>
      </w:r>
    </w:p>
    <w:p>
      <w:pPr>
        <w:spacing w:after="0" w:line="12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have two operating segments: (1) Clear Aligner and (2) Scanners and Services ("Scanner"). For the year ended December 31, 2017, Clear Aligner net revenues represent approximately 89% of worldwide net revenues, while Scanner represent the remaining 11% of worldwide net revenues. We sell the vast majority of our products directly to our customers: orthodontists and general practitioner dentists ("GPs"), as well as to restorative and aesthetic dentists, including prosthodontists, periodontists, and oral surgeons. Our Clear Aligner operating segment includes revenues from non-Invisalign aligners supplied to SmileDirectClub, LLC ("SDC"). Refer to "Supply Agreement with SmileDirectClub, LLC" section.</w:t>
      </w:r>
    </w:p>
    <w:p>
      <w:pPr>
        <w:spacing w:after="0" w:line="12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received 510(k) clearance from the United States Food and Drug Administration (“FDA”) to market the Invisalign System in 1998. The Invisalign System is regulated by the FDA as a Class II medical device. In order to provide Invisalign treatment to their patients, orthodontists and GPs must initially complete an Invisalign training course. The Invisalign System is sold primarily through a direct sales force in North America, Asia Pacific ("APAC"), Europe, Middle East and Africa (EMEA) and Latin America. To date, over 5.2 million people worldwide have been treated with our Invisalign System.</w:t>
      </w:r>
    </w:p>
    <w:p>
      <w:pPr>
        <w:spacing w:after="0" w:line="123"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Our iTero scanner is used by dental professionals and/or labs and service providers for restorative and orthodontic digital procedures as well as Invisalign case submission. We received 510(k) clearance from the FDA to market iTero software for expanded indications in 2013. Scanners and CAD/CAM Services are primarily sold through our direct sales force and a few distributors in North America, Europe and certain Asia Pacific countries, and through distribution partners in Thailand, Scandinavia and Russia.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545" w:right="199" w:bottom="1440" w:gutter="0" w:footer="0" w:header="0"/>
        </w:sectPr>
      </w:pPr>
    </w:p>
    <w:bookmarkStart w:id="3" w:name="page4"/>
    <w:bookmarkEnd w:id="3"/>
    <w:p>
      <w:pPr>
        <w:ind w:left="140"/>
        <w:spacing w:after="0"/>
        <w:rPr>
          <w:sz w:val="20"/>
          <w:szCs w:val="20"/>
          <w:color w:val="auto"/>
        </w:rPr>
      </w:pPr>
      <w:r>
        <w:rPr>
          <w:rFonts w:ascii="Arial" w:cs="Arial" w:eastAsia="Arial" w:hAnsi="Arial"/>
          <w:sz w:val="12"/>
          <w:szCs w:val="12"/>
          <w:b w:val="1"/>
          <w:bCs w:val="1"/>
          <w:i w:val="1"/>
          <w:iCs w:val="1"/>
          <w:color w:val="auto"/>
        </w:rPr>
        <w:t>Our Products and Services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00" w:type="dxa"/>
            <w:vAlign w:val="bottom"/>
          </w:tcPr>
          <w:p>
            <w:pPr>
              <w:ind w:left="280"/>
              <w:spacing w:after="0"/>
              <w:rPr>
                <w:sz w:val="20"/>
                <w:szCs w:val="20"/>
                <w:color w:val="auto"/>
              </w:rPr>
            </w:pPr>
            <w:r>
              <w:rPr>
                <w:rFonts w:ascii="Arial" w:cs="Arial" w:eastAsia="Arial" w:hAnsi="Arial"/>
                <w:sz w:val="12"/>
                <w:szCs w:val="12"/>
                <w:color w:val="auto"/>
              </w:rPr>
              <w:t>Our net revenues are generated from the sale of the following product offerings:</w:t>
            </w: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72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Fiscal Year</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Percentage of Net Revenues by Product</w:t>
            </w:r>
          </w:p>
        </w:tc>
        <w:tc>
          <w:tcPr>
            <w:tcW w:w="156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2"/>
                <w:szCs w:val="12"/>
                <w:b w:val="1"/>
                <w:bCs w:val="1"/>
                <w:color w:val="auto"/>
              </w:rPr>
              <w:t>2017</w:t>
            </w:r>
          </w:p>
        </w:tc>
        <w:tc>
          <w:tcPr>
            <w:tcW w:w="14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b w:val="1"/>
                <w:bCs w:val="1"/>
                <w:color w:val="auto"/>
              </w:rPr>
              <w:t>2016</w:t>
            </w:r>
          </w:p>
        </w:tc>
        <w:tc>
          <w:tcPr>
            <w:tcW w:w="108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142"/>
        </w:trPr>
        <w:tc>
          <w:tcPr>
            <w:tcW w:w="7200" w:type="dxa"/>
            <w:vAlign w:val="bottom"/>
          </w:tcPr>
          <w:p>
            <w:pPr>
              <w:ind w:left="20"/>
              <w:spacing w:after="0"/>
              <w:rPr>
                <w:sz w:val="20"/>
                <w:szCs w:val="20"/>
                <w:color w:val="auto"/>
              </w:rPr>
            </w:pPr>
            <w:r>
              <w:rPr>
                <w:rFonts w:ascii="Arial" w:cs="Arial" w:eastAsia="Arial" w:hAnsi="Arial"/>
                <w:sz w:val="12"/>
                <w:szCs w:val="12"/>
                <w:color w:val="auto"/>
              </w:rPr>
              <w:t>Clear Aligner Segment</w:t>
            </w:r>
          </w:p>
        </w:tc>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Products</w:t>
            </w:r>
          </w:p>
        </w:tc>
        <w:tc>
          <w:tcPr>
            <w:tcW w:w="15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69%</w:t>
            </w:r>
          </w:p>
        </w:tc>
        <w:tc>
          <w:tcPr>
            <w:tcW w:w="14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72%</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62"/>
        </w:trPr>
        <w:tc>
          <w:tcPr>
            <w:tcW w:w="7200" w:type="dxa"/>
            <w:vAlign w:val="bottom"/>
          </w:tcPr>
          <w:p>
            <w:pPr>
              <w:ind w:left="140"/>
              <w:spacing w:after="0"/>
              <w:rPr>
                <w:sz w:val="20"/>
                <w:szCs w:val="20"/>
                <w:color w:val="auto"/>
              </w:rPr>
            </w:pPr>
            <w:r>
              <w:rPr>
                <w:rFonts w:ascii="Arial" w:cs="Arial" w:eastAsia="Arial" w:hAnsi="Arial"/>
                <w:sz w:val="12"/>
                <w:szCs w:val="12"/>
                <w:color w:val="auto"/>
              </w:rPr>
              <w:t>Non-Comprehensive Products</w:t>
            </w:r>
          </w:p>
        </w:tc>
        <w:tc>
          <w:tcPr>
            <w:tcW w:w="1560" w:type="dxa"/>
            <w:vAlign w:val="bottom"/>
            <w:vMerge w:val="restart"/>
          </w:tcPr>
          <w:p>
            <w:pPr>
              <w:jc w:val="right"/>
              <w:ind w:right="260"/>
              <w:spacing w:after="0"/>
              <w:rPr>
                <w:sz w:val="20"/>
                <w:szCs w:val="20"/>
                <w:color w:val="auto"/>
              </w:rPr>
            </w:pPr>
            <w:r>
              <w:rPr>
                <w:rFonts w:ascii="Arial" w:cs="Arial" w:eastAsia="Arial" w:hAnsi="Arial"/>
                <w:sz w:val="12"/>
                <w:szCs w:val="12"/>
                <w:color w:val="auto"/>
              </w:rPr>
              <w:t>14</w:t>
            </w:r>
          </w:p>
        </w:tc>
        <w:tc>
          <w:tcPr>
            <w:tcW w:w="1440" w:type="dxa"/>
            <w:vAlign w:val="bottom"/>
            <w:vMerge w:val="restart"/>
          </w:tcPr>
          <w:p>
            <w:pPr>
              <w:jc w:val="right"/>
              <w:ind w:right="340"/>
              <w:spacing w:after="0"/>
              <w:rPr>
                <w:sz w:val="20"/>
                <w:szCs w:val="20"/>
                <w:color w:val="auto"/>
              </w:rPr>
            </w:pPr>
            <w:r>
              <w:rPr>
                <w:rFonts w:ascii="Arial" w:cs="Arial" w:eastAsia="Arial" w:hAnsi="Arial"/>
                <w:sz w:val="12"/>
                <w:szCs w:val="12"/>
                <w:color w:val="auto"/>
              </w:rPr>
              <w:t>11</w:t>
            </w:r>
          </w:p>
        </w:tc>
        <w:tc>
          <w:tcPr>
            <w:tcW w:w="1080" w:type="dxa"/>
            <w:vAlign w:val="bottom"/>
            <w:vMerge w:val="restart"/>
          </w:tcPr>
          <w:p>
            <w:pPr>
              <w:jc w:val="right"/>
              <w:ind w:right="6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3"/>
        </w:trPr>
        <w:tc>
          <w:tcPr>
            <w:tcW w:w="72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Non-Case Products</w:t>
            </w:r>
          </w:p>
        </w:tc>
        <w:tc>
          <w:tcPr>
            <w:tcW w:w="15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6</w:t>
            </w:r>
          </w:p>
        </w:tc>
        <w:tc>
          <w:tcPr>
            <w:tcW w:w="14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6</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0"/>
        </w:trPr>
        <w:tc>
          <w:tcPr>
            <w:tcW w:w="7200" w:type="dxa"/>
            <w:vAlign w:val="bottom"/>
          </w:tcPr>
          <w:p>
            <w:pPr>
              <w:ind w:left="20"/>
              <w:spacing w:after="0"/>
              <w:rPr>
                <w:sz w:val="20"/>
                <w:szCs w:val="20"/>
                <w:color w:val="auto"/>
              </w:rPr>
            </w:pPr>
            <w:r>
              <w:rPr>
                <w:rFonts w:ascii="Arial" w:cs="Arial" w:eastAsia="Arial" w:hAnsi="Arial"/>
                <w:sz w:val="12"/>
                <w:szCs w:val="12"/>
                <w:color w:val="auto"/>
              </w:rPr>
              <w:t>Total Clear Aligner Segment</w:t>
            </w:r>
          </w:p>
        </w:tc>
        <w:tc>
          <w:tcPr>
            <w:tcW w:w="1560" w:type="dxa"/>
            <w:vAlign w:val="bottom"/>
          </w:tcPr>
          <w:p>
            <w:pPr>
              <w:jc w:val="right"/>
              <w:ind w:right="260"/>
              <w:spacing w:after="0"/>
              <w:rPr>
                <w:sz w:val="20"/>
                <w:szCs w:val="20"/>
                <w:color w:val="auto"/>
              </w:rPr>
            </w:pPr>
            <w:r>
              <w:rPr>
                <w:rFonts w:ascii="Arial" w:cs="Arial" w:eastAsia="Arial" w:hAnsi="Arial"/>
                <w:sz w:val="12"/>
                <w:szCs w:val="12"/>
                <w:color w:val="auto"/>
              </w:rPr>
              <w:t>89</w:t>
            </w:r>
          </w:p>
        </w:tc>
        <w:tc>
          <w:tcPr>
            <w:tcW w:w="1440" w:type="dxa"/>
            <w:vAlign w:val="bottom"/>
          </w:tcPr>
          <w:p>
            <w:pPr>
              <w:jc w:val="right"/>
              <w:ind w:right="340"/>
              <w:spacing w:after="0"/>
              <w:rPr>
                <w:sz w:val="20"/>
                <w:szCs w:val="20"/>
                <w:color w:val="auto"/>
              </w:rPr>
            </w:pPr>
            <w:r>
              <w:rPr>
                <w:rFonts w:ascii="Arial" w:cs="Arial" w:eastAsia="Arial" w:hAnsi="Arial"/>
                <w:sz w:val="12"/>
                <w:szCs w:val="12"/>
                <w:color w:val="auto"/>
              </w:rPr>
              <w:t>89</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Scanners Segment</w:t>
            </w:r>
          </w:p>
        </w:tc>
        <w:tc>
          <w:tcPr>
            <w:tcW w:w="15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11</w:t>
            </w:r>
          </w:p>
        </w:tc>
        <w:tc>
          <w:tcPr>
            <w:tcW w:w="14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11</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6"/>
        </w:trPr>
        <w:tc>
          <w:tcPr>
            <w:tcW w:w="7200" w:type="dxa"/>
            <w:vAlign w:val="bottom"/>
          </w:tcPr>
          <w:p>
            <w:pPr>
              <w:ind w:left="20"/>
              <w:spacing w:after="0"/>
              <w:rPr>
                <w:sz w:val="20"/>
                <w:szCs w:val="20"/>
                <w:color w:val="auto"/>
              </w:rPr>
            </w:pPr>
            <w:r>
              <w:rPr>
                <w:rFonts w:ascii="Arial" w:cs="Arial" w:eastAsia="Arial" w:hAnsi="Arial"/>
                <w:sz w:val="12"/>
                <w:szCs w:val="12"/>
                <w:color w:val="auto"/>
              </w:rPr>
              <w:t>Total Net Revenues</w:t>
            </w: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100%</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Clear Aligner Segment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Malocclusion and Traditional Orthodontic Treatment</w:t>
      </w:r>
    </w:p>
    <w:p>
      <w:pPr>
        <w:spacing w:after="0" w:line="150"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Malocclusion, or the misalignment of teeth, is one of the most prevalent clinical dental conditions, affecting billions of people, or approximately 60% to 75% of the population. Annually, approximately 10 million people in major developed countries elect treatment by orthodontists worldwide. Most orthodontic patients are treated with the use of traditional methods such as metal arch wires and brackets, referred to as braces, and may be augmented with elastics, metal expanders, headgear or functional appliances, and other ancillary devices as needed. Upon completion of the treatment, the dental professional may, at his or her discretion, have the patient use a retainer appliance. Of the 10 million annual orthodontic cases started, approximately 60% or 6 million are applicable to Invisalign treatment - our served market. In addition, approximately 300 million people with malocclusion could benefit from straightening their teeth, but are unlikely to seek treatment through a doctor’s office. This represents an incremental opportunity for us as we expand the market for orthodontics by educating more consumers about the benefits of straighter teeth using Invisalign clear aligners and connect them with an Invisalign doctor of their choice.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The Invisalign System</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Invisalign System is a proprietary method for treating malocclusion based on a series of doctor-prescribed, custom manufactured, clear plastic, removable aligners. The Invisalign System offers a range of treatment options, specialized services, and proprietary software for treatment visualization and is comprised of the following phases:</w:t>
      </w:r>
    </w:p>
    <w:p>
      <w:pPr>
        <w:spacing w:after="0" w:line="11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i w:val="1"/>
          <w:iCs w:val="1"/>
          <w:color w:val="auto"/>
        </w:rPr>
        <w:t>Orthodontic diagnosis and transmission of treatment data to us</w:t>
      </w:r>
      <w:r>
        <w:rPr>
          <w:rFonts w:ascii="Arial" w:cs="Arial" w:eastAsia="Arial" w:hAnsi="Arial"/>
          <w:sz w:val="12"/>
          <w:szCs w:val="12"/>
          <w:color w:val="auto"/>
        </w:rPr>
        <w:t>. The Invisalign-trained dental professional prepares and sends us a patient’s treatment data package which consists of a prescription form, a polyvinyl-siloxane (or</w:t>
      </w:r>
      <w:r>
        <w:rPr>
          <w:rFonts w:ascii="Arial" w:cs="Arial" w:eastAsia="Arial" w:hAnsi="Arial"/>
          <w:sz w:val="12"/>
          <w:szCs w:val="12"/>
          <w:i w:val="1"/>
          <w:iCs w:val="1"/>
          <w:color w:val="auto"/>
        </w:rPr>
        <w:t xml:space="preserve"> </w:t>
      </w:r>
      <w:r>
        <w:rPr>
          <w:rFonts w:ascii="Arial" w:cs="Arial" w:eastAsia="Arial" w:hAnsi="Arial"/>
          <w:sz w:val="12"/>
          <w:szCs w:val="12"/>
          <w:color w:val="auto"/>
        </w:rPr>
        <w:t>"PVS") impression of the relevant dental arches, photographs of the patient and, at the dental professional’s election, x-rays of the patient’s dentition. The Invisalign-trained dental professional can also submit an intraoral digital scan instead of a physical PVS impression through either Align's iTero scanner or several third-party scanners. See "Third Party Scanners and Digital scans for Invisalign treatment submission." More than 50% of Invisalign case submissions are submitted via digital scan instead of a physical PVS impression.</w:t>
      </w:r>
    </w:p>
    <w:p>
      <w:pPr>
        <w:spacing w:after="0" w:line="12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Preparation of computer-simulated treatment plan</w:t>
      </w:r>
      <w:r>
        <w:rPr>
          <w:rFonts w:ascii="Arial" w:cs="Arial" w:eastAsia="Arial" w:hAnsi="Arial"/>
          <w:sz w:val="12"/>
          <w:szCs w:val="12"/>
          <w:color w:val="auto"/>
        </w:rPr>
        <w:t>. Using propriety software which we do not sell, we generate a proposed custom, three-dimensional treatment plan, called a ClinCheck treatment plan. The ClinCheck treatment plan</w:t>
      </w:r>
      <w:r>
        <w:rPr>
          <w:rFonts w:ascii="Arial" w:cs="Arial" w:eastAsia="Arial" w:hAnsi="Arial"/>
          <w:sz w:val="12"/>
          <w:szCs w:val="12"/>
          <w:i w:val="1"/>
          <w:iCs w:val="1"/>
          <w:color w:val="auto"/>
        </w:rPr>
        <w:t xml:space="preserve"> </w:t>
      </w:r>
      <w:r>
        <w:rPr>
          <w:rFonts w:ascii="Arial" w:cs="Arial" w:eastAsia="Arial" w:hAnsi="Arial"/>
          <w:sz w:val="12"/>
          <w:szCs w:val="12"/>
          <w:color w:val="auto"/>
        </w:rPr>
        <w:t>simulates appropriate tooth movement in stages and details timing and placement of any features or attachments that will be used during treatment. Attachments are tooth-colored “buttons” that are sometimes used to increase the biomechanical force on a specific tooth or teeth in order to effect the desired movement.</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Review and approval of the treatment plan by an Invisalign provider. </w:t>
      </w:r>
      <w:r>
        <w:rPr>
          <w:rFonts w:ascii="Arial" w:cs="Arial" w:eastAsia="Arial" w:hAnsi="Arial"/>
          <w:sz w:val="12"/>
          <w:szCs w:val="12"/>
          <w:color w:val="auto"/>
        </w:rPr>
        <w:t>The patient’s ClinCheck treatment plan is then made available to the prescribing dental professional via the Invisalign Doctor Site which enables the dental</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to project tooth movement with a level of accuracy not previously possible with metal arch wires and brackets. By reviewing, modifying as needed and approving the treatment plan, the dental professional retains control over the treatment plan.</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Manufacture of custom aligners. </w:t>
      </w:r>
      <w:r>
        <w:rPr>
          <w:rFonts w:ascii="Arial" w:cs="Arial" w:eastAsia="Arial" w:hAnsi="Arial"/>
          <w:sz w:val="12"/>
          <w:szCs w:val="12"/>
          <w:color w:val="auto"/>
        </w:rPr>
        <w:t>Upon the dental professional’s approval of the ClinCheck treatment plan, we use the data underlying the simulation, in conjunction with stereolithography technology (a form of 3D printing</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to construct a series of molds depicting the future position of the patient’s teeth. Each mold is a replica of the patient’s teeth at each stage of the simulated course of treatment. From these molds, aligners are fabricated by pressure-forming polymeric sheets over each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37" w:right="1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mold. Aligners are thin, clear plastic, removable dental appliances that are custom manufactured in a series to correspond to each stage of the ClinCheck treatment plan.</w:t>
      </w:r>
    </w:p>
    <w:p>
      <w:pPr>
        <w:spacing w:after="0" w:line="150"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i w:val="1"/>
          <w:iCs w:val="1"/>
          <w:color w:val="auto"/>
        </w:rPr>
        <w:t xml:space="preserve">Shipment to the dental professional and patient aligner wear. </w:t>
      </w:r>
      <w:r>
        <w:rPr>
          <w:rFonts w:ascii="Arial" w:cs="Arial" w:eastAsia="Arial" w:hAnsi="Arial"/>
          <w:sz w:val="12"/>
          <w:szCs w:val="12"/>
          <w:color w:val="auto"/>
        </w:rPr>
        <w:t>All the aligners for a patient are shipped directly to the dental professional, who then dispenses them to the patient at regular check-up intervals throughout the treatment.</w:t>
      </w:r>
      <w:r>
        <w:rPr>
          <w:rFonts w:ascii="Arial" w:cs="Arial" w:eastAsia="Arial" w:hAnsi="Arial"/>
          <w:sz w:val="12"/>
          <w:szCs w:val="12"/>
          <w:i w:val="1"/>
          <w:iCs w:val="1"/>
          <w:color w:val="auto"/>
        </w:rPr>
        <w:t xml:space="preserve"> </w:t>
      </w:r>
      <w:r>
        <w:rPr>
          <w:rFonts w:ascii="Arial" w:cs="Arial" w:eastAsia="Arial" w:hAnsi="Arial"/>
          <w:sz w:val="12"/>
          <w:szCs w:val="12"/>
          <w:color w:val="auto"/>
        </w:rPr>
        <w:t>Aligners are generally worn for a period of time which correspond to the stages of the approved ClinCheck treatment plan. The patient replaces the aligners with the next pair in the series when prescribed, advancing tooth movement with each aligner stage. Throughout treatment, the doctor may place attachments or use other auxiliaries to achieve desired tooth movements, per the doctor’s original prescription and resulting ClinCheck treatment plan. In October 2016, we introduced one-week aligner wear. At the treating doctor’s discretion, we recommend changing from two-week aligner wear to one-week aligner wear for Invisalign treatments with Invisalign Full, Invisalign Teen, Invisalign Assist, Invisalign Lite, and Invisalign Go products, thereby reducing treatment time by up to 50%. Align’s recommendation is based on clinical analysis of more than 200 in-progress Invisalign cases (data on file) and the experiences of numerous Invisalign providers.</w:t>
      </w:r>
    </w:p>
    <w:p>
      <w:pPr>
        <w:spacing w:after="0" w:line="129"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i w:val="1"/>
          <w:iCs w:val="1"/>
          <w:color w:val="auto"/>
        </w:rPr>
        <w:t>Additional aligners</w:t>
      </w:r>
      <w:r>
        <w:rPr>
          <w:rFonts w:ascii="Arial" w:cs="Arial" w:eastAsia="Arial" w:hAnsi="Arial"/>
          <w:sz w:val="12"/>
          <w:szCs w:val="12"/>
          <w:color w:val="auto"/>
        </w:rPr>
        <w:t>. Should the dental professional determine that the treatment is not tracking for various reasons, such as patient compliance, certain teeth movement not tracking to plan, or they need to extend the treatment a few</w:t>
      </w:r>
      <w:r>
        <w:rPr>
          <w:rFonts w:ascii="Arial" w:cs="Arial" w:eastAsia="Arial" w:hAnsi="Arial"/>
          <w:sz w:val="12"/>
          <w:szCs w:val="12"/>
          <w:i w:val="1"/>
          <w:iCs w:val="1"/>
          <w:color w:val="auto"/>
        </w:rPr>
        <w:t xml:space="preserve"> </w:t>
      </w:r>
      <w:r>
        <w:rPr>
          <w:rFonts w:ascii="Arial" w:cs="Arial" w:eastAsia="Arial" w:hAnsi="Arial"/>
          <w:sz w:val="12"/>
          <w:szCs w:val="12"/>
          <w:color w:val="auto"/>
        </w:rPr>
        <w:t>stages further to achieve their treatment goals, the dental professional can request additional aligners at no charge at any point during the treatment, subject to certain requirements.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Products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Comprehensive Products - Invisalign Treatment Options:</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Invisalign Full and Invisalign Teen</w:t>
      </w:r>
      <w:r>
        <w:rPr>
          <w:rFonts w:ascii="Arial" w:cs="Arial" w:eastAsia="Arial" w:hAnsi="Arial"/>
          <w:sz w:val="12"/>
          <w:szCs w:val="12"/>
          <w:color w:val="auto"/>
        </w:rPr>
        <w:t>. Used for a wide range of malocclusion, the Invisalign Full and Invisalign Teen treatment plans each consist of the number of aligners necessary to achieve the doctor’s treatment goals. The</w:t>
      </w:r>
      <w:r>
        <w:rPr>
          <w:rFonts w:ascii="Arial" w:cs="Arial" w:eastAsia="Arial" w:hAnsi="Arial"/>
          <w:sz w:val="12"/>
          <w:szCs w:val="12"/>
          <w:i w:val="1"/>
          <w:iCs w:val="1"/>
          <w:color w:val="auto"/>
        </w:rPr>
        <w:t xml:space="preserve"> </w:t>
      </w:r>
      <w:r>
        <w:rPr>
          <w:rFonts w:ascii="Arial" w:cs="Arial" w:eastAsia="Arial" w:hAnsi="Arial"/>
          <w:sz w:val="12"/>
          <w:szCs w:val="12"/>
          <w:color w:val="auto"/>
        </w:rPr>
        <w:t>Invisalign Teen treatment includes all the features of Invisalign Full treatment, plus additional features that address the orthodontic needs of teenage patients such as compliance indicators, compensation for tooth eruption and six free single arch replacement aligners. Aligners for Invisalign Full and Invisalign Teen treatments (other than the replacement aligners) are manufactured and then delivered to the dental professionals in a single shipment. Both treatment options are sold in the U.S., Canada and our international countries.</w:t>
      </w:r>
    </w:p>
    <w:p>
      <w:pPr>
        <w:spacing w:after="0" w:line="1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 xml:space="preserve">Invisalign Assist. </w:t>
      </w:r>
      <w:r>
        <w:rPr>
          <w:rFonts w:ascii="Arial" w:cs="Arial" w:eastAsia="Arial" w:hAnsi="Arial"/>
          <w:sz w:val="12"/>
          <w:szCs w:val="12"/>
          <w:color w:val="auto"/>
        </w:rPr>
        <w:t>Used for anterior alignment and aesthetically-oriented cases, the Invisalign Assist treatment offers added support to our dental practitioners throughout the treatment process, including progress tracking that allows</w:t>
      </w:r>
      <w:r>
        <w:rPr>
          <w:rFonts w:ascii="Arial" w:cs="Arial" w:eastAsia="Arial" w:hAnsi="Arial"/>
          <w:sz w:val="12"/>
          <w:szCs w:val="12"/>
          <w:i w:val="1"/>
          <w:iCs w:val="1"/>
          <w:color w:val="auto"/>
        </w:rPr>
        <w:t xml:space="preserve"> </w:t>
      </w:r>
      <w:r>
        <w:rPr>
          <w:rFonts w:ascii="Arial" w:cs="Arial" w:eastAsia="Arial" w:hAnsi="Arial"/>
          <w:sz w:val="12"/>
          <w:szCs w:val="12"/>
          <w:color w:val="auto"/>
        </w:rPr>
        <w:t>the dental professional to submit new impressions every nine stages. When the progress tracking feature is selected, aligners are shipped to the dental professional after every nine stages thereby helping to achieve successful treatment outcomes. Predominantly marketed to GPs, Invisalign Assist is intended to make it easier to select appropriate cases for their experience level or treatment approach, submit cases more efficiently and manage appointments with suggested tasks. Invisalign Assist is sold in the U.S. and Canada.</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Non-Comprehensive Products - Invisalign Treatment Options: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Invisalign Express 10, Invisalign Express 5, Invisalign i7 and Invisalign Lite. </w:t>
      </w:r>
      <w:r>
        <w:rPr>
          <w:rFonts w:ascii="Arial" w:cs="Arial" w:eastAsia="Arial" w:hAnsi="Arial"/>
          <w:sz w:val="12"/>
          <w:szCs w:val="12"/>
          <w:color w:val="auto"/>
        </w:rPr>
        <w:t>Lower-cost solutions are used for less complex orthodontic cases, non-comprehensive treatment relapse cases, or straightening prior to restorative or</w:t>
      </w:r>
      <w:r>
        <w:rPr>
          <w:rFonts w:ascii="Arial" w:cs="Arial" w:eastAsia="Arial" w:hAnsi="Arial"/>
          <w:sz w:val="12"/>
          <w:szCs w:val="12"/>
          <w:i w:val="1"/>
          <w:iCs w:val="1"/>
          <w:color w:val="auto"/>
        </w:rPr>
        <w:t xml:space="preserve"> </w:t>
      </w:r>
      <w:r>
        <w:rPr>
          <w:rFonts w:ascii="Arial" w:cs="Arial" w:eastAsia="Arial" w:hAnsi="Arial"/>
          <w:sz w:val="12"/>
          <w:szCs w:val="12"/>
          <w:color w:val="auto"/>
        </w:rPr>
        <w:t>cosmetic treatments such as veneers. Invisalign Express 10, Invisalign Express 5 and Invisalign i7 use up to 10 sets, 5 sets and 7 sets of aligners, respectively. Invisalign Lite use up to 14 sets of aligners. Non-comprehensive products are available in select country markets and delivered to the dental professionals in a single shipment.</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Invisalign Go. </w:t>
      </w:r>
      <w:r>
        <w:rPr>
          <w:rFonts w:ascii="Arial" w:cs="Arial" w:eastAsia="Arial" w:hAnsi="Arial"/>
          <w:sz w:val="12"/>
          <w:szCs w:val="12"/>
          <w:color w:val="auto"/>
        </w:rPr>
        <w:t>A simplified and streamlined solution designed for GPs to more easily identify and treat patients with mild malocclusion. Invisalign Go combines case assessment support, a simplified ClinCheck treatment plan and a</w:t>
      </w:r>
      <w:r>
        <w:rPr>
          <w:rFonts w:ascii="Arial" w:cs="Arial" w:eastAsia="Arial" w:hAnsi="Arial"/>
          <w:sz w:val="12"/>
          <w:szCs w:val="12"/>
          <w:i w:val="1"/>
          <w:iCs w:val="1"/>
          <w:color w:val="auto"/>
        </w:rPr>
        <w:t xml:space="preserve"> </w:t>
      </w:r>
      <w:r>
        <w:rPr>
          <w:rFonts w:ascii="Arial" w:cs="Arial" w:eastAsia="Arial" w:hAnsi="Arial"/>
          <w:sz w:val="12"/>
          <w:szCs w:val="12"/>
          <w:color w:val="auto"/>
        </w:rPr>
        <w:t>progress assessment feature for case monitoring. Invisalign Go is available in core European markets and in certain markets in North America and Asia Pacific.</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Non-Comprehensive Products - Non-Invisalign Aligners Supplied to SmileDirectClub, LLC:</w:t>
      </w:r>
    </w:p>
    <w:p>
      <w:pPr>
        <w:spacing w:after="0" w:line="177"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SmileDirectClub Aligners. </w:t>
      </w:r>
      <w:r>
        <w:rPr>
          <w:rFonts w:ascii="Arial" w:cs="Arial" w:eastAsia="Arial" w:hAnsi="Arial"/>
          <w:sz w:val="12"/>
          <w:szCs w:val="12"/>
          <w:color w:val="auto"/>
        </w:rPr>
        <w:t>On July 25, 2016, we entered into a supply agreement with SmileDirectClub, LLC ("SDC") to manufacture non-Invisalign clear aligners for SDC's doctor-led, at-home program for simple teeth</w:t>
      </w:r>
      <w:r>
        <w:rPr>
          <w:rFonts w:ascii="Arial" w:cs="Arial" w:eastAsia="Arial" w:hAnsi="Arial"/>
          <w:sz w:val="12"/>
          <w:szCs w:val="12"/>
          <w:i w:val="1"/>
          <w:iCs w:val="1"/>
          <w:color w:val="auto"/>
        </w:rPr>
        <w:t xml:space="preserve"> </w:t>
      </w:r>
      <w:r>
        <w:rPr>
          <w:rFonts w:ascii="Arial" w:cs="Arial" w:eastAsia="Arial" w:hAnsi="Arial"/>
          <w:sz w:val="12"/>
          <w:szCs w:val="12"/>
          <w:color w:val="auto"/>
        </w:rPr>
        <w:t>straightening. In October 2016, we became SDC's exclusive third-party supplier and began supplying aligners directly to SDC. SDC aligners include up to 20 stages without attachments or interproximal reduction ("IPR"). Align manufactures the aligners per SDC’s specifications for minor tooth movement using EX-30, our proprietary aligner material used prior to the introduction of SmartTrack. Align does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437" w:right="1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not market or sell SDC products and ships supply of aligners directly to SDC when requested. Refer to "Supply Agreement with SmileDirectClub, LLC" section.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u w:val="single" w:color="auto"/>
          <w:color w:val="auto"/>
        </w:rPr>
        <w:t>Non-Case Products: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1"/>
          <w:szCs w:val="11"/>
          <w:color w:val="auto"/>
        </w:rPr>
        <w:t>Clear Aligner non-case products include retention products, Invisalign training fees and sales of ancillary products, such as cleaning material and adjusting tools used by dental professionals during the course of treatment.</w:t>
      </w:r>
    </w:p>
    <w:p>
      <w:pPr>
        <w:spacing w:after="0" w:line="16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Retention</w:t>
      </w:r>
      <w:r>
        <w:rPr>
          <w:rFonts w:ascii="Arial" w:cs="Arial" w:eastAsia="Arial" w:hAnsi="Arial"/>
          <w:sz w:val="12"/>
          <w:szCs w:val="12"/>
          <w:color w:val="auto"/>
        </w:rPr>
        <w:t>. We offer two products for post treatment retention. The first is a single set of custom clear aligner retainers. The second is offered as a set of four custom clear aligners called Vivera Retainers made with proprietary material</w:t>
      </w:r>
      <w:r>
        <w:rPr>
          <w:rFonts w:ascii="Arial" w:cs="Arial" w:eastAsia="Arial" w:hAnsi="Arial"/>
          <w:sz w:val="12"/>
          <w:szCs w:val="12"/>
          <w:i w:val="1"/>
          <w:iCs w:val="1"/>
          <w:color w:val="auto"/>
        </w:rPr>
        <w:t xml:space="preserve"> </w:t>
      </w:r>
      <w:r>
        <w:rPr>
          <w:rFonts w:ascii="Arial" w:cs="Arial" w:eastAsia="Arial" w:hAnsi="Arial"/>
          <w:sz w:val="12"/>
          <w:szCs w:val="12"/>
          <w:color w:val="auto"/>
        </w:rPr>
        <w:t>strong enough to maintain tooth position and correct minor relapse if necessary. A shipment of four sets are available to both Invisalign and non-Invisalign patients.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Feature Enhancements</w:t>
      </w:r>
    </w:p>
    <w:p>
      <w:pPr>
        <w:spacing w:after="0" w:line="150"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We have consistently introduced enhanced features across the Invisalign System over the past several years to improve treatment outcomes or address broader clinical indications. Feature enhancements are marketed primarily under an Invisalign “G” series and have included Invisalign G3 (launched in October 2010), Invisalign G4 (launched in November 2011), Invisalign G5 (launched in February 2014), Invisalign G6 (launched in March 2015), and Invisalign G7 (launched in October 2016).</w:t>
      </w:r>
    </w:p>
    <w:p>
      <w:pPr>
        <w:spacing w:after="0" w:line="123"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Invisalign Teen with mandibular advancement (launched in March 2017) is the first clear aligner solution for Class II correction in growing tween and teen patients. This new offering combines the benefits of our clear aligner system with features for moving the lower jaw forward while simultaneously aligning the teeth. Invisalign with mandibular advancement offers a simpler, more efficient and patient-friendly treatment option than functional appliances and without the need for elastics typically used to treat teen Class II patients. Invisalign Teen with mandibular advancement is available is most country markets; however, it is pending 510(k) clearance in the U.S. and is not yet available for use.</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SmartTrack</w:t>
      </w:r>
      <w:r>
        <w:rPr>
          <w:rFonts w:ascii="Arial" w:cs="Arial" w:eastAsia="Arial" w:hAnsi="Arial"/>
          <w:sz w:val="12"/>
          <w:szCs w:val="12"/>
          <w:color w:val="auto"/>
        </w:rPr>
        <w:t>™</w:t>
      </w:r>
      <w:r>
        <w:rPr>
          <w:rFonts w:ascii="Arial" w:cs="Arial" w:eastAsia="Arial" w:hAnsi="Arial"/>
          <w:sz w:val="12"/>
          <w:szCs w:val="12"/>
          <w:i w:val="1"/>
          <w:iCs w:val="1"/>
          <w:color w:val="auto"/>
        </w:rPr>
        <w:t xml:space="preserve"> Aligner Material</w:t>
      </w:r>
    </w:p>
    <w:p>
      <w:pPr>
        <w:spacing w:after="0" w:line="150"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SmartTrack is a patented, custom-engineered Invisalign clear aligner material that delivers gentle, more constant force considered ideal for orthodontic tooth movements. Conventional aligner materials relax and lose a substantial percent of energy in the initial days of aligner wear, but SmartTrack maintains more constant force over the period of time the patient wears the aligners. The flexible SmartTrack material also more precisely conforms to tooth morphology, attachments and interproximal spaces to improve control of tooth movement throughout treatment.</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Scanner Segment</w:t>
      </w:r>
    </w:p>
    <w:p>
      <w:pPr>
        <w:spacing w:after="0" w:line="15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Intraoral scanning is an emerging technology that we believe will have substantial impact on the future of dentistry. By enabling the dental practitioner to create a 3D image of the patient's teeth (digital scan) using a handheld intraoral scanner inside the mouth, digital scanning is more efficient and precise and more comfortable for patients, compared to the mess, discomfort and subjective nature of taking physical impressions. The digitally scanned model is more accurate than a physical impression and substantially reduces the rate of restoration "remakes" so patients are recalled less often and the appointment time for the restoration is shorter because of fewer adjustments which results in greater overall patient satisfaction. The digital model file can be used for various procedures and services including fabrication of physical dental models for use by labs to create restorative units such as veneers, inlays, onlays, crowns, bridges and implant abutments; digital records storage; orthodontic diagnosis; orthodontic retainers and appliances; and Invisalign digital impression submission.</w:t>
      </w:r>
    </w:p>
    <w:p>
      <w:pPr>
        <w:spacing w:after="0" w:line="111"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iTero Scanner</w:t>
      </w:r>
      <w:r>
        <w:rPr>
          <w:rFonts w:ascii="Arial" w:cs="Arial" w:eastAsia="Arial" w:hAnsi="Arial"/>
          <w:sz w:val="12"/>
          <w:szCs w:val="12"/>
          <w:color w:val="auto"/>
        </w:rPr>
        <w:t>. The iTero Element scanner (launched in September 2015) is available as a single hardware platform with software options for restorative or orthodontic procedures. We market and sell the iTero Element in North</w:t>
      </w:r>
      <w:r>
        <w:rPr>
          <w:rFonts w:ascii="Arial" w:cs="Arial" w:eastAsia="Arial" w:hAnsi="Arial"/>
          <w:sz w:val="12"/>
          <w:szCs w:val="12"/>
          <w:i w:val="1"/>
          <w:iCs w:val="1"/>
          <w:color w:val="auto"/>
        </w:rPr>
        <w:t xml:space="preserve"> </w:t>
      </w:r>
      <w:r>
        <w:rPr>
          <w:rFonts w:ascii="Arial" w:cs="Arial" w:eastAsia="Arial" w:hAnsi="Arial"/>
          <w:sz w:val="12"/>
          <w:szCs w:val="12"/>
          <w:color w:val="auto"/>
        </w:rPr>
        <w:t>America and in select international markets. The iTero scanner is interoperable with our Invisalign treatment such that a full arch digital scan can be submitted as part of the Invisalign case submission process. In addition, the Invisalign Outcome Simulator and Invisalign Assessment tool are exclusive to the iTero scanner. Prior to the launch of iTero Element, we sold the iTero 2.9 scanner.</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Restorative software for iTero. </w:t>
      </w:r>
      <w:r>
        <w:rPr>
          <w:rFonts w:ascii="Arial" w:cs="Arial" w:eastAsia="Arial" w:hAnsi="Arial"/>
          <w:sz w:val="12"/>
          <w:szCs w:val="12"/>
          <w:color w:val="auto"/>
        </w:rPr>
        <w:t>Software designed for GPs, prosthodontists, periodontists, and oral surgeons which includes restorative workflows providing them with the ability to send digital impressions to the lab of choice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communicate seamlessly with external treatment planning, custom implant abutment, chairside milling, and laboratory CAD/CAM systems.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Orthodontic software for iTero. </w:t>
      </w:r>
      <w:r>
        <w:rPr>
          <w:rFonts w:ascii="Arial" w:cs="Arial" w:eastAsia="Arial" w:hAnsi="Arial"/>
          <w:sz w:val="12"/>
          <w:szCs w:val="12"/>
          <w:color w:val="auto"/>
        </w:rPr>
        <w:t>Software designed for orthodontists for digital records storage, orthodontic diagnosis, and for the fabrication of printed models and retainers.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437" w:right="199" w:bottom="1440" w:gutter="0" w:footer="0" w:header="0"/>
        </w:sectPr>
      </w:pPr>
    </w:p>
    <w:bookmarkStart w:id="6" w:name="page7"/>
    <w:bookmarkEnd w:id="6"/>
    <w:p>
      <w:pPr>
        <w:ind w:left="200"/>
        <w:spacing w:after="0"/>
        <w:rPr>
          <w:sz w:val="20"/>
          <w:szCs w:val="20"/>
          <w:color w:val="auto"/>
        </w:rPr>
      </w:pPr>
      <w:r>
        <w:rPr>
          <w:rFonts w:ascii="Arial" w:cs="Arial" w:eastAsia="Arial" w:hAnsi="Arial"/>
          <w:sz w:val="12"/>
          <w:szCs w:val="12"/>
          <w:i w:val="1"/>
          <w:iCs w:val="1"/>
          <w:color w:val="auto"/>
        </w:rPr>
        <w:t>CAD/CAM Services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iTero Models and Dies. </w:t>
      </w:r>
      <w:r>
        <w:rPr>
          <w:rFonts w:ascii="Arial" w:cs="Arial" w:eastAsia="Arial" w:hAnsi="Arial"/>
          <w:sz w:val="12"/>
          <w:szCs w:val="12"/>
          <w:color w:val="auto"/>
        </w:rPr>
        <w:t>An accurate physical model and dies are manufactured based on the digital scan and sent to the laboratory of the dentist’s choice for completion of the needed restoration. The laboratory also has the option to</w:t>
      </w:r>
      <w:r>
        <w:rPr>
          <w:rFonts w:ascii="Arial" w:cs="Arial" w:eastAsia="Arial" w:hAnsi="Arial"/>
          <w:sz w:val="12"/>
          <w:szCs w:val="12"/>
          <w:i w:val="1"/>
          <w:iCs w:val="1"/>
          <w:color w:val="auto"/>
        </w:rPr>
        <w:t xml:space="preserve"> </w:t>
      </w:r>
      <w:r>
        <w:rPr>
          <w:rFonts w:ascii="Arial" w:cs="Arial" w:eastAsia="Arial" w:hAnsi="Arial"/>
          <w:sz w:val="12"/>
          <w:szCs w:val="12"/>
          <w:color w:val="auto"/>
        </w:rPr>
        <w:t>export the digital file for immediate production of coping and full-contour restorations on their laboratory CAD/CAM systems. The laboratory conducts then completes the ceramic buildup or staining and glazing and delivers the end result - a precisely fitting restoration. iTero prosthetics have a near-zero remake rate.</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OrthoCAD iCast. </w:t>
      </w:r>
      <w:r>
        <w:rPr>
          <w:rFonts w:ascii="Arial" w:cs="Arial" w:eastAsia="Arial" w:hAnsi="Arial"/>
          <w:sz w:val="12"/>
          <w:szCs w:val="12"/>
          <w:color w:val="auto"/>
        </w:rPr>
        <w:t>iCast provides a digital alternative to traditional stone cast models which allows for simplified storage and digital record retrieval. The iCast digital model contains a full American Board of Orthodontics ("ABO")</w:t>
      </w:r>
      <w:r>
        <w:rPr>
          <w:rFonts w:ascii="Arial" w:cs="Arial" w:eastAsia="Arial" w:hAnsi="Arial"/>
          <w:sz w:val="12"/>
          <w:szCs w:val="12"/>
          <w:i w:val="1"/>
          <w:iCs w:val="1"/>
          <w:color w:val="auto"/>
        </w:rPr>
        <w:t xml:space="preserve"> </w:t>
      </w:r>
      <w:r>
        <w:rPr>
          <w:rFonts w:ascii="Arial" w:cs="Arial" w:eastAsia="Arial" w:hAnsi="Arial"/>
          <w:sz w:val="12"/>
          <w:szCs w:val="12"/>
          <w:color w:val="auto"/>
        </w:rPr>
        <w:t>base and is available from an iTero scan or from a traditional alginate impression.</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OrthoCAD iRecord. </w:t>
      </w:r>
      <w:r>
        <w:rPr>
          <w:rFonts w:ascii="Arial" w:cs="Arial" w:eastAsia="Arial" w:hAnsi="Arial"/>
          <w:sz w:val="12"/>
          <w:szCs w:val="12"/>
          <w:color w:val="auto"/>
        </w:rPr>
        <w:t>iRecord scans provide a digital alternative to traditional stone cast models which allows for simplified storage and digital record retrieval. iRecord scan data may also be exported to orthodontic laboratories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fabrication of retainers, orthodontic appliances, and hard model fabrication.</w:t>
      </w:r>
    </w:p>
    <w:p>
      <w:pPr>
        <w:spacing w:after="0" w:line="115"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i w:val="1"/>
          <w:iCs w:val="1"/>
          <w:color w:val="auto"/>
        </w:rPr>
        <w:t>Third Party Scanners and Digital scans for Invisalign treatment submission</w:t>
      </w:r>
      <w:r>
        <w:rPr>
          <w:rFonts w:ascii="Arial" w:cs="Arial" w:eastAsia="Arial" w:hAnsi="Arial"/>
          <w:sz w:val="11"/>
          <w:szCs w:val="11"/>
          <w:color w:val="auto"/>
        </w:rPr>
        <w:t>. We support an open systems approach to digital scans and other intraoral scanning companies interested in qualifying their scanners to submit a digital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impression in place of a traditional PVS impression as part of the Invisalign case submission process. We have qualified third party scanners for digital scan submission including 3M™ True Definition scanner, the Sirona CEREC Omnicam scanner and certain 3Shape TRIOS scanners. Information regarding legal proceedings associated with the scanner may be found in </w:t>
      </w:r>
      <w:r>
        <w:rPr>
          <w:rFonts w:ascii="Arial" w:cs="Arial" w:eastAsia="Arial" w:hAnsi="Arial"/>
          <w:sz w:val="11"/>
          <w:szCs w:val="11"/>
          <w:i w:val="1"/>
          <w:iCs w:val="1"/>
          <w:color w:val="auto"/>
        </w:rPr>
        <w:t>Item 3</w:t>
      </w:r>
      <w:r>
        <w:rPr>
          <w:rFonts w:ascii="Arial" w:cs="Arial" w:eastAsia="Arial" w:hAnsi="Arial"/>
          <w:sz w:val="11"/>
          <w:szCs w:val="11"/>
          <w:color w:val="auto"/>
        </w:rPr>
        <w:t xml:space="preserve"> of this Annual Report on Form 10-K under the heading </w:t>
      </w:r>
      <w:r>
        <w:rPr>
          <w:rFonts w:ascii="Arial" w:cs="Arial" w:eastAsia="Arial" w:hAnsi="Arial"/>
          <w:sz w:val="11"/>
          <w:szCs w:val="11"/>
          <w:i w:val="1"/>
          <w:iCs w:val="1"/>
          <w:color w:val="auto"/>
        </w:rPr>
        <w:t>“Legal Proceedings.”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iTero Applications and Tools</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Invisalign Outcome Simulator</w:t>
      </w:r>
      <w:r>
        <w:rPr>
          <w:rFonts w:ascii="Arial" w:cs="Arial" w:eastAsia="Arial" w:hAnsi="Arial"/>
          <w:sz w:val="12"/>
          <w:szCs w:val="12"/>
          <w:color w:val="auto"/>
        </w:rPr>
        <w:t>. The Invisalign Outcome Simulator is an exclusive chair-side and cloud-based application for the iTero scanner that allows doctors to help patients visualize how their teeth may look at the end of</w:t>
      </w:r>
      <w:r>
        <w:rPr>
          <w:rFonts w:ascii="Arial" w:cs="Arial" w:eastAsia="Arial" w:hAnsi="Arial"/>
          <w:sz w:val="12"/>
          <w:szCs w:val="12"/>
          <w:i w:val="1"/>
          <w:iCs w:val="1"/>
          <w:color w:val="auto"/>
        </w:rPr>
        <w:t xml:space="preserve"> </w:t>
      </w:r>
      <w:r>
        <w:rPr>
          <w:rFonts w:ascii="Arial" w:cs="Arial" w:eastAsia="Arial" w:hAnsi="Arial"/>
          <w:sz w:val="12"/>
          <w:szCs w:val="12"/>
          <w:color w:val="auto"/>
        </w:rPr>
        <w:t>Invisalign treatment through a dual view layout that shows a prospective patient an image of his/her own current dentition next to his/her simulated final position after Invisalign treatment.</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Invisalign 3D Assessment tool. </w:t>
      </w:r>
      <w:r>
        <w:rPr>
          <w:rFonts w:ascii="Arial" w:cs="Arial" w:eastAsia="Arial" w:hAnsi="Arial"/>
          <w:sz w:val="12"/>
          <w:szCs w:val="12"/>
          <w:color w:val="auto"/>
        </w:rPr>
        <w:t>The Invisalign Progress Assessment tool provides the ability to compare a patient’s new scan with a specific stage of their ClinCheck treatment plan to visually assess and communicate Invisalign</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progress with an easy to read, color-coded tooth movement report that allows the doctor to know how each tooth is tracking.</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i w:val="1"/>
          <w:iCs w:val="1"/>
          <w:color w:val="auto"/>
        </w:rPr>
        <w:t xml:space="preserve">TimeLapse. </w:t>
      </w:r>
      <w:r>
        <w:rPr>
          <w:rFonts w:ascii="Arial" w:cs="Arial" w:eastAsia="Arial" w:hAnsi="Arial"/>
          <w:sz w:val="12"/>
          <w:szCs w:val="12"/>
          <w:color w:val="auto"/>
        </w:rPr>
        <w:t>TimeLapse technology allows doctors or practitioners to compare a patient’s historic 3D scans to the present-day scan, enabling clinicians to identify and measure orthodontic movement, tooth wear, and gingival</w:t>
      </w:r>
      <w:r>
        <w:rPr>
          <w:rFonts w:ascii="Arial" w:cs="Arial" w:eastAsia="Arial" w:hAnsi="Arial"/>
          <w:sz w:val="12"/>
          <w:szCs w:val="12"/>
          <w:i w:val="1"/>
          <w:iCs w:val="1"/>
          <w:color w:val="auto"/>
        </w:rPr>
        <w:t xml:space="preserve"> </w:t>
      </w:r>
      <w:r>
        <w:rPr>
          <w:rFonts w:ascii="Arial" w:cs="Arial" w:eastAsia="Arial" w:hAnsi="Arial"/>
          <w:sz w:val="12"/>
          <w:szCs w:val="12"/>
          <w:color w:val="auto"/>
        </w:rPr>
        <w:t>recession. This highlights areas of diagnostic interest to dental professionals and helps foster a proactive conversation with the patient regarding potential restorative or orthodontic solutions.</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Our iTero Element scanner includes the Invisalign Outcome Simulator, Invisalign 3D Assessment tool and Timelapse as well as the orthodontic software and/or restorative software. The orthodontic or restorative software may also be purchased subsequently for an upgrade fee. Additional applications such as the Invisalign Outcome Simulator are not available for sale separately.</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Other proprietary software mentioned in this Annual Report on Form 10-K such as ClinCheck and ClinCheck Pro software, the Invisalign Doctor Site, and enhanced feature solutions such as Invisalign G7 are included as part of the Invisalign System and are not sold separately nor do they contribute as individual items to revenue.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Business Strategy</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goal is to give patients of all ages access to the smiles they want and deserve. Our smile-changing technology and innovations are designed to meet the demands of today’s patients with treatment options that are convenient, comfortable, affordable, while helping to improve overall oral health. We strive to help our doctors move their practices forward by connecting them with new patients, providing digital solutions to help increase practice efficiency and helping them deliver the best possible treatment outcomes and experiences to millions of people around the world.</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achieve this by continued focus and execution of our strategic growth drivers: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581" w:right="199" w:bottom="1440" w:gutter="0" w:footer="0" w:header="0"/>
        </w:sectPr>
      </w:pPr>
    </w:p>
    <w:bookmarkStart w:id="7" w:name="page8"/>
    <w:bookmarkEnd w:id="7"/>
    <w:p>
      <w:pPr>
        <w:jc w:val="both"/>
        <w:ind w:left="224" w:hanging="224"/>
        <w:spacing w:after="0" w:line="283" w:lineRule="auto"/>
        <w:tabs>
          <w:tab w:leader="none" w:pos="224"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International Expansion. </w:t>
      </w:r>
      <w:r>
        <w:rPr>
          <w:rFonts w:ascii="Arial" w:cs="Arial" w:eastAsia="Arial" w:hAnsi="Arial"/>
          <w:sz w:val="11"/>
          <w:szCs w:val="11"/>
          <w:color w:val="auto"/>
        </w:rPr>
        <w:t>In order to provide the millions of consumers access to a better smile, we continue increasing our presence globally by making our products available in more countries. We expect to continue to grow</w:t>
      </w:r>
      <w:r>
        <w:rPr>
          <w:rFonts w:ascii="Arial" w:cs="Arial" w:eastAsia="Arial" w:hAnsi="Arial"/>
          <w:sz w:val="11"/>
          <w:szCs w:val="11"/>
          <w:i w:val="1"/>
          <w:iCs w:val="1"/>
          <w:color w:val="auto"/>
        </w:rPr>
        <w:t xml:space="preserve"> </w:t>
      </w:r>
      <w:r>
        <w:rPr>
          <w:rFonts w:ascii="Arial" w:cs="Arial" w:eastAsia="Arial" w:hAnsi="Arial"/>
          <w:sz w:val="11"/>
          <w:szCs w:val="11"/>
          <w:color w:val="auto"/>
        </w:rPr>
        <w:t>and expand our business by investing in resources, infrastructure, and initiatives that will drive Invisalign treatment growth in our current and new international markets. As our core countries within the EMEA and APAC regions continue to grow in both number of new Invisalign providers and customer utilization, we strive to make sure we can support that growth through investments such as headcount, clinical support, education and advertising. We have transitioned most of our indirect smaller country markets to a direct sales model, and, while we do not expect a material impact from these countries for some time, in the near term, we will leverage our existing infrastructure in adjacent country markets as we build local sales organizations to drive long-term market penetration. In addition, we are scaling and expanding our operations and facilities to better support our customers across the globe. In 2017, we opened new treatment planning facilities in Chengdu, China and Cologne, Germany to support our customers within these regions.</w:t>
      </w:r>
    </w:p>
    <w:p>
      <w:pPr>
        <w:spacing w:after="0" w:line="113" w:lineRule="exact"/>
        <w:rPr>
          <w:rFonts w:ascii="Arial" w:cs="Arial" w:eastAsia="Arial" w:hAnsi="Arial"/>
          <w:sz w:val="11"/>
          <w:szCs w:val="11"/>
          <w:color w:val="auto"/>
        </w:rPr>
      </w:pPr>
    </w:p>
    <w:p>
      <w:pPr>
        <w:jc w:val="both"/>
        <w:ind w:left="224" w:hanging="224"/>
        <w:spacing w:after="0" w:line="255" w:lineRule="auto"/>
        <w:tabs>
          <w:tab w:leader="none" w:pos="224"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Orthodontist Utilization. </w:t>
      </w:r>
      <w:r>
        <w:rPr>
          <w:rFonts w:ascii="Arial" w:cs="Arial" w:eastAsia="Arial" w:hAnsi="Arial"/>
          <w:sz w:val="12"/>
          <w:szCs w:val="12"/>
          <w:color w:val="auto"/>
        </w:rPr>
        <w:t>We continue to innovate and increase the product applicability and predictability to address a wide range of cases, from simple to complex, thereby enabling providers to confidently treat teenagers and</w:t>
      </w:r>
      <w:r>
        <w:rPr>
          <w:rFonts w:ascii="Arial" w:cs="Arial" w:eastAsia="Arial" w:hAnsi="Arial"/>
          <w:sz w:val="12"/>
          <w:szCs w:val="12"/>
          <w:i w:val="1"/>
          <w:iCs w:val="1"/>
          <w:color w:val="auto"/>
        </w:rPr>
        <w:t xml:space="preserve"> </w:t>
      </w:r>
      <w:r>
        <w:rPr>
          <w:rFonts w:ascii="Arial" w:cs="Arial" w:eastAsia="Arial" w:hAnsi="Arial"/>
          <w:sz w:val="12"/>
          <w:szCs w:val="12"/>
          <w:color w:val="auto"/>
        </w:rPr>
        <w:t>adults with the Invisalign System. Over the last several years, we launched clinical innovations such as Invisalign G6 and Invisalign G7. In March 2017, we launched Invisalign with mandibular advancement, the first clear aligner solution for Class II correction in growing tween and teen patients. This new offering combines the benefits of the most advanced clear aligner system in the world with features for moving the lower jaw forward while simultaneously aligning the teeth. Approximately 30% to 45% of teen cases need Class II correction. Invisalign with mandibular advancement was launched in Canada, EMEA and APAC. It is pending 510(k) approval in the U.S. and therefore not currently available in the U.S. We also continue to make improvements to our Invisalign treatment software, ClinCheck Pro, designed to deliver an exceptional user experience and increase treatment control to help our doctors achieve their treatment goals.</w:t>
      </w:r>
    </w:p>
    <w:p>
      <w:pPr>
        <w:spacing w:after="0" w:line="129" w:lineRule="exact"/>
        <w:rPr>
          <w:rFonts w:ascii="Arial" w:cs="Arial" w:eastAsia="Arial" w:hAnsi="Arial"/>
          <w:sz w:val="12"/>
          <w:szCs w:val="12"/>
          <w:color w:val="auto"/>
        </w:rPr>
      </w:pPr>
    </w:p>
    <w:p>
      <w:pPr>
        <w:jc w:val="both"/>
        <w:ind w:left="224" w:hanging="224"/>
        <w:spacing w:after="0" w:line="284" w:lineRule="auto"/>
        <w:tabs>
          <w:tab w:leader="none" w:pos="224"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GP Dentist Treat &amp; Refer. </w:t>
      </w:r>
      <w:r>
        <w:rPr>
          <w:rFonts w:ascii="Arial" w:cs="Arial" w:eastAsia="Arial" w:hAnsi="Arial"/>
          <w:sz w:val="11"/>
          <w:szCs w:val="11"/>
          <w:color w:val="auto"/>
        </w:rPr>
        <w:t>We want to enable GPs, who have access to a large patient base, to more easily identify Invisalign cases they can treat, monitor patient progress or, if needed, help refer cases to an orthodontist while</w:t>
      </w:r>
      <w:r>
        <w:rPr>
          <w:rFonts w:ascii="Arial" w:cs="Arial" w:eastAsia="Arial" w:hAnsi="Arial"/>
          <w:sz w:val="11"/>
          <w:szCs w:val="11"/>
          <w:i w:val="1"/>
          <w:iCs w:val="1"/>
          <w:color w:val="auto"/>
        </w:rPr>
        <w:t xml:space="preserve"> </w:t>
      </w:r>
      <w:r>
        <w:rPr>
          <w:rFonts w:ascii="Arial" w:cs="Arial" w:eastAsia="Arial" w:hAnsi="Arial"/>
          <w:sz w:val="11"/>
          <w:szCs w:val="11"/>
          <w:color w:val="auto"/>
        </w:rPr>
        <w:t>providing high-quality restorative, orthodontic, and dental hygiene care. The iTero scanner is an important component to that customer experience and is central to a digital approach as well as overall customer utilization of Invisalign treatment. The iTero scanner is optimized for Invisalign treatment with the Invisalign Outcome Simulator and Progress Assessment tool. In June 2017, we launched TimeLapse technology that allows doctors or practitioners to compare a patient’s 3D historic scans to the present-day scan, enabling clinicians to identify and measure orthodontic movement, tooth wear, and gingival recession. This highlights areas of diagnostic interest to dental professionals and helps foster a proactive conversation with the patient regarding potential restorative or orthodontic solutions. We also signed a distribution agreement with Patterson Dental for the iTero Element intraoral scanning system in the U.S. and Canada effective September 2017. Lastly, as part of expanding restorative workflows for iTero, in Q4 2017, we signed a distribution agreement with Glidewell Dental for the iTero Element scanner in North America with glidewell.io</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In-Office Solution, a chairside restorative ecosystem designed to simplify the process of prescribing and delivering laboratory-quality dental restorations.</w:t>
      </w:r>
    </w:p>
    <w:p>
      <w:pPr>
        <w:spacing w:after="0" w:line="50" w:lineRule="exact"/>
        <w:rPr>
          <w:rFonts w:ascii="Arial" w:cs="Arial" w:eastAsia="Arial" w:hAnsi="Arial"/>
          <w:sz w:val="11"/>
          <w:szCs w:val="11"/>
          <w:color w:val="auto"/>
        </w:rPr>
      </w:pPr>
    </w:p>
    <w:p>
      <w:pPr>
        <w:jc w:val="both"/>
        <w:ind w:left="224" w:hanging="224"/>
        <w:spacing w:after="0" w:line="280" w:lineRule="auto"/>
        <w:tabs>
          <w:tab w:leader="none" w:pos="224"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Patient Demand &amp; Conversion. </w:t>
      </w:r>
      <w:r>
        <w:rPr>
          <w:rFonts w:ascii="Arial" w:cs="Arial" w:eastAsia="Arial" w:hAnsi="Arial"/>
          <w:sz w:val="11"/>
          <w:szCs w:val="11"/>
          <w:color w:val="auto"/>
        </w:rPr>
        <w:t>Our goal is to make Invisalign a highly recognized name brand worldwide by creating awareness for Invisalign treatment among consumers, motivating potential patients to seek Invisalign</w:t>
      </w:r>
      <w:r>
        <w:rPr>
          <w:rFonts w:ascii="Arial" w:cs="Arial" w:eastAsia="Arial" w:hAnsi="Arial"/>
          <w:sz w:val="11"/>
          <w:szCs w:val="11"/>
          <w:i w:val="1"/>
          <w:iCs w:val="1"/>
          <w:color w:val="auto"/>
        </w:rPr>
        <w:t xml:space="preserve"> </w:t>
      </w:r>
      <w:r>
        <w:rPr>
          <w:rFonts w:ascii="Arial" w:cs="Arial" w:eastAsia="Arial" w:hAnsi="Arial"/>
          <w:sz w:val="11"/>
          <w:szCs w:val="11"/>
          <w:color w:val="auto"/>
        </w:rPr>
        <w:t>treatment and reaching more consumers. We accomplish this objective through an integrated consumer marketing strategy that includes television, media, social networking and event marketing as well as educating patients on treatment options and directing them to high volume Invisalign providers. In January 2017, we launched a new Smile Concierge program with the objective to help more U.S. consumers start Invisalign treatment and improve their overall experience by shortening their research cycles and utilizing consumer insights to help our doctors better engage with consumers. Our Smile Concierge program e</w:t>
      </w:r>
      <w:r>
        <w:rPr>
          <w:rFonts w:ascii="Arial" w:cs="Arial" w:eastAsia="Arial" w:hAnsi="Arial"/>
          <w:sz w:val="11"/>
          <w:szCs w:val="11"/>
          <w:color w:val="3C3834"/>
        </w:rPr>
        <w:t>ducates consumers on the benefits of Invisalign</w:t>
      </w:r>
      <w:r>
        <w:rPr>
          <w:rFonts w:ascii="Arial" w:cs="Arial" w:eastAsia="Arial" w:hAnsi="Arial"/>
          <w:sz w:val="11"/>
          <w:szCs w:val="11"/>
          <w:color w:val="auto"/>
        </w:rPr>
        <w:t xml:space="preserve"> </w:t>
      </w:r>
      <w:r>
        <w:rPr>
          <w:rFonts w:ascii="Arial" w:cs="Arial" w:eastAsia="Arial" w:hAnsi="Arial"/>
          <w:sz w:val="11"/>
          <w:szCs w:val="11"/>
          <w:color w:val="3C3834"/>
        </w:rPr>
        <w:t xml:space="preserve">treatment, answers their questions, and helps them schedule an appointment with an Invisalign provider. </w:t>
      </w:r>
      <w:r>
        <w:rPr>
          <w:rFonts w:ascii="Arial" w:cs="Arial" w:eastAsia="Arial" w:hAnsi="Arial"/>
          <w:sz w:val="11"/>
          <w:szCs w:val="11"/>
          <w:color w:val="000000"/>
        </w:rPr>
        <w:t>In addition, as an extension of our direct-to-consumer channel and building on the Smile Concierge program, we opened</w:t>
      </w:r>
      <w:r>
        <w:rPr>
          <w:rFonts w:ascii="Arial" w:cs="Arial" w:eastAsia="Arial" w:hAnsi="Arial"/>
          <w:sz w:val="11"/>
          <w:szCs w:val="11"/>
          <w:color w:val="3C3834"/>
        </w:rPr>
        <w:t xml:space="preserve"> </w:t>
      </w:r>
      <w:r>
        <w:rPr>
          <w:rFonts w:ascii="Arial" w:cs="Arial" w:eastAsia="Arial" w:hAnsi="Arial"/>
          <w:sz w:val="11"/>
          <w:szCs w:val="11"/>
          <w:color w:val="000000"/>
        </w:rPr>
        <w:t>our first Invisalign store pilot program in November 2017 aimed at connecting potential patients directly to doctors for Invisalign treatment by educating consumers on how Invisalign works, showing them a scan-driven simulation of how they might look with straighter teeth, and offering to connect interested consumers with an Invisalign doctor of their choice should they decide to pursue treatment (</w:t>
      </w:r>
      <w:r>
        <w:rPr>
          <w:rFonts w:ascii="Arial" w:cs="Arial" w:eastAsia="Arial" w:hAnsi="Arial"/>
          <w:sz w:val="11"/>
          <w:szCs w:val="11"/>
          <w:i w:val="1"/>
          <w:iCs w:val="1"/>
          <w:color w:val="000000"/>
        </w:rPr>
        <w:t>Refer to Note 4 "Equity Method</w:t>
      </w:r>
      <w:r>
        <w:rPr>
          <w:rFonts w:ascii="Arial" w:cs="Arial" w:eastAsia="Arial" w:hAnsi="Arial"/>
          <w:sz w:val="11"/>
          <w:szCs w:val="11"/>
          <w:color w:val="000000"/>
        </w:rPr>
        <w:t xml:space="preserve"> </w:t>
      </w:r>
      <w:r>
        <w:rPr>
          <w:rFonts w:ascii="Arial" w:cs="Arial" w:eastAsia="Arial" w:hAnsi="Arial"/>
          <w:sz w:val="11"/>
          <w:szCs w:val="11"/>
          <w:i w:val="1"/>
          <w:iCs w:val="1"/>
          <w:color w:val="000000"/>
        </w:rPr>
        <w:t>Investments" of the Notes to Consolidated Financial Statement</w:t>
      </w:r>
      <w:r>
        <w:rPr>
          <w:rFonts w:ascii="Arial" w:cs="Arial" w:eastAsia="Arial" w:hAnsi="Arial"/>
          <w:sz w:val="11"/>
          <w:szCs w:val="11"/>
          <w:color w:val="000000"/>
        </w:rPr>
        <w:t>s for a communication received from SDC on Invisalign store pilot program).</w:t>
      </w:r>
    </w:p>
    <w:p>
      <w:pPr>
        <w:spacing w:after="0" w:line="279" w:lineRule="exact"/>
        <w:rPr>
          <w:sz w:val="20"/>
          <w:szCs w:val="20"/>
          <w:color w:val="auto"/>
        </w:rPr>
      </w:pPr>
    </w:p>
    <w:p>
      <w:pPr>
        <w:jc w:val="center"/>
        <w:ind w:right="316"/>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164"/>
          </w:cols>
          <w:pgMar w:left="536" w:top="437" w:right="199" w:bottom="1440" w:gutter="0" w:footer="0" w:header="0"/>
        </w:sectPr>
      </w:pPr>
    </w:p>
    <w:bookmarkStart w:id="8" w:name="page9"/>
    <w:bookmarkEnd w:id="8"/>
    <w:p>
      <w:pPr>
        <w:ind w:left="140"/>
        <w:spacing w:after="0"/>
        <w:rPr>
          <w:sz w:val="20"/>
          <w:szCs w:val="20"/>
          <w:color w:val="auto"/>
        </w:rPr>
      </w:pPr>
      <w:r>
        <w:rPr>
          <w:rFonts w:ascii="Arial" w:cs="Arial" w:eastAsia="Arial" w:hAnsi="Arial"/>
          <w:sz w:val="12"/>
          <w:szCs w:val="12"/>
          <w:b w:val="1"/>
          <w:bCs w:val="1"/>
          <w:i w:val="1"/>
          <w:iCs w:val="1"/>
          <w:color w:val="auto"/>
        </w:rPr>
        <w:t>Supply Agreement with SmileDirectClub, LLC</w:t>
      </w:r>
    </w:p>
    <w:p>
      <w:pPr>
        <w:spacing w:after="0" w:line="150"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On July 28, 2016, we announced a supply agreement with SmileDirectClub, LLC to manufacture non-Invisalign clear aligners for SDC’s doctor-led, at-home program for affordable, cosmetic teeth straightening. The agreement brings our manufacturing and production expertise to a new and growing segment of the adult treatment market, one that provides new treatment choices to consumers and new business opportunities to Invisalign providers.</w:t>
      </w:r>
    </w:p>
    <w:p>
      <w:pPr>
        <w:spacing w:after="0" w:line="92"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Beginning October 2016, we became SDC’s exclusive third-party supplier for its minor tooth movement aligner program. Specifically, we provide a case setup through SDC’s SmileCheck viewer portal and upon review and approval by a participating licensed orthodontist or general dentist in SDC’s network, we manufacture clear aligners and ship them directly to SDC. While we are SDC's only third-party supplier, SDC also manufactures some of their own aligners.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SDC aligners include up to 20 stages without attachments or IPR. We manufacture the aligners per SDC’s specifications for minor tooth movement using EX-30. Align does not market or sell SDC products.</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In addition, under the agreement, Align and SDC created a new Invisalign doctor referral program similar to the Invisalign Doctor Locator, that systematically refers a portion of case assessments that are too complex for their minor tooth movement product, to Invisalign providers in the patient’s local area. The goal of the agreement is to help expand the market and opportunity for our Invisalign doctors, while supporting SDC’s efforts to provide consumers with access to more choices in treating simple cases from the convenience of their own home. The Invisalign brand and system of clear aligners continue to be available exclusively for in office treatment with Invisalign-trained orthodontists and general dentists.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Manufacturing and Suppliers</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Our manufacturing facilities are located in Juarez, Mexico, where we conduct our aligner fabrication, distribute and repair our scanners and perform our CAD/CAM services, and in Or Yehuda, Israel where we produce our handheld intraoral scanner wand and perform the final assembly of our iTero scanner. Our Invisalign digital treatment planning and interpretation for iTero restorative cases are conducted primarily at our facility located in San Jose, Costa Rica; however, in 2017, we opened new treatment planning facilities in Chengdu, China and Cologne, Germany to support our customers within these regions. Information regarding risks associated with our manufacturing process and foreign operations may be found in </w:t>
      </w:r>
      <w:r>
        <w:rPr>
          <w:rFonts w:ascii="Arial" w:cs="Arial" w:eastAsia="Arial" w:hAnsi="Arial"/>
          <w:sz w:val="12"/>
          <w:szCs w:val="12"/>
          <w:i w:val="1"/>
          <w:iCs w:val="1"/>
          <w:color w:val="auto"/>
        </w:rPr>
        <w:t>Item 1A</w:t>
      </w:r>
      <w:r>
        <w:rPr>
          <w:rFonts w:ascii="Arial" w:cs="Arial" w:eastAsia="Arial" w:hAnsi="Arial"/>
          <w:sz w:val="12"/>
          <w:szCs w:val="12"/>
          <w:color w:val="auto"/>
        </w:rPr>
        <w:t xml:space="preserve"> of this Annual Report on Form 10-K under the heading </w:t>
      </w:r>
      <w:r>
        <w:rPr>
          <w:rFonts w:ascii="Arial" w:cs="Arial" w:eastAsia="Arial" w:hAnsi="Arial"/>
          <w:sz w:val="12"/>
          <w:szCs w:val="12"/>
          <w:i w:val="1"/>
          <w:iCs w:val="1"/>
          <w:color w:val="auto"/>
        </w:rPr>
        <w:t>“Risk Factors.”</w:t>
      </w:r>
    </w:p>
    <w:p>
      <w:pPr>
        <w:spacing w:after="0" w:line="12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Our quality system is required to be in compliance with the Quality System regulations enforced by the FDA, and similar regulations enforced by other worldwide regulatory authorities. We are certified to EN ISO 13485:2003, an internationally recognized standard for medical device manufacturing.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25"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Since the manufacturing process of our products requires substantial and varied technical expertise, we believe that our manufacturing capabilities are important to our success. In order to produce our highly customized, highly precise, medical quality products in volume, we have developed a number of proprietary processes and technologies. These technologies include complex software algorithms and solutions, CT scanning, stereolithography and automated aligner fabrication. To increase the efficiency of our manufacturing processes, we continue to focus our efforts on software development and the improvement of rate-limiting processes or bottlenecks. We continuously upgrade our proprietary, three-dimensional treatment planning software to enhance computer analysis of treatment data and to reduce time spent on manual and judgmental tasks for each case, thereby increasing the efficiency of our technicians. In addition, to improve efficiency and increase the scale of our operations, we continue to invest in the development of automated systems for the fabrication and packaging of aligners.</w:t>
      </w:r>
    </w:p>
    <w:p>
      <w:pPr>
        <w:spacing w:after="0" w:line="111" w:lineRule="exact"/>
        <w:rPr>
          <w:sz w:val="20"/>
          <w:szCs w:val="20"/>
          <w:color w:val="auto"/>
        </w:rPr>
      </w:pPr>
    </w:p>
    <w:p>
      <w:pPr>
        <w:jc w:val="both"/>
        <w:ind w:firstLine="288"/>
        <w:spacing w:after="0" w:line="320" w:lineRule="auto"/>
        <w:rPr>
          <w:sz w:val="20"/>
          <w:szCs w:val="20"/>
          <w:color w:val="auto"/>
        </w:rPr>
      </w:pPr>
      <w:r>
        <w:rPr>
          <w:rFonts w:ascii="Arial" w:cs="Arial" w:eastAsia="Arial" w:hAnsi="Arial"/>
          <w:sz w:val="10"/>
          <w:szCs w:val="10"/>
          <w:color w:val="auto"/>
        </w:rPr>
        <w:t xml:space="preserve">We are highly dependent on manufacturers of specialized scanning equipment, rapid prototyping machines, resin and other advanced materials for our aligners,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intraoral scanners are provided by single suppliers. We are also committed to purchasing all of our resin and polymer, the primary raw materials used in our manufacturing process for clear aligners, from a single source. The need to replace one of our single source suppliers could cause a disruption in our ability to timely deliver certain of our products or increase costs. See </w:t>
      </w:r>
      <w:r>
        <w:rPr>
          <w:rFonts w:ascii="Arial" w:cs="Arial" w:eastAsia="Arial" w:hAnsi="Arial"/>
          <w:sz w:val="10"/>
          <w:szCs w:val="10"/>
          <w:i w:val="1"/>
          <w:iCs w:val="1"/>
          <w:color w:val="auto"/>
        </w:rPr>
        <w:t>Item 1A</w:t>
      </w:r>
      <w:r>
        <w:rPr>
          <w:rFonts w:ascii="Arial" w:cs="Arial" w:eastAsia="Arial" w:hAnsi="Arial"/>
          <w:sz w:val="10"/>
          <w:szCs w:val="10"/>
          <w:color w:val="auto"/>
        </w:rPr>
        <w:t xml:space="preserve"> Risk Factors </w:t>
      </w:r>
      <w:r>
        <w:rPr>
          <w:rFonts w:ascii="Arial" w:cs="Arial" w:eastAsia="Arial" w:hAnsi="Arial"/>
          <w:sz w:val="10"/>
          <w:szCs w:val="10"/>
          <w:i w:val="1"/>
          <w:iCs w:val="1"/>
          <w:color w:val="auto"/>
        </w:rPr>
        <w:t>— “We maintain single supply relationships for</w:t>
      </w:r>
      <w:r>
        <w:rPr>
          <w:rFonts w:ascii="Arial" w:cs="Arial" w:eastAsia="Arial" w:hAnsi="Arial"/>
          <w:sz w:val="10"/>
          <w:szCs w:val="10"/>
          <w:color w:val="auto"/>
        </w:rPr>
        <w:t xml:space="preserve"> </w:t>
      </w:r>
      <w:r>
        <w:rPr>
          <w:rFonts w:ascii="Arial" w:cs="Arial" w:eastAsia="Arial" w:hAnsi="Arial"/>
          <w:sz w:val="10"/>
          <w:szCs w:val="10"/>
          <w:i w:val="1"/>
          <w:iCs w:val="1"/>
          <w:color w:val="auto"/>
        </w:rPr>
        <w:t>certain of our key machines and materials technologies, and our business and operating results could be harmed if supply is restricted or ends or the price of raw materials used in our manufacturing process increases.”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437" w:right="199" w:bottom="1440" w:gutter="0" w:footer="0" w:header="0"/>
        </w:sectPr>
      </w:pPr>
    </w:p>
    <w:bookmarkStart w:id="9" w:name="page10"/>
    <w:bookmarkEnd w:id="9"/>
    <w:p>
      <w:pPr>
        <w:ind w:left="140"/>
        <w:spacing w:after="0"/>
        <w:rPr>
          <w:sz w:val="20"/>
          <w:szCs w:val="20"/>
          <w:color w:val="auto"/>
        </w:rPr>
      </w:pPr>
      <w:r>
        <w:rPr>
          <w:rFonts w:ascii="Arial" w:cs="Arial" w:eastAsia="Arial" w:hAnsi="Arial"/>
          <w:sz w:val="12"/>
          <w:szCs w:val="12"/>
          <w:b w:val="1"/>
          <w:bCs w:val="1"/>
          <w:i w:val="1"/>
          <w:iCs w:val="1"/>
          <w:color w:val="auto"/>
        </w:rPr>
        <w:t>Sales and Marketing</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Our sales efforts are focused primarily on the Invisalign System and continuing to increase adoption and utilization by orthodontists and GPs worldwide. In North America, Europe, certain Asia Pacific country markets, and, more recently in Brazil and certain countries in the Middle East and Africa, we have direct sales and support organizations, which includes quota carrying sales representatives, sales management and sales administration. We also have distribution partners that sell the Invisalign System in smaller non-core international country markets. We continued to expand in our existing markets through targeted investments in sales resources, professional marketing and education programs, along with consumer marketing in select country markets.</w:t>
      </w:r>
    </w:p>
    <w:p>
      <w:pPr>
        <w:spacing w:after="0" w:line="1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the iTero scanner, we have a small team of direct sales representatives and a few distributors in North America who leverage leads generated by our Invisalign sales and marketing resources, including customer events and industry trade-shows. We sell the iTero scanner in select country markets internationally and will expand to additional markets over time to grow the scanner business.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provide training, marketing and clinical support to orthodontists and GPs. As of December 31, 2017, we had approximately 64,400 active Invisalign providers.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0"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We are committed to investing in world-class technology development, which we believe is critical to achieving our goal of establishing the Invisalign System as the standard method for treating malocclusion and our intraoral scanning platform as the preferred scanning protocol for digital scans. Our research and development expenses were $97.6 million, $75.7 million and $61.2 million for the year ended December 31, 2017, 2016 and 2015, respectively.</w:t>
      </w:r>
    </w:p>
    <w:p>
      <w:pPr>
        <w:spacing w:after="0" w:line="92"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Our research and development activities are directed toward developing the technology innovations that we believe will deliver our next generation of products and platforms. These activities range from accelerating product and clinical innovation to developing manufacturing process improvements to researching future technologies and products.</w:t>
      </w:r>
    </w:p>
    <w:p>
      <w:pPr>
        <w:spacing w:after="0" w:line="11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In an effort to demonstrate Invisalign’s broad treatment capabilities, various clinical case studies and articles have been published that highlight the clinical applicability of Invisalign to malocclusion cases, including those of severe complexity. We undertake pre-commercialization trials and testing of our technological improvements to the product and manufacturing process.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Intellectual Property</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believe our intellectual property position represents a substantial business advantage. As of December 31, 2017, we had 420 active U.S. patents, 456 active foreign patents, and 416 pending global patent applications.</w:t>
      </w:r>
    </w:p>
    <w:p>
      <w:pPr>
        <w:spacing w:after="0" w:line="162" w:lineRule="exact"/>
        <w:rPr>
          <w:sz w:val="20"/>
          <w:szCs w:val="20"/>
          <w:color w:val="auto"/>
        </w:rPr>
      </w:pPr>
    </w:p>
    <w:p>
      <w:pPr>
        <w:jc w:val="both"/>
        <w:ind w:firstLine="288"/>
        <w:spacing w:after="0" w:line="281" w:lineRule="auto"/>
        <w:rPr>
          <w:sz w:val="20"/>
          <w:szCs w:val="20"/>
          <w:color w:val="auto"/>
        </w:rPr>
      </w:pPr>
      <w:r>
        <w:rPr>
          <w:rFonts w:ascii="Arial" w:cs="Arial" w:eastAsia="Arial" w:hAnsi="Arial"/>
          <w:sz w:val="11"/>
          <w:szCs w:val="11"/>
          <w:color w:val="auto"/>
        </w:rPr>
        <w:t xml:space="preserve">We continue to pursue further intellectual property protection through U.S. and foreign patent applications and non-disclosure agreements. Certain of our issued U.S. patents expired in 2017. In addition, corresponding foreign patents will start to expire in 2018. Our active U.S. patents expire between 2018 and 2035. When patents expire, we lose the protection and competitive advantages they provided to us, which could negatively impact our operating results; however, 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w:t>
      </w:r>
      <w:r>
        <w:rPr>
          <w:rFonts w:ascii="Arial" w:cs="Arial" w:eastAsia="Arial" w:hAnsi="Arial"/>
          <w:sz w:val="11"/>
          <w:szCs w:val="11"/>
          <w:i w:val="1"/>
          <w:iCs w:val="1"/>
          <w:color w:val="auto"/>
        </w:rPr>
        <w:t>Item 1A</w:t>
      </w:r>
      <w:r>
        <w:rPr>
          <w:rFonts w:ascii="Arial" w:cs="Arial" w:eastAsia="Arial" w:hAnsi="Arial"/>
          <w:sz w:val="11"/>
          <w:szCs w:val="11"/>
          <w:color w:val="auto"/>
        </w:rPr>
        <w:t xml:space="preserve"> of this Annual Report on Form 10-K under the heading </w:t>
      </w:r>
      <w:r>
        <w:rPr>
          <w:rFonts w:ascii="Arial" w:cs="Arial" w:eastAsia="Arial" w:hAnsi="Arial"/>
          <w:sz w:val="11"/>
          <w:szCs w:val="11"/>
          <w:i w:val="1"/>
          <w:iCs w:val="1"/>
          <w:color w:val="auto"/>
        </w:rPr>
        <w:t>“Risk Factors.”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581" w:right="199" w:bottom="1440" w:gutter="0" w:footer="0" w:header="0"/>
        </w:sectPr>
      </w:pPr>
    </w:p>
    <w:bookmarkStart w:id="10" w:name="page11"/>
    <w:bookmarkEnd w:id="10"/>
    <w:p>
      <w:pPr>
        <w:ind w:left="140"/>
        <w:spacing w:after="0"/>
        <w:rPr>
          <w:sz w:val="20"/>
          <w:szCs w:val="20"/>
          <w:color w:val="auto"/>
        </w:rPr>
      </w:pPr>
      <w:r>
        <w:rPr>
          <w:rFonts w:ascii="Arial" w:cs="Arial" w:eastAsia="Arial" w:hAnsi="Arial"/>
          <w:sz w:val="12"/>
          <w:szCs w:val="12"/>
          <w:b w:val="1"/>
          <w:bCs w:val="1"/>
          <w:i w:val="1"/>
          <w:iCs w:val="1"/>
          <w:color w:val="auto"/>
        </w:rPr>
        <w:t>Seasonal Fluctuations</w:t>
      </w:r>
    </w:p>
    <w:p>
      <w:pPr>
        <w:spacing w:after="0" w:line="15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General economic conditions impact our business and financial results, and we experience seasonal trends within our two operating segments, customer channels and the geographic locations that we serve. For example, European sales of Invisalign treatments are often weaker in the summer months due to our customers and their patients being on holiday. In North America, summer is typically the busiest season for orthodontists with practices that have a high percentage of adolescent and teenage patients as many parents want to get their teenagers started in treatment before the start of the school year; however, many GPs are on vacation during this time and therefore tend to start fewer cases. For our Scanner segment, capital equipment sales are often stronger in the fourth calendar quarter. Consequently, these seasonal trends have caused and may continue to cause fluctuations in our quarterly results, including fluctuations in sequential revenue growth rates.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Backlog</w:t>
      </w:r>
    </w:p>
    <w:p>
      <w:pPr>
        <w:spacing w:after="0" w:line="150"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All Invisalign treatments are individually unique and prescribed by a doctor so, no two cases are alike. The period from which a treatment data package (or a "case”) is received until the acceptance of the digital ClinCheck treatment plan is dependent on the dental professional’s discretion to modify, accept or cancel the treatment plan. Therefore, we consider the case a firm order to manufacture aligners once the dental professional has approved the ClinCheck treatment plan. Our Invisalign backlog consists of ClinCheck treatment plans that have been accepted but not yet shipped. Because aligners are shipped shortly after the ClinCheck treatment plan has been accepted, we believe that backlog is not a good indicator of future Invisalign revenues. Our quarterly Invisalign revenues can be impacted by the timing of the ClinCheck treatment plan acceptances and our ability to ship those cases in the same quarter. We define our intraoral scanner backlog as orders where credit and financing is approved and payment is reasonably assured but the scanner has not yet shipped. Our intraoral scanner backlog as of December 31, 2017 was not material.</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Competition</w:t>
      </w:r>
    </w:p>
    <w:p>
      <w:pPr>
        <w:spacing w:after="0" w:line="150"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 xml:space="preserve">We operate in a highly competitive market and we encounter a wide variety of competitors, including larger companies or divisions of larger companies with substantial sales, marketing, research and financial capabilities. We also face competition from early stage companies. Although the number of competitors varies by segment, currently our products compete directly against products manufactured and distributed by various companies, both within and outside the U.S., including Danaher Corporation, Sirona Dental Systems, Inc., Dentsply International, Inc., 3M Company, Straumann Holding AG, 3Shape, Angel Align and other private competitors. In addition, the expiration of certain of key patents, which commenced in 2017, may result in additional competition. Information regarding risks associated with increased competition may be found in </w:t>
      </w:r>
      <w:r>
        <w:rPr>
          <w:rFonts w:ascii="Arial" w:cs="Arial" w:eastAsia="Arial" w:hAnsi="Arial"/>
          <w:sz w:val="11"/>
          <w:szCs w:val="11"/>
          <w:i w:val="1"/>
          <w:iCs w:val="1"/>
          <w:color w:val="auto"/>
        </w:rPr>
        <w:t>Item 1A</w:t>
      </w:r>
      <w:r>
        <w:rPr>
          <w:rFonts w:ascii="Arial" w:cs="Arial" w:eastAsia="Arial" w:hAnsi="Arial"/>
          <w:sz w:val="11"/>
          <w:szCs w:val="11"/>
          <w:color w:val="auto"/>
        </w:rPr>
        <w:t xml:space="preserve"> of this Annual Report on Form 10-K under the heading “</w:t>
      </w:r>
      <w:r>
        <w:rPr>
          <w:rFonts w:ascii="Arial" w:cs="Arial" w:eastAsia="Arial" w:hAnsi="Arial"/>
          <w:sz w:val="11"/>
          <w:szCs w:val="11"/>
          <w:i w:val="1"/>
          <w:iCs w:val="1"/>
          <w:color w:val="auto"/>
        </w:rPr>
        <w:t>Risk Factors</w:t>
      </w:r>
      <w:r>
        <w:rPr>
          <w:rFonts w:ascii="Arial" w:cs="Arial" w:eastAsia="Arial" w:hAnsi="Arial"/>
          <w:sz w:val="11"/>
          <w:szCs w:val="11"/>
          <w:color w:val="auto"/>
        </w:rPr>
        <w: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Key competitive factors include:</w:t>
      </w:r>
    </w:p>
    <w:p>
      <w:pPr>
        <w:spacing w:after="0" w:line="78" w:lineRule="exact"/>
        <w:rPr>
          <w:sz w:val="20"/>
          <w:szCs w:val="20"/>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effectiveness of treatment;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price;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software features;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aesthetic appeal of the treatment method;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customer support;</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customer online interface;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brand awareness;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innovation;</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distribution network;</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comfort associated with the treatment method;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oral hygiene;</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ease of use;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dental professionals’ chair time.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believe that our products compare favorably with our competitors’ products with respect to each of these factors.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437" w:right="199" w:bottom="1440" w:gutter="0" w:footer="0" w:header="0"/>
        </w:sectPr>
      </w:pPr>
    </w:p>
    <w:bookmarkStart w:id="11" w:name="page12"/>
    <w:bookmarkEnd w:id="11"/>
    <w:p>
      <w:pPr>
        <w:ind w:left="140"/>
        <w:spacing w:after="0"/>
        <w:rPr>
          <w:sz w:val="20"/>
          <w:szCs w:val="20"/>
          <w:color w:val="auto"/>
        </w:rPr>
      </w:pPr>
      <w:r>
        <w:rPr>
          <w:rFonts w:ascii="Arial" w:cs="Arial" w:eastAsia="Arial" w:hAnsi="Arial"/>
          <w:sz w:val="12"/>
          <w:szCs w:val="12"/>
          <w:b w:val="1"/>
          <w:bCs w:val="1"/>
          <w:i w:val="1"/>
          <w:iCs w:val="1"/>
          <w:color w:val="auto"/>
        </w:rPr>
        <w:t>Government Regulation</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In order for us to market our products, we must obtain regulatory authorization and comply with extensive product and quality system regulations both within and outside the U.S. These regulations, including the requirements for approvals or clearance and the time required for regulatory review, vary from country to country. Failure to obtain regulatory approval and to meet all local requirements including language and specific safety standards in any country in which we currently market or plan to market our products could prevent us from marketing products in such countries or subject us to sanctions and fines. The approval by government authorities is unpredictable and uncertain and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spacing w:after="0" w:line="12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Certain of our products are classified as medical devices under the United States Food, Drug, and Cosmetic Act (the “FD&amp;CA”). The FD&amp;CA requires these products, when sold in the U.S., to be safe and effective for their intended use and to comply with the regulations administered by the FDA. Our products may also be regulated by comparable agencies in non-U.S. countries in which they are produced or sold. In the European Union ("EU"), our products are subject to the medical devices laws of the various member states, which are based on a Directive of the European Commission which was updated in April 2017 to the Medical Device Regulation. Such laws generally regulate the safety of the products in a similar way to the FDA regulations.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believe we are in compliance with all FDA, federal and state laws and international regulatory requirements that are applicable to our products and manufacturing operations.</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are also subject to various laws inside and outside the U.S. concerning our relationships with healthcare professionals and government officials, price reporting and regulation, the promotion, sales and marketing of our products and services, the importation and exportation of our products, the operation of our facilities and distribution of our products. As a global company, we are subject to varying degrees of government regulation in the various countries in which we do business, and the general trend is toward increasingly stringent oversight and enforcement. Initiatives sponsored by government agencies, legislative bodies, and the private sector to limit the growth of healthcare expenses generally are ongoing in markets where we do business. It is not possible to predict at this time the long-term impact of such cost containment measures on our future business.</w:t>
      </w:r>
    </w:p>
    <w:p>
      <w:pPr>
        <w:spacing w:after="0" w:line="109"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Our customers are healthcare providers that may be reimbursed by federal funded programs such as Medicaid or a foreign national healthcare program, each of which may offer some degree of oversight. Many government agencies, both domestic and foreign, have increased their enforcement activities with respect to healthcare providers and companies in recent years. Enforcement actions and associated defense can be expensive, and any resulting findings carry the risk of significant civil and criminal penalties.</w:t>
      </w:r>
    </w:p>
    <w:p>
      <w:pPr>
        <w:spacing w:after="0" w:line="12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In addition, we must comply with numerous data protection requirements that span from individual state and national laws in the U.S. to multinational requirements in the EU. In the U.S., final regulations implementing amendments to the Health Insurance Portability and Accountability Act of 1996 (“HIPAA”) became effective in the latter part of 2013 with the HIPAA Omnibus Rule. In the EU, Align must comply with the General Data Protection Regulation (“GDPR”), which serves as a harmonization of European data-privacy laws. The GDPR goes into effect May 25, 2018. Meanwhile, the Asia Pacific region has also seen rapid development of privacy laws, including in China, South Korea, Singapore, Hong Kong, and Australia.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Employees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of December 31, 2017, we had approximately 8,715 employees, including 5,705 in manufacturing and operations, 1,830 in sales and marketing which includes customer care, 475 in research and development and 705 in general and administrative functions.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437" w:right="199" w:bottom="1440" w:gutter="0" w:footer="0" w:header="0"/>
        </w:sectPr>
      </w:pPr>
    </w:p>
    <w:bookmarkStart w:id="12" w:name="page13"/>
    <w:bookmarkEnd w:id="12"/>
    <w:p>
      <w:pPr>
        <w:ind w:left="140"/>
        <w:spacing w:after="0"/>
        <w:rPr>
          <w:sz w:val="20"/>
          <w:szCs w:val="20"/>
          <w:color w:val="auto"/>
        </w:rPr>
      </w:pPr>
      <w:r>
        <w:rPr>
          <w:rFonts w:ascii="Arial" w:cs="Arial" w:eastAsia="Arial" w:hAnsi="Arial"/>
          <w:sz w:val="12"/>
          <w:szCs w:val="12"/>
          <w:b w:val="1"/>
          <w:bCs w:val="1"/>
          <w:i w:val="1"/>
          <w:iCs w:val="1"/>
          <w:color w:val="auto"/>
        </w:rPr>
        <w:t>Available Information</w:t>
      </w:r>
    </w:p>
    <w:p>
      <w:pPr>
        <w:spacing w:after="0" w:line="15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 xml:space="preserve">Our website is </w:t>
      </w:r>
      <w:r>
        <w:rPr>
          <w:rFonts w:ascii="Arial" w:cs="Arial" w:eastAsia="Arial" w:hAnsi="Arial"/>
          <w:sz w:val="12"/>
          <w:szCs w:val="12"/>
          <w:i w:val="1"/>
          <w:iCs w:val="1"/>
          <w:u w:val="single" w:color="auto"/>
          <w:color w:val="auto"/>
        </w:rPr>
        <w:t>www.aligntech.com</w:t>
      </w:r>
      <w:r>
        <w:rPr>
          <w:rFonts w:ascii="Arial" w:cs="Arial" w:eastAsia="Arial" w:hAnsi="Arial"/>
          <w:sz w:val="12"/>
          <w:szCs w:val="12"/>
          <w:color w:val="auto"/>
        </w:rPr>
        <w:t xml:space="preserve">, and our investor relations website is </w:t>
      </w:r>
      <w:r>
        <w:rPr>
          <w:rFonts w:ascii="Arial" w:cs="Arial" w:eastAsia="Arial" w:hAnsi="Arial"/>
          <w:sz w:val="12"/>
          <w:szCs w:val="12"/>
          <w:i w:val="1"/>
          <w:iCs w:val="1"/>
          <w:u w:val="single" w:color="auto"/>
          <w:color w:val="auto"/>
        </w:rPr>
        <w:t>http://investor.aligntech.com</w:t>
      </w:r>
      <w:r>
        <w:rPr>
          <w:rFonts w:ascii="Arial" w:cs="Arial" w:eastAsia="Arial" w:hAnsi="Arial"/>
          <w:sz w:val="12"/>
          <w:szCs w:val="12"/>
          <w:color w:val="auto"/>
        </w:rPr>
        <w:t xml:space="preserve">.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a copy of this Annual Report on Form 10-K is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Executive Officers of the Registrant</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color w:val="auto"/>
        </w:rPr>
        <w:t>The following table sets forth certain information regarding our executive officers as of February 28,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2220" w:type="dxa"/>
            <w:vAlign w:val="bottom"/>
          </w:tcPr>
          <w:p>
            <w:pPr>
              <w:jc w:val="center"/>
              <w:ind w:left="466"/>
              <w:spacing w:after="0"/>
              <w:rPr>
                <w:sz w:val="20"/>
                <w:szCs w:val="20"/>
                <w:color w:val="auto"/>
              </w:rPr>
            </w:pPr>
            <w:r>
              <w:rPr>
                <w:rFonts w:ascii="Arial" w:cs="Arial" w:eastAsia="Arial" w:hAnsi="Arial"/>
                <w:sz w:val="11"/>
                <w:szCs w:val="11"/>
                <w:b w:val="1"/>
                <w:bCs w:val="1"/>
                <w:color w:val="auto"/>
                <w:w w:val="86"/>
              </w:rPr>
              <w:t>Age</w:t>
            </w:r>
          </w:p>
        </w:tc>
        <w:tc>
          <w:tcPr>
            <w:tcW w:w="7080" w:type="dxa"/>
            <w:vAlign w:val="bottom"/>
          </w:tcPr>
          <w:p>
            <w:pPr>
              <w:jc w:val="center"/>
              <w:ind w:right="446"/>
              <w:spacing w:after="0"/>
              <w:rPr>
                <w:sz w:val="20"/>
                <w:szCs w:val="20"/>
                <w:color w:val="auto"/>
              </w:rPr>
            </w:pPr>
            <w:r>
              <w:rPr>
                <w:rFonts w:ascii="Arial" w:cs="Arial" w:eastAsia="Arial" w:hAnsi="Arial"/>
                <w:sz w:val="11"/>
                <w:szCs w:val="11"/>
                <w:b w:val="1"/>
                <w:bCs w:val="1"/>
                <w:color w:val="auto"/>
                <w:w w:val="87"/>
              </w:rPr>
              <w:t>Position</w:t>
            </w: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r>
      <w:tr>
        <w:trPr>
          <w:trHeight w:val="14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Joseph M. Hogan</w:t>
            </w:r>
          </w:p>
        </w:tc>
        <w:tc>
          <w:tcPr>
            <w:tcW w:w="2220" w:type="dxa"/>
            <w:vAlign w:val="bottom"/>
            <w:tcBorders>
              <w:bottom w:val="single" w:sz="8" w:color="CCEEFF"/>
            </w:tcBorders>
            <w:shd w:val="clear" w:color="auto" w:fill="CCEEFF"/>
          </w:tcPr>
          <w:p>
            <w:pPr>
              <w:jc w:val="center"/>
              <w:ind w:left="486"/>
              <w:spacing w:after="0"/>
              <w:rPr>
                <w:sz w:val="20"/>
                <w:szCs w:val="20"/>
                <w:color w:val="auto"/>
              </w:rPr>
            </w:pPr>
            <w:r>
              <w:rPr>
                <w:rFonts w:ascii="Arial" w:cs="Arial" w:eastAsia="Arial" w:hAnsi="Arial"/>
                <w:sz w:val="11"/>
                <w:szCs w:val="11"/>
                <w:color w:val="auto"/>
                <w:w w:val="97"/>
              </w:rPr>
              <w:t>60</w:t>
            </w:r>
          </w:p>
        </w:tc>
        <w:tc>
          <w:tcPr>
            <w:tcW w:w="7080" w:type="dxa"/>
            <w:vAlign w:val="bottom"/>
            <w:tcBorders>
              <w:bottom w:val="single" w:sz="8" w:color="CCEEFF"/>
            </w:tcBorders>
            <w:shd w:val="clear" w:color="auto" w:fill="CCEEFF"/>
          </w:tcPr>
          <w:p>
            <w:pPr>
              <w:jc w:val="center"/>
              <w:ind w:right="446"/>
              <w:spacing w:after="0"/>
              <w:rPr>
                <w:sz w:val="20"/>
                <w:szCs w:val="20"/>
                <w:color w:val="auto"/>
              </w:rPr>
            </w:pPr>
            <w:r>
              <w:rPr>
                <w:rFonts w:ascii="Arial" w:cs="Arial" w:eastAsia="Arial" w:hAnsi="Arial"/>
                <w:sz w:val="11"/>
                <w:szCs w:val="11"/>
                <w:color w:val="auto"/>
                <w:w w:val="90"/>
              </w:rPr>
              <w:t>President and Chief Executive Officer</w:t>
            </w:r>
          </w:p>
        </w:tc>
      </w:tr>
      <w:tr>
        <w:trPr>
          <w:trHeight w:val="149"/>
        </w:trPr>
        <w:tc>
          <w:tcPr>
            <w:tcW w:w="2180" w:type="dxa"/>
            <w:vAlign w:val="bottom"/>
          </w:tcPr>
          <w:p>
            <w:pPr>
              <w:ind w:left="20"/>
              <w:spacing w:after="0"/>
              <w:rPr>
                <w:sz w:val="20"/>
                <w:szCs w:val="20"/>
                <w:color w:val="auto"/>
              </w:rPr>
            </w:pPr>
            <w:r>
              <w:rPr>
                <w:rFonts w:ascii="Arial" w:cs="Arial" w:eastAsia="Arial" w:hAnsi="Arial"/>
                <w:sz w:val="11"/>
                <w:szCs w:val="11"/>
                <w:color w:val="auto"/>
              </w:rPr>
              <w:t>John F. Morici</w:t>
            </w:r>
          </w:p>
        </w:tc>
        <w:tc>
          <w:tcPr>
            <w:tcW w:w="2220" w:type="dxa"/>
            <w:vAlign w:val="bottom"/>
          </w:tcPr>
          <w:p>
            <w:pPr>
              <w:jc w:val="center"/>
              <w:ind w:left="486"/>
              <w:spacing w:after="0"/>
              <w:rPr>
                <w:sz w:val="20"/>
                <w:szCs w:val="20"/>
                <w:color w:val="auto"/>
              </w:rPr>
            </w:pPr>
            <w:r>
              <w:rPr>
                <w:rFonts w:ascii="Arial" w:cs="Arial" w:eastAsia="Arial" w:hAnsi="Arial"/>
                <w:sz w:val="11"/>
                <w:szCs w:val="11"/>
                <w:color w:val="auto"/>
                <w:w w:val="97"/>
              </w:rPr>
              <w:t>51</w:t>
            </w:r>
          </w:p>
        </w:tc>
        <w:tc>
          <w:tcPr>
            <w:tcW w:w="7080" w:type="dxa"/>
            <w:vAlign w:val="bottom"/>
          </w:tcPr>
          <w:p>
            <w:pPr>
              <w:jc w:val="center"/>
              <w:ind w:right="446"/>
              <w:spacing w:after="0"/>
              <w:rPr>
                <w:sz w:val="20"/>
                <w:szCs w:val="20"/>
                <w:color w:val="auto"/>
              </w:rPr>
            </w:pPr>
            <w:r>
              <w:rPr>
                <w:rFonts w:ascii="Arial" w:cs="Arial" w:eastAsia="Arial" w:hAnsi="Arial"/>
                <w:sz w:val="11"/>
                <w:szCs w:val="11"/>
                <w:color w:val="auto"/>
                <w:w w:val="89"/>
              </w:rPr>
              <w:t>Chief Financial Officer and Senior Vice President, Global Finance</w:t>
            </w:r>
          </w:p>
        </w:tc>
      </w:tr>
      <w:tr>
        <w:trPr>
          <w:trHeight w:val="22"/>
        </w:trPr>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Simon Beard</w:t>
            </w:r>
          </w:p>
        </w:tc>
        <w:tc>
          <w:tcPr>
            <w:tcW w:w="2220" w:type="dxa"/>
            <w:vAlign w:val="bottom"/>
            <w:tcBorders>
              <w:bottom w:val="single" w:sz="8" w:color="CCEEFF"/>
            </w:tcBorders>
            <w:shd w:val="clear" w:color="auto" w:fill="CCEEFF"/>
          </w:tcPr>
          <w:p>
            <w:pPr>
              <w:jc w:val="center"/>
              <w:ind w:left="486"/>
              <w:spacing w:after="0"/>
              <w:rPr>
                <w:sz w:val="20"/>
                <w:szCs w:val="20"/>
                <w:color w:val="auto"/>
              </w:rPr>
            </w:pPr>
            <w:r>
              <w:rPr>
                <w:rFonts w:ascii="Arial" w:cs="Arial" w:eastAsia="Arial" w:hAnsi="Arial"/>
                <w:sz w:val="11"/>
                <w:szCs w:val="11"/>
                <w:color w:val="auto"/>
                <w:w w:val="97"/>
              </w:rPr>
              <w:t>51</w:t>
            </w:r>
          </w:p>
        </w:tc>
        <w:tc>
          <w:tcPr>
            <w:tcW w:w="7080" w:type="dxa"/>
            <w:vAlign w:val="bottom"/>
            <w:tcBorders>
              <w:bottom w:val="single" w:sz="8" w:color="CCEEFF"/>
            </w:tcBorders>
            <w:shd w:val="clear" w:color="auto" w:fill="CCEEFF"/>
          </w:tcPr>
          <w:p>
            <w:pPr>
              <w:jc w:val="center"/>
              <w:ind w:right="446"/>
              <w:spacing w:after="0"/>
              <w:rPr>
                <w:sz w:val="20"/>
                <w:szCs w:val="20"/>
                <w:color w:val="auto"/>
              </w:rPr>
            </w:pPr>
            <w:r>
              <w:rPr>
                <w:rFonts w:ascii="Arial" w:cs="Arial" w:eastAsia="Arial" w:hAnsi="Arial"/>
                <w:sz w:val="11"/>
                <w:szCs w:val="11"/>
                <w:color w:val="auto"/>
                <w:w w:val="90"/>
              </w:rPr>
              <w:t>Senior Vice President and Managing Director, EMEA</w:t>
            </w:r>
          </w:p>
        </w:tc>
      </w:tr>
      <w:tr>
        <w:trPr>
          <w:trHeight w:val="149"/>
        </w:trPr>
        <w:tc>
          <w:tcPr>
            <w:tcW w:w="2180" w:type="dxa"/>
            <w:vAlign w:val="bottom"/>
          </w:tcPr>
          <w:p>
            <w:pPr>
              <w:ind w:left="20"/>
              <w:spacing w:after="0"/>
              <w:rPr>
                <w:sz w:val="20"/>
                <w:szCs w:val="20"/>
                <w:color w:val="auto"/>
              </w:rPr>
            </w:pPr>
            <w:r>
              <w:rPr>
                <w:rFonts w:ascii="Arial" w:cs="Arial" w:eastAsia="Arial" w:hAnsi="Arial"/>
                <w:sz w:val="11"/>
                <w:szCs w:val="11"/>
                <w:color w:val="auto"/>
              </w:rPr>
              <w:t>Roger E. George</w:t>
            </w:r>
          </w:p>
        </w:tc>
        <w:tc>
          <w:tcPr>
            <w:tcW w:w="2220" w:type="dxa"/>
            <w:vAlign w:val="bottom"/>
          </w:tcPr>
          <w:p>
            <w:pPr>
              <w:jc w:val="center"/>
              <w:ind w:left="486"/>
              <w:spacing w:after="0"/>
              <w:rPr>
                <w:sz w:val="20"/>
                <w:szCs w:val="20"/>
                <w:color w:val="auto"/>
              </w:rPr>
            </w:pPr>
            <w:r>
              <w:rPr>
                <w:rFonts w:ascii="Arial" w:cs="Arial" w:eastAsia="Arial" w:hAnsi="Arial"/>
                <w:sz w:val="11"/>
                <w:szCs w:val="11"/>
                <w:color w:val="auto"/>
                <w:w w:val="97"/>
              </w:rPr>
              <w:t>52</w:t>
            </w:r>
          </w:p>
        </w:tc>
        <w:tc>
          <w:tcPr>
            <w:tcW w:w="7080" w:type="dxa"/>
            <w:vAlign w:val="bottom"/>
          </w:tcPr>
          <w:p>
            <w:pPr>
              <w:jc w:val="center"/>
              <w:ind w:right="446"/>
              <w:spacing w:after="0"/>
              <w:rPr>
                <w:sz w:val="20"/>
                <w:szCs w:val="20"/>
                <w:color w:val="auto"/>
              </w:rPr>
            </w:pPr>
            <w:r>
              <w:rPr>
                <w:rFonts w:ascii="Arial" w:cs="Arial" w:eastAsia="Arial" w:hAnsi="Arial"/>
                <w:sz w:val="11"/>
                <w:szCs w:val="11"/>
                <w:color w:val="auto"/>
                <w:w w:val="90"/>
              </w:rPr>
              <w:t>Senior Vice President, Chief Legal and Regulatory Officer</w:t>
            </w:r>
          </w:p>
        </w:tc>
      </w:tr>
      <w:tr>
        <w:trPr>
          <w:trHeight w:val="22"/>
        </w:trPr>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Stuart Hockridge</w:t>
            </w:r>
          </w:p>
        </w:tc>
        <w:tc>
          <w:tcPr>
            <w:tcW w:w="2220" w:type="dxa"/>
            <w:vAlign w:val="bottom"/>
            <w:tcBorders>
              <w:bottom w:val="single" w:sz="8" w:color="CCEEFF"/>
            </w:tcBorders>
            <w:shd w:val="clear" w:color="auto" w:fill="CCEEFF"/>
          </w:tcPr>
          <w:p>
            <w:pPr>
              <w:jc w:val="center"/>
              <w:ind w:left="486"/>
              <w:spacing w:after="0"/>
              <w:rPr>
                <w:sz w:val="20"/>
                <w:szCs w:val="20"/>
                <w:color w:val="auto"/>
              </w:rPr>
            </w:pPr>
            <w:r>
              <w:rPr>
                <w:rFonts w:ascii="Arial" w:cs="Arial" w:eastAsia="Arial" w:hAnsi="Arial"/>
                <w:sz w:val="11"/>
                <w:szCs w:val="11"/>
                <w:color w:val="auto"/>
                <w:w w:val="97"/>
              </w:rPr>
              <w:t>46</w:t>
            </w:r>
          </w:p>
        </w:tc>
        <w:tc>
          <w:tcPr>
            <w:tcW w:w="7080" w:type="dxa"/>
            <w:vAlign w:val="bottom"/>
            <w:tcBorders>
              <w:bottom w:val="single" w:sz="8" w:color="CCEEFF"/>
            </w:tcBorders>
            <w:shd w:val="clear" w:color="auto" w:fill="CCEEFF"/>
          </w:tcPr>
          <w:p>
            <w:pPr>
              <w:jc w:val="center"/>
              <w:ind w:right="446"/>
              <w:spacing w:after="0"/>
              <w:rPr>
                <w:sz w:val="20"/>
                <w:szCs w:val="20"/>
                <w:color w:val="auto"/>
              </w:rPr>
            </w:pPr>
            <w:r>
              <w:rPr>
                <w:rFonts w:ascii="Arial" w:cs="Arial" w:eastAsia="Arial" w:hAnsi="Arial"/>
                <w:sz w:val="11"/>
                <w:szCs w:val="11"/>
                <w:color w:val="auto"/>
                <w:w w:val="88"/>
              </w:rPr>
              <w:t>Senior Vice President, Global Human Resources</w:t>
            </w:r>
          </w:p>
        </w:tc>
      </w:tr>
      <w:tr>
        <w:trPr>
          <w:trHeight w:val="149"/>
        </w:trPr>
        <w:tc>
          <w:tcPr>
            <w:tcW w:w="2180" w:type="dxa"/>
            <w:vAlign w:val="bottom"/>
          </w:tcPr>
          <w:p>
            <w:pPr>
              <w:ind w:left="20"/>
              <w:spacing w:after="0"/>
              <w:rPr>
                <w:sz w:val="20"/>
                <w:szCs w:val="20"/>
                <w:color w:val="auto"/>
              </w:rPr>
            </w:pPr>
            <w:r>
              <w:rPr>
                <w:rFonts w:ascii="Arial" w:cs="Arial" w:eastAsia="Arial" w:hAnsi="Arial"/>
                <w:sz w:val="11"/>
                <w:szCs w:val="11"/>
                <w:color w:val="auto"/>
              </w:rPr>
              <w:t>Sreelakshmi Kolli</w:t>
            </w:r>
          </w:p>
        </w:tc>
        <w:tc>
          <w:tcPr>
            <w:tcW w:w="2220" w:type="dxa"/>
            <w:vAlign w:val="bottom"/>
          </w:tcPr>
          <w:p>
            <w:pPr>
              <w:jc w:val="center"/>
              <w:ind w:left="486"/>
              <w:spacing w:after="0"/>
              <w:rPr>
                <w:sz w:val="20"/>
                <w:szCs w:val="20"/>
                <w:color w:val="auto"/>
              </w:rPr>
            </w:pPr>
            <w:r>
              <w:rPr>
                <w:rFonts w:ascii="Arial" w:cs="Arial" w:eastAsia="Arial" w:hAnsi="Arial"/>
                <w:sz w:val="11"/>
                <w:szCs w:val="11"/>
                <w:color w:val="auto"/>
                <w:w w:val="97"/>
              </w:rPr>
              <w:t>43</w:t>
            </w:r>
          </w:p>
        </w:tc>
        <w:tc>
          <w:tcPr>
            <w:tcW w:w="7080" w:type="dxa"/>
            <w:vAlign w:val="bottom"/>
          </w:tcPr>
          <w:p>
            <w:pPr>
              <w:jc w:val="center"/>
              <w:ind w:right="446"/>
              <w:spacing w:after="0"/>
              <w:rPr>
                <w:sz w:val="20"/>
                <w:szCs w:val="20"/>
                <w:color w:val="auto"/>
              </w:rPr>
            </w:pPr>
            <w:r>
              <w:rPr>
                <w:rFonts w:ascii="Arial" w:cs="Arial" w:eastAsia="Arial" w:hAnsi="Arial"/>
                <w:sz w:val="11"/>
                <w:szCs w:val="11"/>
                <w:color w:val="auto"/>
                <w:w w:val="90"/>
              </w:rPr>
              <w:t>Senior Vice President, Global Information Technology</w:t>
            </w:r>
          </w:p>
        </w:tc>
      </w:tr>
      <w:tr>
        <w:trPr>
          <w:trHeight w:val="22"/>
        </w:trPr>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Jennifer Olson</w:t>
            </w:r>
          </w:p>
        </w:tc>
        <w:tc>
          <w:tcPr>
            <w:tcW w:w="2220" w:type="dxa"/>
            <w:vAlign w:val="bottom"/>
            <w:tcBorders>
              <w:bottom w:val="single" w:sz="8" w:color="CCEEFF"/>
            </w:tcBorders>
            <w:shd w:val="clear" w:color="auto" w:fill="CCEEFF"/>
          </w:tcPr>
          <w:p>
            <w:pPr>
              <w:jc w:val="center"/>
              <w:ind w:left="486"/>
              <w:spacing w:after="0"/>
              <w:rPr>
                <w:sz w:val="20"/>
                <w:szCs w:val="20"/>
                <w:color w:val="auto"/>
              </w:rPr>
            </w:pPr>
            <w:r>
              <w:rPr>
                <w:rFonts w:ascii="Arial" w:cs="Arial" w:eastAsia="Arial" w:hAnsi="Arial"/>
                <w:sz w:val="11"/>
                <w:szCs w:val="11"/>
                <w:color w:val="auto"/>
                <w:w w:val="97"/>
              </w:rPr>
              <w:t>40</w:t>
            </w:r>
          </w:p>
        </w:tc>
        <w:tc>
          <w:tcPr>
            <w:tcW w:w="7080" w:type="dxa"/>
            <w:vAlign w:val="bottom"/>
            <w:tcBorders>
              <w:bottom w:val="single" w:sz="8" w:color="CCEEFF"/>
            </w:tcBorders>
            <w:shd w:val="clear" w:color="auto" w:fill="CCEEFF"/>
          </w:tcPr>
          <w:p>
            <w:pPr>
              <w:jc w:val="center"/>
              <w:ind w:right="446"/>
              <w:spacing w:after="0"/>
              <w:rPr>
                <w:sz w:val="20"/>
                <w:szCs w:val="20"/>
                <w:color w:val="auto"/>
              </w:rPr>
            </w:pPr>
            <w:r>
              <w:rPr>
                <w:rFonts w:ascii="Arial" w:cs="Arial" w:eastAsia="Arial" w:hAnsi="Arial"/>
                <w:sz w:val="11"/>
                <w:szCs w:val="11"/>
                <w:color w:val="auto"/>
                <w:w w:val="89"/>
              </w:rPr>
              <w:t>Senior Vice President and Managing Director, Doctor Directed Consumer Channel</w:t>
            </w:r>
          </w:p>
        </w:tc>
      </w:tr>
      <w:tr>
        <w:trPr>
          <w:trHeight w:val="149"/>
        </w:trPr>
        <w:tc>
          <w:tcPr>
            <w:tcW w:w="2180" w:type="dxa"/>
            <w:vAlign w:val="bottom"/>
          </w:tcPr>
          <w:p>
            <w:pPr>
              <w:ind w:left="20"/>
              <w:spacing w:after="0"/>
              <w:rPr>
                <w:sz w:val="20"/>
                <w:szCs w:val="20"/>
                <w:color w:val="auto"/>
              </w:rPr>
            </w:pPr>
            <w:r>
              <w:rPr>
                <w:rFonts w:ascii="Arial" w:cs="Arial" w:eastAsia="Arial" w:hAnsi="Arial"/>
                <w:sz w:val="11"/>
                <w:szCs w:val="11"/>
                <w:color w:val="auto"/>
              </w:rPr>
              <w:t>Raphael Pascaud</w:t>
            </w:r>
          </w:p>
        </w:tc>
        <w:tc>
          <w:tcPr>
            <w:tcW w:w="2220" w:type="dxa"/>
            <w:vAlign w:val="bottom"/>
          </w:tcPr>
          <w:p>
            <w:pPr>
              <w:jc w:val="center"/>
              <w:ind w:left="486"/>
              <w:spacing w:after="0"/>
              <w:rPr>
                <w:sz w:val="20"/>
                <w:szCs w:val="20"/>
                <w:color w:val="auto"/>
              </w:rPr>
            </w:pPr>
            <w:r>
              <w:rPr>
                <w:rFonts w:ascii="Arial" w:cs="Arial" w:eastAsia="Arial" w:hAnsi="Arial"/>
                <w:sz w:val="11"/>
                <w:szCs w:val="11"/>
                <w:color w:val="auto"/>
                <w:w w:val="97"/>
              </w:rPr>
              <w:t>46</w:t>
            </w:r>
          </w:p>
        </w:tc>
        <w:tc>
          <w:tcPr>
            <w:tcW w:w="7080" w:type="dxa"/>
            <w:vAlign w:val="bottom"/>
          </w:tcPr>
          <w:p>
            <w:pPr>
              <w:jc w:val="center"/>
              <w:ind w:right="446"/>
              <w:spacing w:after="0"/>
              <w:rPr>
                <w:sz w:val="20"/>
                <w:szCs w:val="20"/>
                <w:color w:val="auto"/>
              </w:rPr>
            </w:pPr>
            <w:r>
              <w:rPr>
                <w:rFonts w:ascii="Arial" w:cs="Arial" w:eastAsia="Arial" w:hAnsi="Arial"/>
                <w:sz w:val="11"/>
                <w:szCs w:val="11"/>
                <w:color w:val="auto"/>
                <w:w w:val="89"/>
              </w:rPr>
              <w:t>Chief Marketing Portfolio and Business Development Officer, and Senior Vice President iTero Scanner and Services</w:t>
            </w:r>
          </w:p>
        </w:tc>
      </w:tr>
      <w:tr>
        <w:trPr>
          <w:trHeight w:val="22"/>
        </w:trPr>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Christopher C. Puco</w:t>
            </w:r>
          </w:p>
        </w:tc>
        <w:tc>
          <w:tcPr>
            <w:tcW w:w="2220" w:type="dxa"/>
            <w:vAlign w:val="bottom"/>
            <w:tcBorders>
              <w:bottom w:val="single" w:sz="8" w:color="CCEEFF"/>
            </w:tcBorders>
            <w:shd w:val="clear" w:color="auto" w:fill="CCEEFF"/>
          </w:tcPr>
          <w:p>
            <w:pPr>
              <w:jc w:val="center"/>
              <w:ind w:left="486"/>
              <w:spacing w:after="0"/>
              <w:rPr>
                <w:sz w:val="20"/>
                <w:szCs w:val="20"/>
                <w:color w:val="auto"/>
              </w:rPr>
            </w:pPr>
            <w:r>
              <w:rPr>
                <w:rFonts w:ascii="Arial" w:cs="Arial" w:eastAsia="Arial" w:hAnsi="Arial"/>
                <w:sz w:val="11"/>
                <w:szCs w:val="11"/>
                <w:color w:val="auto"/>
                <w:w w:val="97"/>
              </w:rPr>
              <w:t>57</w:t>
            </w:r>
          </w:p>
        </w:tc>
        <w:tc>
          <w:tcPr>
            <w:tcW w:w="7080" w:type="dxa"/>
            <w:vAlign w:val="bottom"/>
            <w:tcBorders>
              <w:bottom w:val="single" w:sz="8" w:color="CCEEFF"/>
            </w:tcBorders>
            <w:shd w:val="clear" w:color="auto" w:fill="CCEEFF"/>
          </w:tcPr>
          <w:p>
            <w:pPr>
              <w:jc w:val="center"/>
              <w:ind w:right="446"/>
              <w:spacing w:after="0"/>
              <w:rPr>
                <w:sz w:val="20"/>
                <w:szCs w:val="20"/>
                <w:color w:val="auto"/>
              </w:rPr>
            </w:pPr>
            <w:r>
              <w:rPr>
                <w:rFonts w:ascii="Arial" w:cs="Arial" w:eastAsia="Arial" w:hAnsi="Arial"/>
                <w:sz w:val="11"/>
                <w:szCs w:val="11"/>
                <w:color w:val="auto"/>
                <w:w w:val="88"/>
              </w:rPr>
              <w:t>Senior Vice President and Managing Director, Americas</w:t>
            </w:r>
          </w:p>
        </w:tc>
      </w:tr>
      <w:tr>
        <w:trPr>
          <w:trHeight w:val="149"/>
        </w:trPr>
        <w:tc>
          <w:tcPr>
            <w:tcW w:w="2180" w:type="dxa"/>
            <w:vAlign w:val="bottom"/>
          </w:tcPr>
          <w:p>
            <w:pPr>
              <w:ind w:left="20"/>
              <w:spacing w:after="0"/>
              <w:rPr>
                <w:sz w:val="20"/>
                <w:szCs w:val="20"/>
                <w:color w:val="auto"/>
              </w:rPr>
            </w:pPr>
            <w:r>
              <w:rPr>
                <w:rFonts w:ascii="Arial" w:cs="Arial" w:eastAsia="Arial" w:hAnsi="Arial"/>
                <w:sz w:val="11"/>
                <w:szCs w:val="11"/>
                <w:color w:val="auto"/>
              </w:rPr>
              <w:t>Zelko Relic</w:t>
            </w:r>
          </w:p>
        </w:tc>
        <w:tc>
          <w:tcPr>
            <w:tcW w:w="2220" w:type="dxa"/>
            <w:vAlign w:val="bottom"/>
          </w:tcPr>
          <w:p>
            <w:pPr>
              <w:jc w:val="center"/>
              <w:ind w:left="486"/>
              <w:spacing w:after="0"/>
              <w:rPr>
                <w:sz w:val="20"/>
                <w:szCs w:val="20"/>
                <w:color w:val="auto"/>
              </w:rPr>
            </w:pPr>
            <w:r>
              <w:rPr>
                <w:rFonts w:ascii="Arial" w:cs="Arial" w:eastAsia="Arial" w:hAnsi="Arial"/>
                <w:sz w:val="11"/>
                <w:szCs w:val="11"/>
                <w:color w:val="auto"/>
                <w:w w:val="97"/>
              </w:rPr>
              <w:t>53</w:t>
            </w:r>
          </w:p>
        </w:tc>
        <w:tc>
          <w:tcPr>
            <w:tcW w:w="7080" w:type="dxa"/>
            <w:vAlign w:val="bottom"/>
          </w:tcPr>
          <w:p>
            <w:pPr>
              <w:jc w:val="center"/>
              <w:ind w:right="446"/>
              <w:spacing w:after="0"/>
              <w:rPr>
                <w:sz w:val="20"/>
                <w:szCs w:val="20"/>
                <w:color w:val="auto"/>
              </w:rPr>
            </w:pPr>
            <w:r>
              <w:rPr>
                <w:rFonts w:ascii="Arial" w:cs="Arial" w:eastAsia="Arial" w:hAnsi="Arial"/>
                <w:sz w:val="11"/>
                <w:szCs w:val="11"/>
                <w:color w:val="auto"/>
                <w:w w:val="89"/>
              </w:rPr>
              <w:t>Chief Technology Officer and Senior Vice President, Global Research &amp; Development</w:t>
            </w:r>
          </w:p>
        </w:tc>
      </w:tr>
      <w:tr>
        <w:trPr>
          <w:trHeight w:val="22"/>
        </w:trPr>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Julie Tay</w:t>
            </w:r>
          </w:p>
        </w:tc>
        <w:tc>
          <w:tcPr>
            <w:tcW w:w="2220" w:type="dxa"/>
            <w:vAlign w:val="bottom"/>
            <w:tcBorders>
              <w:bottom w:val="single" w:sz="8" w:color="CCEEFF"/>
            </w:tcBorders>
            <w:shd w:val="clear" w:color="auto" w:fill="CCEEFF"/>
          </w:tcPr>
          <w:p>
            <w:pPr>
              <w:jc w:val="center"/>
              <w:ind w:left="486"/>
              <w:spacing w:after="0"/>
              <w:rPr>
                <w:sz w:val="20"/>
                <w:szCs w:val="20"/>
                <w:color w:val="auto"/>
              </w:rPr>
            </w:pPr>
            <w:r>
              <w:rPr>
                <w:rFonts w:ascii="Arial" w:cs="Arial" w:eastAsia="Arial" w:hAnsi="Arial"/>
                <w:sz w:val="11"/>
                <w:szCs w:val="11"/>
                <w:color w:val="auto"/>
                <w:w w:val="97"/>
              </w:rPr>
              <w:t>51</w:t>
            </w:r>
          </w:p>
        </w:tc>
        <w:tc>
          <w:tcPr>
            <w:tcW w:w="7080" w:type="dxa"/>
            <w:vAlign w:val="bottom"/>
            <w:tcBorders>
              <w:bottom w:val="single" w:sz="8" w:color="CCEEFF"/>
            </w:tcBorders>
            <w:shd w:val="clear" w:color="auto" w:fill="CCEEFF"/>
          </w:tcPr>
          <w:p>
            <w:pPr>
              <w:jc w:val="center"/>
              <w:ind w:right="446"/>
              <w:spacing w:after="0"/>
              <w:rPr>
                <w:sz w:val="20"/>
                <w:szCs w:val="20"/>
                <w:color w:val="auto"/>
              </w:rPr>
            </w:pPr>
            <w:r>
              <w:rPr>
                <w:rFonts w:ascii="Arial" w:cs="Arial" w:eastAsia="Arial" w:hAnsi="Arial"/>
                <w:sz w:val="11"/>
                <w:szCs w:val="11"/>
                <w:color w:val="auto"/>
                <w:w w:val="89"/>
              </w:rPr>
              <w:t>Senior Vice President and Managing Director, Asia Pacific</w:t>
            </w:r>
          </w:p>
        </w:tc>
      </w:tr>
      <w:tr>
        <w:trPr>
          <w:trHeight w:val="149"/>
        </w:trPr>
        <w:tc>
          <w:tcPr>
            <w:tcW w:w="2180" w:type="dxa"/>
            <w:vAlign w:val="bottom"/>
          </w:tcPr>
          <w:p>
            <w:pPr>
              <w:ind w:left="20"/>
              <w:spacing w:after="0"/>
              <w:rPr>
                <w:sz w:val="20"/>
                <w:szCs w:val="20"/>
                <w:color w:val="auto"/>
              </w:rPr>
            </w:pPr>
            <w:r>
              <w:rPr>
                <w:rFonts w:ascii="Arial" w:cs="Arial" w:eastAsia="Arial" w:hAnsi="Arial"/>
                <w:sz w:val="11"/>
                <w:szCs w:val="11"/>
                <w:color w:val="auto"/>
              </w:rPr>
              <w:t>Emory M. Wright</w:t>
            </w:r>
          </w:p>
        </w:tc>
        <w:tc>
          <w:tcPr>
            <w:tcW w:w="2220" w:type="dxa"/>
            <w:vAlign w:val="bottom"/>
          </w:tcPr>
          <w:p>
            <w:pPr>
              <w:jc w:val="center"/>
              <w:ind w:left="486"/>
              <w:spacing w:after="0"/>
              <w:rPr>
                <w:sz w:val="20"/>
                <w:szCs w:val="20"/>
                <w:color w:val="auto"/>
              </w:rPr>
            </w:pPr>
            <w:r>
              <w:rPr>
                <w:rFonts w:ascii="Arial" w:cs="Arial" w:eastAsia="Arial" w:hAnsi="Arial"/>
                <w:sz w:val="11"/>
                <w:szCs w:val="11"/>
                <w:color w:val="auto"/>
                <w:w w:val="97"/>
              </w:rPr>
              <w:t>48</w:t>
            </w:r>
          </w:p>
        </w:tc>
        <w:tc>
          <w:tcPr>
            <w:tcW w:w="7080" w:type="dxa"/>
            <w:vAlign w:val="bottom"/>
          </w:tcPr>
          <w:p>
            <w:pPr>
              <w:jc w:val="center"/>
              <w:ind w:right="446"/>
              <w:spacing w:after="0"/>
              <w:rPr>
                <w:sz w:val="20"/>
                <w:szCs w:val="20"/>
                <w:color w:val="auto"/>
              </w:rPr>
            </w:pPr>
            <w:r>
              <w:rPr>
                <w:rFonts w:ascii="Arial" w:cs="Arial" w:eastAsia="Arial" w:hAnsi="Arial"/>
                <w:sz w:val="11"/>
                <w:szCs w:val="11"/>
                <w:color w:val="auto"/>
                <w:w w:val="88"/>
              </w:rPr>
              <w:t>Senior Vice President, Global Operations</w:t>
            </w:r>
          </w:p>
        </w:tc>
      </w:tr>
    </w:tbl>
    <w:p>
      <w:pPr>
        <w:spacing w:after="0" w:line="15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Joseph M. Hogan </w:t>
      </w:r>
      <w:r>
        <w:rPr>
          <w:rFonts w:ascii="Arial" w:cs="Arial" w:eastAsia="Arial" w:hAnsi="Arial"/>
          <w:sz w:val="12"/>
          <w:szCs w:val="12"/>
          <w:color w:val="auto"/>
        </w:rPr>
        <w:t>has served as our President and Chief Executive Officer and as a member of our Board of Directors since June 2015. Prior to joining us, Mr. Hogan was Chief Executive Officer of ABB Ltd., a global power and</w:t>
      </w:r>
      <w:r>
        <w:rPr>
          <w:rFonts w:ascii="Arial" w:cs="Arial" w:eastAsia="Arial" w:hAnsi="Arial"/>
          <w:sz w:val="12"/>
          <w:szCs w:val="12"/>
          <w:i w:val="1"/>
          <w:iCs w:val="1"/>
          <w:color w:val="auto"/>
        </w:rPr>
        <w:t xml:space="preserve"> </w:t>
      </w:r>
      <w:r>
        <w:rPr>
          <w:rFonts w:ascii="Arial" w:cs="Arial" w:eastAsia="Arial" w:hAnsi="Arial"/>
          <w:sz w:val="12"/>
          <w:szCs w:val="12"/>
          <w:color w:val="auto"/>
        </w:rPr>
        <w:t>automation technologies company based in Zurich, Switzerland from 2008 to 2013. Prior to working in ABB, Mr. Hogan worked at General Electric Company (GE) in a variety of executive and management roles from 1985 to 2008, including eight years as Chief Executive Officer of GE Healthcare from 2000 to 2008.</w:t>
      </w:r>
    </w:p>
    <w:p>
      <w:pPr>
        <w:spacing w:after="0" w:line="123"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i w:val="1"/>
          <w:iCs w:val="1"/>
          <w:color w:val="auto"/>
        </w:rPr>
        <w:t xml:space="preserve">John F. Morici </w:t>
      </w:r>
      <w:r>
        <w:rPr>
          <w:rFonts w:ascii="Arial" w:cs="Arial" w:eastAsia="Arial" w:hAnsi="Arial"/>
          <w:sz w:val="11"/>
          <w:szCs w:val="11"/>
          <w:color w:val="auto"/>
        </w:rPr>
        <w:t>has served as our Chief Financial Officer since November 2016. Prior to joining us, Mr. Morici was at NBC Universal from 2007 to 2016 where he held several senior management positions in their Universal Pictures</w:t>
      </w:r>
      <w:r>
        <w:rPr>
          <w:rFonts w:ascii="Arial" w:cs="Arial" w:eastAsia="Arial" w:hAnsi="Arial"/>
          <w:sz w:val="11"/>
          <w:szCs w:val="11"/>
          <w:i w:val="1"/>
          <w:iCs w:val="1"/>
          <w:color w:val="auto"/>
        </w:rPr>
        <w:t xml:space="preserve"> </w:t>
      </w:r>
      <w:r>
        <w:rPr>
          <w:rFonts w:ascii="Arial" w:cs="Arial" w:eastAsia="Arial" w:hAnsi="Arial"/>
          <w:sz w:val="11"/>
          <w:szCs w:val="11"/>
          <w:color w:val="auto"/>
        </w:rPr>
        <w:t>Home Entertainment U.S. and Canadian business, including Chief Financial Officer, Chief Operating Officer, and most recently, Executive Vice President and Managing Director from 2014 to 2016. Prior to NBC Universal, Mr. Morici was in various senior financial management positions at GE Healthcare from 1999 to 2007, including Chief Financial Officer for its Diagnostic Imaging and Global Products units from 2002 to 2003.</w:t>
      </w:r>
    </w:p>
    <w:p>
      <w:pPr>
        <w:spacing w:after="0" w:line="10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i w:val="1"/>
          <w:iCs w:val="1"/>
          <w:color w:val="auto"/>
        </w:rPr>
        <w:t xml:space="preserve">Simon Beard </w:t>
      </w:r>
      <w:r>
        <w:rPr>
          <w:rFonts w:ascii="Arial" w:cs="Arial" w:eastAsia="Arial" w:hAnsi="Arial"/>
          <w:sz w:val="12"/>
          <w:szCs w:val="12"/>
          <w:color w:val="auto"/>
        </w:rPr>
        <w:t>has served as our Vice President and Managing Director, EMEA since October 2015. In February 2018, Mr. Beard's title was changed to Senior Vice President and Managing Director, EMEA. Prior to joining us, from</w:t>
      </w:r>
      <w:r>
        <w:rPr>
          <w:rFonts w:ascii="Arial" w:cs="Arial" w:eastAsia="Arial" w:hAnsi="Arial"/>
          <w:sz w:val="12"/>
          <w:szCs w:val="12"/>
          <w:i w:val="1"/>
          <w:iCs w:val="1"/>
          <w:color w:val="auto"/>
        </w:rPr>
        <w:t xml:space="preserve"> </w:t>
      </w:r>
      <w:r>
        <w:rPr>
          <w:rFonts w:ascii="Arial" w:cs="Arial" w:eastAsia="Arial" w:hAnsi="Arial"/>
          <w:sz w:val="12"/>
          <w:szCs w:val="12"/>
          <w:color w:val="auto"/>
        </w:rPr>
        <w:t>2012 to 2014, Mr. Beard was Regional Director for the South East Asia business of Smith &amp; Nephew, a multinational medical equipment manufacturing company. From 2006 to 2012, Mr. Beard was Director &amp; General Manager for UK and Ireland for Smith &amp; Nephew's Advanced Woundcare business. Prior to Smith &amp; Nephew, Mr. Beard held multiple commercial, strategic, and general management positions in companies such as DePuy International (Johnson &amp; Johnson), Sankyo Pharmaceutical and Sanofi Aventis.</w:t>
      </w:r>
    </w:p>
    <w:p>
      <w:pPr>
        <w:spacing w:after="0" w:line="12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i w:val="1"/>
          <w:iCs w:val="1"/>
          <w:color w:val="auto"/>
        </w:rPr>
        <w:t xml:space="preserve">Roger E. George </w:t>
      </w:r>
      <w:r>
        <w:rPr>
          <w:rFonts w:ascii="Arial" w:cs="Arial" w:eastAsia="Arial" w:hAnsi="Arial"/>
          <w:sz w:val="12"/>
          <w:szCs w:val="12"/>
          <w:color w:val="auto"/>
        </w:rPr>
        <w:t>has served as our Vice President, Corporate and Legal Affairs and General Counsel since July 2002. In February 2018, Mr. George's title was changed to Senior Vice President, Chief Legal and Regulatory Officer.</w:t>
      </w:r>
      <w:r>
        <w:rPr>
          <w:rFonts w:ascii="Arial" w:cs="Arial" w:eastAsia="Arial" w:hAnsi="Arial"/>
          <w:sz w:val="12"/>
          <w:szCs w:val="12"/>
          <w:i w:val="1"/>
          <w:iCs w:val="1"/>
          <w:color w:val="auto"/>
        </w:rPr>
        <w:t xml:space="preserve"> </w:t>
      </w:r>
      <w:r>
        <w:rPr>
          <w:rFonts w:ascii="Arial" w:cs="Arial" w:eastAsia="Arial" w:hAnsi="Arial"/>
          <w:sz w:val="12"/>
          <w:szCs w:val="12"/>
          <w:color w:val="auto"/>
        </w:rPr>
        <w:t>Prior to joining us, Mr. George 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437" w:right="199" w:bottom="1440" w:gutter="0" w:footer="0" w:header="0"/>
        </w:sectPr>
      </w:pPr>
    </w:p>
    <w:bookmarkStart w:id="13" w:name="page14"/>
    <w:bookmarkEnd w:id="13"/>
    <w:p>
      <w:pPr>
        <w:jc w:val="both"/>
        <w:ind w:firstLine="270"/>
        <w:spacing w:after="0" w:line="298" w:lineRule="auto"/>
        <w:rPr>
          <w:sz w:val="20"/>
          <w:szCs w:val="20"/>
          <w:color w:val="auto"/>
        </w:rPr>
      </w:pPr>
      <w:r>
        <w:rPr>
          <w:rFonts w:ascii="Arial" w:cs="Arial" w:eastAsia="Arial" w:hAnsi="Arial"/>
          <w:sz w:val="11"/>
          <w:szCs w:val="11"/>
          <w:i w:val="1"/>
          <w:iCs w:val="1"/>
          <w:color w:val="auto"/>
        </w:rPr>
        <w:t xml:space="preserve">Stuart Hockridge </w:t>
      </w:r>
      <w:r>
        <w:rPr>
          <w:rFonts w:ascii="Arial" w:cs="Arial" w:eastAsia="Arial" w:hAnsi="Arial"/>
          <w:sz w:val="11"/>
          <w:szCs w:val="11"/>
          <w:color w:val="auto"/>
        </w:rPr>
        <w:t>has served as our Vice President, Global Human Resources since May 2016. In February 2018, Mr. Hockridge's title was changed to Senior Vice President, Global Human Resources. Prior to joining us, Mr.</w:t>
      </w:r>
      <w:r>
        <w:rPr>
          <w:rFonts w:ascii="Arial" w:cs="Arial" w:eastAsia="Arial" w:hAnsi="Arial"/>
          <w:sz w:val="11"/>
          <w:szCs w:val="11"/>
          <w:i w:val="1"/>
          <w:iCs w:val="1"/>
          <w:color w:val="auto"/>
        </w:rPr>
        <w:t xml:space="preserve"> </w:t>
      </w:r>
      <w:r>
        <w:rPr>
          <w:rFonts w:ascii="Arial" w:cs="Arial" w:eastAsia="Arial" w:hAnsi="Arial"/>
          <w:sz w:val="11"/>
          <w:szCs w:val="11"/>
          <w:color w:val="auto"/>
        </w:rPr>
        <w:t>Hockridge was Senior Vice President of Talent at Visa Inc. from 2013 to 2016 where he led all aspects of talent delivery for the company including executive development, succession planning, employee engagement, learning and development, and talent acquisition. Prior to Visa, Mr. Hockridge held a number of human resource management positions at GE Healthcare from 2002 to 2012 leading HR processes both globally and for various divisions.</w:t>
      </w:r>
    </w:p>
    <w:p>
      <w:pPr>
        <w:spacing w:after="0" w:line="105" w:lineRule="exact"/>
        <w:rPr>
          <w:sz w:val="20"/>
          <w:szCs w:val="20"/>
          <w:color w:val="auto"/>
        </w:rPr>
      </w:pPr>
    </w:p>
    <w:p>
      <w:pPr>
        <w:ind w:right="20" w:firstLine="270"/>
        <w:spacing w:after="0" w:line="323" w:lineRule="auto"/>
        <w:rPr>
          <w:sz w:val="20"/>
          <w:szCs w:val="20"/>
          <w:color w:val="auto"/>
        </w:rPr>
      </w:pPr>
      <w:r>
        <w:rPr>
          <w:rFonts w:ascii="Arial" w:cs="Arial" w:eastAsia="Arial" w:hAnsi="Arial"/>
          <w:sz w:val="11"/>
          <w:szCs w:val="11"/>
          <w:i w:val="1"/>
          <w:iCs w:val="1"/>
          <w:color w:val="auto"/>
        </w:rPr>
        <w:t xml:space="preserve">Sreelakshmi Kolli </w:t>
      </w:r>
      <w:r>
        <w:rPr>
          <w:rFonts w:ascii="Arial" w:cs="Arial" w:eastAsia="Arial" w:hAnsi="Arial"/>
          <w:sz w:val="11"/>
          <w:szCs w:val="11"/>
          <w:color w:val="auto"/>
        </w:rPr>
        <w:t>has served as our Vice President, Information Technology since December 2012. In February 2018, Ms. Kolli's title was changed to Senior Vice President, Global Information Technology. Ms. Kolli joined us in June</w:t>
      </w:r>
      <w:r>
        <w:rPr>
          <w:rFonts w:ascii="Arial" w:cs="Arial" w:eastAsia="Arial" w:hAnsi="Arial"/>
          <w:sz w:val="11"/>
          <w:szCs w:val="11"/>
          <w:i w:val="1"/>
          <w:iCs w:val="1"/>
          <w:color w:val="auto"/>
        </w:rPr>
        <w:t xml:space="preserve"> </w:t>
      </w:r>
      <w:r>
        <w:rPr>
          <w:rFonts w:ascii="Arial" w:cs="Arial" w:eastAsia="Arial" w:hAnsi="Arial"/>
          <w:sz w:val="11"/>
          <w:szCs w:val="11"/>
          <w:color w:val="auto"/>
        </w:rPr>
        <w:t>2003 and has held positions leading business operations and engineering for customer-facing applications. Before joining us, she held technical lead positions with Sword CT Space and Accenture.</w:t>
      </w:r>
    </w:p>
    <w:p>
      <w:pPr>
        <w:spacing w:after="0" w:line="92" w:lineRule="exact"/>
        <w:rPr>
          <w:sz w:val="20"/>
          <w:szCs w:val="20"/>
          <w:color w:val="auto"/>
        </w:rPr>
      </w:pPr>
    </w:p>
    <w:p>
      <w:pPr>
        <w:jc w:val="both"/>
        <w:ind w:right="20" w:firstLine="288"/>
        <w:spacing w:after="0" w:line="298" w:lineRule="auto"/>
        <w:rPr>
          <w:sz w:val="20"/>
          <w:szCs w:val="20"/>
          <w:color w:val="auto"/>
        </w:rPr>
      </w:pPr>
      <w:r>
        <w:rPr>
          <w:rFonts w:ascii="Arial" w:cs="Arial" w:eastAsia="Arial" w:hAnsi="Arial"/>
          <w:sz w:val="11"/>
          <w:szCs w:val="11"/>
          <w:i w:val="1"/>
          <w:iCs w:val="1"/>
          <w:color w:val="auto"/>
        </w:rPr>
        <w:t xml:space="preserve">Jennifer Olson </w:t>
      </w:r>
      <w:r>
        <w:rPr>
          <w:rFonts w:ascii="Arial" w:cs="Arial" w:eastAsia="Arial" w:hAnsi="Arial"/>
          <w:sz w:val="11"/>
          <w:szCs w:val="11"/>
          <w:color w:val="auto"/>
        </w:rPr>
        <w:t>has served as our Vice President and Managing Director, Doctor-Directed Consumer Channel since August 2016. In February 2018, Ms. Olson's title was changed to Senior Vice President and Managing Director,</w:t>
      </w:r>
      <w:r>
        <w:rPr>
          <w:rFonts w:ascii="Arial" w:cs="Arial" w:eastAsia="Arial" w:hAnsi="Arial"/>
          <w:sz w:val="11"/>
          <w:szCs w:val="11"/>
          <w:i w:val="1"/>
          <w:iCs w:val="1"/>
          <w:color w:val="auto"/>
        </w:rPr>
        <w:t xml:space="preserve"> </w:t>
      </w:r>
      <w:r>
        <w:rPr>
          <w:rFonts w:ascii="Arial" w:cs="Arial" w:eastAsia="Arial" w:hAnsi="Arial"/>
          <w:sz w:val="11"/>
          <w:szCs w:val="11"/>
          <w:color w:val="auto"/>
        </w:rPr>
        <w:t>Doctor-Directed Consumer Channel. Ms. Olson joined us in 2002 and has held multiple roles in sales, marketing, and business development. Most recently, she was Area Sales Director for the North America region where she led all sales activities in Western Canada and the Western region of the U.S. Prior to joining Align, Ms. Olson was with technology companies including Extreme Networks and PWI Technologies.</w:t>
      </w:r>
    </w:p>
    <w:p>
      <w:pPr>
        <w:spacing w:after="0" w:line="105"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i w:val="1"/>
          <w:iCs w:val="1"/>
          <w:color w:val="auto"/>
        </w:rPr>
        <w:t xml:space="preserve">Raphael Pascaud </w:t>
      </w:r>
      <w:r>
        <w:rPr>
          <w:rFonts w:ascii="Arial" w:cs="Arial" w:eastAsia="Arial" w:hAnsi="Arial"/>
          <w:sz w:val="11"/>
          <w:szCs w:val="11"/>
          <w:color w:val="auto"/>
        </w:rPr>
        <w:t>has served as our Chief Marketing, Portfolio and Business Development Officer, and Vice President, iTero Scanner and Services since July 2015. In February 2018, his title was changed to Chief Marketing,</w:t>
      </w:r>
      <w:r>
        <w:rPr>
          <w:rFonts w:ascii="Arial" w:cs="Arial" w:eastAsia="Arial" w:hAnsi="Arial"/>
          <w:sz w:val="11"/>
          <w:szCs w:val="11"/>
          <w:i w:val="1"/>
          <w:iCs w:val="1"/>
          <w:color w:val="auto"/>
        </w:rPr>
        <w:t xml:space="preserve"> </w:t>
      </w:r>
      <w:r>
        <w:rPr>
          <w:rFonts w:ascii="Arial" w:cs="Arial" w:eastAsia="Arial" w:hAnsi="Arial"/>
          <w:sz w:val="11"/>
          <w:szCs w:val="11"/>
          <w:color w:val="auto"/>
        </w:rPr>
        <w:t>Portfolio and Business Development Officer and Senior Vice President, iTero Scanner and Services. He joined Align in 2010 as Vice President and Managing Director for EMEA and was promoted in January 2014 to Vice President, International. Prior to Align, Mr. Pascaud spent 14 years in various management positions within Johnson &amp; Johnson, including Vice President Orthopedics of EMEA and Vice President Marketing of International.</w:t>
      </w:r>
    </w:p>
    <w:p>
      <w:pPr>
        <w:spacing w:after="0" w:line="10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i w:val="1"/>
          <w:iCs w:val="1"/>
          <w:color w:val="auto"/>
        </w:rPr>
        <w:t xml:space="preserve">Christopher C. Puco </w:t>
      </w:r>
      <w:r>
        <w:rPr>
          <w:rFonts w:ascii="Arial" w:cs="Arial" w:eastAsia="Arial" w:hAnsi="Arial"/>
          <w:sz w:val="12"/>
          <w:szCs w:val="12"/>
          <w:color w:val="auto"/>
        </w:rPr>
        <w:t>has served as our Vice President and Managing Director, Americas since December 2017 and became Senior Vice President and Managing Director, Americas in February 2018. He joined us in 2006 as a sales</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 and in 2008 became senior director for the U.S. Eastern sales area. He served as Vice President of North America from December 2012 to December 2017. Mr. Puco has more than 20 years of experience in the medical device industry holding sales management positions in both starts-ups and established corporate environments. Prior to joining us, he was with United States Surgical Corporation, General Surgical Innovations, Baxter BioSurgery and Fusion Medical Technologies.</w:t>
      </w:r>
    </w:p>
    <w:p>
      <w:pPr>
        <w:spacing w:after="0" w:line="125"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i w:val="1"/>
          <w:iCs w:val="1"/>
          <w:color w:val="auto"/>
        </w:rPr>
        <w:t xml:space="preserve">Zelko Relic </w:t>
      </w:r>
      <w:r>
        <w:rPr>
          <w:rFonts w:ascii="Arial" w:cs="Arial" w:eastAsia="Arial" w:hAnsi="Arial"/>
          <w:sz w:val="12"/>
          <w:szCs w:val="12"/>
          <w:color w:val="auto"/>
        </w:rPr>
        <w:t>joined Align in 2013 as Vice President, Research &amp; Development. In December 2017, he became Chief Technology Officer, Vice President, Research &amp; Development. In February 2018, his title was changed to Chief</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Officer, Senior Vice President, Global Research &amp; Development. Prior to joining us, Mr. Relic was Vice President, Engineering for Datalogic Automation, a global leader in automatic data capture and industrial automation markets from 2012. Mr. Relic was previously Vice President, Engineering at Danaher Corporation, Accu-Sort Systems business from 2010 to 2012 before it was acquired by Datalogic Automation. From 2005 to 2010, he was at Siemens Medical Solutions USA, most recent as Vice President, and from 2002 to 2004, he held senior management positions in engineering at Kulicke &amp; Soffa Industries, designers and manufactures of semiconductor products. He also held management positions at KLA-Tencor from 1994 to 2000.</w:t>
      </w:r>
    </w:p>
    <w:p>
      <w:pPr>
        <w:spacing w:after="0" w:line="126"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Julie Tay </w:t>
      </w:r>
      <w:r>
        <w:rPr>
          <w:rFonts w:ascii="Arial" w:cs="Arial" w:eastAsia="Arial" w:hAnsi="Arial"/>
          <w:sz w:val="12"/>
          <w:szCs w:val="12"/>
          <w:color w:val="auto"/>
        </w:rPr>
        <w:t>was appointed Vice President and Managing Director, Asia Pacific in March 2013 and became Senior Vice President and Managing Director, Asia Pacific in February 2018. Prior to joining us, Ms. Tay was regional head of</w:t>
      </w:r>
      <w:r>
        <w:rPr>
          <w:rFonts w:ascii="Arial" w:cs="Arial" w:eastAsia="Arial" w:hAnsi="Arial"/>
          <w:sz w:val="12"/>
          <w:szCs w:val="12"/>
          <w:i w:val="1"/>
          <w:iCs w:val="1"/>
          <w:color w:val="auto"/>
        </w:rPr>
        <w:t xml:space="preserve"> </w:t>
      </w:r>
      <w:r>
        <w:rPr>
          <w:rFonts w:ascii="Arial" w:cs="Arial" w:eastAsia="Arial" w:hAnsi="Arial"/>
          <w:sz w:val="12"/>
          <w:szCs w:val="12"/>
          <w:color w:val="auto"/>
        </w:rPr>
        <w:t>Bayer Healthcare (Diabetes Care) overseeing operations across Asia from 2010 to 2013. From 2006 to 2010, Ms. Tay served as director of marketing and corporate accounts at Sealed Air Corporation (formerly Johnson Diversey), a global provider of food safety and security, facility hygiene and product protection. Prior to that, Ms. Tay spent 15 years with Johnson &amp; Johnson Medical.</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 xml:space="preserve">Emory M. Wright </w:t>
      </w:r>
      <w:r>
        <w:rPr>
          <w:rFonts w:ascii="Arial" w:cs="Arial" w:eastAsia="Arial" w:hAnsi="Arial"/>
          <w:sz w:val="12"/>
          <w:szCs w:val="12"/>
          <w:color w:val="auto"/>
        </w:rPr>
        <w:t>has served as our Vice President, Operations since December 2007 and became Senior Vice President, Global Operations in February 2018. He has been with us since March 2000 predominantly in manufacturing</w:t>
      </w:r>
      <w:r>
        <w:rPr>
          <w:rFonts w:ascii="Arial" w:cs="Arial" w:eastAsia="Arial" w:hAnsi="Arial"/>
          <w:sz w:val="12"/>
          <w:szCs w:val="12"/>
          <w:i w:val="1"/>
          <w:iCs w:val="1"/>
          <w:color w:val="auto"/>
        </w:rPr>
        <w:t xml:space="preserve"> </w:t>
      </w:r>
      <w:r>
        <w:rPr>
          <w:rFonts w:ascii="Arial" w:cs="Arial" w:eastAsia="Arial" w:hAnsi="Arial"/>
          <w:sz w:val="12"/>
          <w:szCs w:val="12"/>
          <w:color w:val="auto"/>
        </w:rPr>
        <w:t>and operations roles including Vice President, Manufacturing and was General Manager of New Product Development. Prior to joining Align, from 1999 to 2000, Mr. Wright was Senior Manufacturing Manager at Metrika, Inc. a medical device manufacturer. Mr. Wright served as Manager of Manufacturing and Process Development for Metra Biosystems Inc.</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437" w:right="19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63"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7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Currently, our products compete directly against products manufactured and distributed by various companies, both within and outside the U.S. In addition, as a result of the expiration of certain key patents owned by us, which began in 2017, we expect that existing competitors such as Danaher Corporation, Dentsply Sirona Inc., Straumann AG, 3M, 3Shape and Angel Align as well as new entrants into the clear aligner market such as start-ups will begin offering an orthodontic system more similar to ours in the near future.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will start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We are dependent on our international operations, which exposes us to foreign operational, political and other risks that may harm our business.</w:t>
      </w:r>
    </w:p>
    <w:p>
      <w:pPr>
        <w:spacing w:after="0" w:line="10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Our key production steps are performed in operations located outside of the U.S.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In 2017, we opened new treatment planning facilities in Chengdu, China and Cologne, Germany to support our customers within these regions. Our order acquisition, aligner fabrication and shipping operations are conducted in Juarez, Mexico, and we also have order acquisition for the EMEA region in Amsterdam, the Netherlands. We will continue to establish additional order acquisition and treatment planning facilities closer to our international customers in order to improve our operational efficiency. In addition to the research and development efforts conducted in our North America facilities, we also carry out research and development in Moscow, Russia. We also have customer-care, accounts receivable, customer event registration and accounts payable organizations located in San Jose, Costa Rica. In addition, we have operations in Israel where the design and wand are assembled and our intraoral scanner is manufactured. Our reliance on international operations exposes us to risks and uncertainties that may affect our business or results of operation, including:</w:t>
      </w:r>
    </w:p>
    <w:p>
      <w:pPr>
        <w:spacing w:after="0" w:line="131" w:lineRule="exact"/>
        <w:rPr>
          <w:sz w:val="20"/>
          <w:szCs w:val="20"/>
          <w:color w:val="auto"/>
        </w:rPr>
      </w:pPr>
    </w:p>
    <w:p>
      <w:pPr>
        <w:ind w:left="420" w:hanging="158"/>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difficulties in hiring and retaining employees generally, as well as difficulties in hiring and retaining employees with the necessary skills to perform the more technical aspects of our operations;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difficulties in managing international operations, including any travel restrictions to or from our facilities;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currency exchange rates;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import and export license requirements and restrictions;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451" w:right="199" w:bottom="1440" w:gutter="0" w:footer="0" w:header="0"/>
        </w:sectPr>
      </w:pPr>
    </w:p>
    <w:bookmarkStart w:id="15" w:name="page16"/>
    <w:bookmarkEnd w:id="15"/>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controlling production volume and quality of the manufacturing process;</w:t>
      </w:r>
    </w:p>
    <w:p>
      <w:pPr>
        <w:spacing w:after="0" w:line="114" w:lineRule="exact"/>
        <w:rPr>
          <w:rFonts w:ascii="Arial" w:cs="Arial" w:eastAsia="Arial" w:hAnsi="Arial"/>
          <w:sz w:val="12"/>
          <w:szCs w:val="12"/>
          <w:color w:val="auto"/>
        </w:rPr>
      </w:pPr>
    </w:p>
    <w:p>
      <w:pPr>
        <w:jc w:val="both"/>
        <w:ind w:left="420" w:hanging="158"/>
        <w:spacing w:after="0" w:line="259"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88" w:lineRule="exact"/>
        <w:rPr>
          <w:rFonts w:ascii="Arial" w:cs="Arial" w:eastAsia="Arial" w:hAnsi="Arial"/>
          <w:sz w:val="12"/>
          <w:szCs w:val="12"/>
          <w:color w:val="auto"/>
        </w:rPr>
      </w:pPr>
    </w:p>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acts of terrorism and acts of war;</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general geopolitical instability and the responses to it, such as the possibility of additional sanctions against Russia which continue to bring uncertainty to this region;</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interruptions and limitations in telecommunication services;</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burdens of complying with a wide variety of local country and regional laws, including the risks associated with the Foreign Corrupt Practices Act and local anti-bribery compliance;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trade restrictions and changes in tariffs;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potential adverse tax consequences.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any of these risks materialize in the future, we could experience production delays and lost or delayed revenue.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earn an increasingly larger portion of our total revenues from international sales and face risks attendant to those operations.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23" w:lineRule="exact"/>
        <w:rPr>
          <w:sz w:val="20"/>
          <w:szCs w:val="20"/>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local political and economic instability;</w:t>
      </w:r>
    </w:p>
    <w:p>
      <w:pPr>
        <w:spacing w:after="0" w:line="150" w:lineRule="exact"/>
        <w:rPr>
          <w:rFonts w:ascii="Arial" w:cs="Arial" w:eastAsia="Arial" w:hAnsi="Arial"/>
          <w:sz w:val="12"/>
          <w:szCs w:val="12"/>
          <w:color w:val="auto"/>
        </w:rPr>
      </w:pPr>
    </w:p>
    <w:p>
      <w:pPr>
        <w:jc w:val="both"/>
        <w:ind w:left="420" w:hanging="158"/>
        <w:spacing w:after="0" w:line="263"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United Kingdom ("UK") Bribery Act of 2010 and export control laws, in spite of our policies and procedures designed to ensure compliance with these laws;</w:t>
      </w:r>
    </w:p>
    <w:p>
      <w:pPr>
        <w:spacing w:after="0" w:line="122"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fluctuations in currency exchange rates; and</w:t>
      </w:r>
    </w:p>
    <w:p>
      <w:pPr>
        <w:spacing w:after="0" w:line="150" w:lineRule="exact"/>
        <w:rPr>
          <w:rFonts w:ascii="Arial" w:cs="Arial" w:eastAsia="Arial" w:hAnsi="Arial"/>
          <w:sz w:val="12"/>
          <w:szCs w:val="12"/>
          <w:color w:val="auto"/>
        </w:rPr>
      </w:pPr>
    </w:p>
    <w:p>
      <w:pPr>
        <w:ind w:left="420" w:hanging="158"/>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increased expense of developing, testing and making localized versions of our products.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Any of these factors, either individually or in combination, could materially impact our international operations and adversely affect our business as a whole.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437" w:right="199" w:bottom="1440" w:gutter="0" w:footer="0" w:header="0"/>
        </w:sectPr>
      </w:pPr>
    </w:p>
    <w:bookmarkStart w:id="16" w:name="page17"/>
    <w:bookmarkEnd w:id="16"/>
    <w:p>
      <w:pPr>
        <w:ind w:left="140"/>
        <w:spacing w:after="0"/>
        <w:rPr>
          <w:sz w:val="20"/>
          <w:szCs w:val="20"/>
          <w:color w:val="auto"/>
        </w:rPr>
      </w:pPr>
      <w:r>
        <w:rPr>
          <w:rFonts w:ascii="Arial" w:cs="Arial" w:eastAsia="Arial" w:hAnsi="Arial"/>
          <w:sz w:val="12"/>
          <w:szCs w:val="12"/>
          <w:b w:val="1"/>
          <w:bCs w:val="1"/>
          <w:i w:val="1"/>
          <w:iCs w:val="1"/>
          <w:color w:val="auto"/>
        </w:rPr>
        <w:t>We face risks related to our international sales, including the need to obtain necessary foreign regulatory clearance or approvals.</w:t>
      </w:r>
    </w:p>
    <w:p>
      <w:pPr>
        <w:spacing w:after="0" w:line="105"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Outside of North America, we currently sell our products in certain countries within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Demand for our products may not increase as rapidly as we anticipate due to a variety of factors including a weakness in general economic conditions.</w:t>
      </w:r>
    </w:p>
    <w:p>
      <w:pPr>
        <w:spacing w:after="0" w:line="105"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elective or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future success may depend on our ability to develop, successfully introduce and achieve market acceptance of new products.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23" w:lineRule="exact"/>
        <w:rPr>
          <w:sz w:val="20"/>
          <w:szCs w:val="20"/>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correctly identify customer needs and preferences and predict future needs and preferences;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 functionality and features that address customer requirements;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ensure compatibility of our computer operating systems and hardware configurations with those of our customers;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allocate our research and development funding to products with higher growth prospects;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anticipate and respond to our competitors’ development of new products and technological innovations;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differentiate our offerings from our competitors’ offerings;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innovate and develop new technologies and applications;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availability of third-party reimbursement of procedures using our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 adequate intellectual property rights;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encourage customers to adopt new technologies.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437" w:right="199" w:bottom="1440" w:gutter="0" w:footer="0" w:header="0"/>
        </w:sectPr>
      </w:pPr>
    </w:p>
    <w:bookmarkStart w:id="17" w:name="page18"/>
    <w:bookmarkEnd w:id="17"/>
    <w:p>
      <w:pPr>
        <w:jc w:val="both"/>
        <w:ind w:firstLine="216"/>
        <w:spacing w:after="0" w:line="290" w:lineRule="auto"/>
        <w:rPr>
          <w:sz w:val="20"/>
          <w:szCs w:val="20"/>
          <w:color w:val="auto"/>
        </w:rPr>
      </w:pPr>
      <w:r>
        <w:rPr>
          <w:rFonts w:ascii="Arial" w:cs="Arial" w:eastAsia="Arial" w:hAnsi="Arial"/>
          <w:sz w:val="11"/>
          <w:szCs w:val="11"/>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typically takes approximately 12 to 24 months to treat a patient, our customers may be unwilling to rapidly adopt our new products until they successfully complete at least one case or until more historical clinical results are available.</w:t>
      </w:r>
    </w:p>
    <w:p>
      <w:pPr>
        <w:spacing w:after="0" w:line="109"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The frequency of use of the Invisalign System by orthodontists or GPs may not increase at the rate that we anticipate or at all.</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We may experience declines in average selling prices of our products which may decrease our net revenues.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provide volume-based discount programs to our doctors. In addition, we sell a number of products at different list prices. If we change the volume-based discount accounting that affects our average selling prices; if we introduce any price reductions or consumer rebate programs; if we expand our discount programs in the future or participation in these programs increases; or if our product mix shifts to lower priced products or products that have a higher percentage of deferred revenue, our average selling prices would be adversely affected and our net revenues, gross profit, gross margin and net income may be reduced.</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are exposed to fluctuations in currency exchange rates, which could negatively affect our financial condition and results of operations.</w:t>
      </w:r>
    </w:p>
    <w:p>
      <w:pPr>
        <w:spacing w:after="0" w:line="150"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As we continue to grow, we are subject to growth related risks, including risks related to excess or constrained capacity at our existing facilities.</w:t>
      </w:r>
    </w:p>
    <w:p>
      <w:pPr>
        <w:spacing w:after="0" w:line="150"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treatment planning and manufacturing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these additional facilities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437" w:right="19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2"/>
          <w:szCs w:val="12"/>
          <w:color w:val="auto"/>
        </w:rPr>
        <w:t>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we fail to sustain or increase profitability or revenue growth in future periods, the market price for our common stock may decline.</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financial results have fluctuated in the past and may fluctuate in the future which may cause volatility in our stock price.</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15" w:lineRule="exact"/>
        <w:rPr>
          <w:sz w:val="20"/>
          <w:szCs w:val="20"/>
          <w:color w:val="auto"/>
        </w:rPr>
      </w:pPr>
    </w:p>
    <w:p>
      <w:pPr>
        <w:ind w:left="420" w:hanging="158"/>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limited visibility into and difficulty predicting from quarter to quarter, the level of activity in our customers’ practices including limited visibility into the number of aligners purchased by SmileDirectClub, LLC ("SDC") under the supply agreement;</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weakness in consumer spending as a result of a slowdown in the global, U.S. or other economies;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relationships with our distributors;</w:t>
      </w:r>
    </w:p>
    <w:p>
      <w:pPr>
        <w:spacing w:after="0" w:line="114" w:lineRule="exact"/>
        <w:rPr>
          <w:rFonts w:ascii="Arial" w:cs="Arial" w:eastAsia="Arial" w:hAnsi="Arial"/>
          <w:sz w:val="12"/>
          <w:szCs w:val="12"/>
          <w:color w:val="auto"/>
        </w:rPr>
      </w:pPr>
    </w:p>
    <w:p>
      <w:pPr>
        <w:ind w:left="420" w:right="20" w:hanging="158"/>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fluctuations in currency exchange rates against the U.S. dollar;</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product mix;</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inability to scale production of our iTero Element scanner to meet customer demand;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participation in our customer rebate or discount programs increases our average selling price will be adversely affected;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seasonal fluctuations in the number of doctors in their offices and their availability to take appointments;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success of or changes to our marketing programs from quarter to quarter;</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reliance on our contract manufacturers for the production of sub-assemblies for our intraoral scanners;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timing of industry tradeshows;</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to our effective tax rate;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unanticipated delays in production caused by insufficient capacity or availability of raw materials;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disruptions in the manufacturing process, including unexpected turnover in the labor force or the introduction of new production processes, power outages or natural or other disasters beyond our control;</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development and marketing of directly competitive products by existing and new competitors;</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disruptions to our business as a result of our agreement to manufacture clear aligners for SDC, including market acceptance of the SDC business model and product, possible adverse customer reaction and negative publicity about us and our products;</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impairments in the value of our strategic investments in SDC and other privately held companies could be material;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437" w:right="199" w:bottom="1440" w:gutter="0" w:footer="0" w:header="0"/>
        </w:sectPr>
      </w:pPr>
    </w:p>
    <w:bookmarkStart w:id="19" w:name="page20"/>
    <w:bookmarkEnd w:id="19"/>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major changes in available technology or the preferences of customers may cause our current product offerings to become less competitive or obsolete;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aggressive price competition from competitors;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costs and expenditures in connection with litigation;</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timing of new product introductions by us and our competitors, as well as customer order deferrals in anticipation of enhancements or new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unanticipated delays in our receipt of patient records made through an intraoral scanner for any reason;</w:t>
      </w:r>
    </w:p>
    <w:p>
      <w:pPr>
        <w:spacing w:after="0" w:line="114" w:lineRule="exact"/>
        <w:rPr>
          <w:rFonts w:ascii="Arial" w:cs="Arial" w:eastAsia="Arial" w:hAnsi="Arial"/>
          <w:sz w:val="12"/>
          <w:szCs w:val="12"/>
          <w:color w:val="auto"/>
        </w:rPr>
      </w:pPr>
    </w:p>
    <w:p>
      <w:pPr>
        <w:ind w:left="420" w:hanging="158"/>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78"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inaccurate forecasting of net revenues, production and other operating costs,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investments in research and development to develop new products and enhancements;</w:t>
      </w:r>
    </w:p>
    <w:p>
      <w:pPr>
        <w:spacing w:after="0" w:line="150"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accounting standards, policies and estimates including changes made by our equity investee; and</w:t>
      </w:r>
    </w:p>
    <w:p>
      <w:pPr>
        <w:spacing w:after="0" w:line="150" w:lineRule="exact"/>
        <w:rPr>
          <w:rFonts w:ascii="Arial" w:cs="Arial" w:eastAsia="Arial" w:hAnsi="Arial"/>
          <w:sz w:val="12"/>
          <w:szCs w:val="12"/>
          <w:color w:val="auto"/>
        </w:rPr>
      </w:pPr>
    </w:p>
    <w:p>
      <w:pPr>
        <w:ind w:left="420" w:hanging="158"/>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successfully hedge against a portion of our foreign currency-denominated assets and liabilities.</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 disruption in the operations of our primary freight carrier or higher shipping costs could cause a decline in our net revenues or a reduction in our earnings.</w:t>
      </w:r>
    </w:p>
    <w:p>
      <w:pPr>
        <w:spacing w:after="0" w:line="10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gross margin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25" w:lineRule="exact"/>
        <w:rPr>
          <w:sz w:val="20"/>
          <w:szCs w:val="20"/>
          <w:color w:val="auto"/>
        </w:rPr>
      </w:pPr>
    </w:p>
    <w:p>
      <w:pPr>
        <w:jc w:val="both"/>
        <w:ind w:firstLine="176"/>
        <w:spacing w:after="0" w:line="276" w:lineRule="auto"/>
        <w:rPr>
          <w:sz w:val="20"/>
          <w:szCs w:val="20"/>
          <w:color w:val="auto"/>
        </w:rPr>
      </w:pPr>
      <w:r>
        <w:rPr>
          <w:rFonts w:ascii="Arial" w:cs="Arial" w:eastAsia="Arial" w:hAnsi="Arial"/>
          <w:sz w:val="12"/>
          <w:szCs w:val="12"/>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7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437" w:right="199" w:bottom="1440" w:gutter="0" w:footer="0" w:header="0"/>
        </w:sectPr>
      </w:pPr>
    </w:p>
    <w:bookmarkStart w:id="20" w:name="page21"/>
    <w:bookmarkEnd w:id="20"/>
    <w:p>
      <w:pPr>
        <w:jc w:val="both"/>
        <w:spacing w:after="0" w:line="298" w:lineRule="auto"/>
        <w:rPr>
          <w:sz w:val="20"/>
          <w:szCs w:val="20"/>
          <w:color w:val="auto"/>
        </w:rPr>
      </w:pPr>
      <w:r>
        <w:rPr>
          <w:rFonts w:ascii="Arial" w:cs="Arial" w:eastAsia="Arial" w:hAnsi="Arial"/>
          <w:sz w:val="11"/>
          <w:szCs w:val="11"/>
          <w:color w:val="auto"/>
        </w:rPr>
        <w:t>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05"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15" w:lineRule="exact"/>
        <w:rPr>
          <w:sz w:val="20"/>
          <w:szCs w:val="20"/>
          <w:color w:val="auto"/>
        </w:rPr>
      </w:pPr>
    </w:p>
    <w:p>
      <w:pPr>
        <w:jc w:val="both"/>
        <w:ind w:firstLine="216"/>
        <w:spacing w:after="0" w:line="313" w:lineRule="auto"/>
        <w:rPr>
          <w:sz w:val="20"/>
          <w:szCs w:val="20"/>
          <w:color w:val="auto"/>
        </w:rPr>
      </w:pPr>
      <w:r>
        <w:rPr>
          <w:rFonts w:ascii="Arial" w:cs="Arial" w:eastAsia="Arial" w:hAnsi="Arial"/>
          <w:sz w:val="10"/>
          <w:szCs w:val="10"/>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or extend established processes which includes the transition to a new enterprise resource planning ("ERP") software system.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if we are not able to accurately forecast expenses related to the project, this may have an adverse impact on our financial condition and operating results.</w:t>
      </w:r>
    </w:p>
    <w:p>
      <w:pPr>
        <w:spacing w:after="0" w:line="103" w:lineRule="exact"/>
        <w:rPr>
          <w:sz w:val="20"/>
          <w:szCs w:val="20"/>
          <w:color w:val="auto"/>
        </w:rPr>
      </w:pPr>
    </w:p>
    <w:p>
      <w:pPr>
        <w:jc w:val="both"/>
        <w:ind w:firstLine="254"/>
        <w:spacing w:after="0" w:line="254" w:lineRule="auto"/>
        <w:rPr>
          <w:sz w:val="20"/>
          <w:szCs w:val="20"/>
          <w:color w:val="auto"/>
        </w:rPr>
      </w:pPr>
      <w:r>
        <w:rPr>
          <w:rFonts w:ascii="Arial" w:cs="Arial" w:eastAsia="Arial" w:hAnsi="Arial"/>
          <w:sz w:val="12"/>
          <w:szCs w:val="12"/>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3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15"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2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such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437" w:right="199" w:bottom="1440" w:gutter="0" w:footer="0" w:header="0"/>
        </w:sectPr>
      </w:pPr>
    </w:p>
    <w:bookmarkStart w:id="21" w:name="page22"/>
    <w:bookmarkEnd w:id="21"/>
    <w:p>
      <w:pPr>
        <w:ind w:left="140"/>
        <w:spacing w:after="0"/>
        <w:rPr>
          <w:sz w:val="20"/>
          <w:szCs w:val="20"/>
          <w:color w:val="auto"/>
        </w:rPr>
      </w:pPr>
      <w:r>
        <w:rPr>
          <w:rFonts w:ascii="Arial" w:cs="Arial" w:eastAsia="Arial" w:hAnsi="Arial"/>
          <w:sz w:val="12"/>
          <w:szCs w:val="12"/>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5"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We retain confidential customer and patient information in our processing centers. Therefore, it is critical that our facilities and infrastructure remain secure and are also perceived by the marketplace and our customers to be secure. Despite the implementation of security measures, we have experienced such breaches in the past and our infrastructure may be vulnerable to physical break-ins, computer viruses, programming errors or other technical malfunctions, hacking or phishing attacks by third parties, employee error or malfeasance or similar disruptive problems. If we fail to meet our customer and patient’s expectations regarding the security of healthcare information, we could be liable for damages and our reputation and competition position could be impaired. Affected parties could initiate legal or regulatory action against us, which could cause us to incur significant expense and liability or result in orders forcing us to modify our business practices. Concerns over our privacy practices could adversely affect others’ perception of us and deter customers, advertisers and partners from using our products. In addition, patient care could suffer, and we could be liable if our systems fail to deliver correct information in a timely manner. Our insurance may not protect us from this risk.</w:t>
      </w:r>
    </w:p>
    <w:p>
      <w:pPr>
        <w:spacing w:after="0" w:line="114"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are also subject to several federal, state and foreign laws and regulations, including ones relating to privacy, data protection, content regulation, and consumer protection. These laws and regulations are constantly evolving and may be interpreted, applied, created or amended in a manner that could adversely affect our business.</w:t>
      </w:r>
    </w:p>
    <w:p>
      <w:pPr>
        <w:spacing w:after="0" w:line="115"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7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2017, we had 420 active U.S. patents, 456 active foreign patents, and 416 pending global patent applications.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Certain of our key patents began to expire in 2017, which may result in increased competition or less expensive alternatives to our products.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1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Litigation, interferences, oppositions, re-exams, inter partes reviews, post grant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Litigation, interference, oppositions, re-exams, inter partes reviews, post grant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437" w:right="199" w:bottom="1440" w:gutter="0" w:footer="0" w:header="0"/>
        </w:sectPr>
      </w:pPr>
    </w:p>
    <w:bookmarkStart w:id="22" w:name="page23"/>
    <w:bookmarkEnd w:id="22"/>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70"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If we lose our key personnel or are unable to attract and retain key personnel, we may be unable to pursue business opportunities or develop our products.</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If we infringe the patents or proprietary rights of other parties or are subject to a patent infringement claim, our ability to grow our business may be severely limited.</w:t>
      </w:r>
    </w:p>
    <w:p>
      <w:pPr>
        <w:spacing w:after="0" w:line="105"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437" w:right="199" w:bottom="1440" w:gutter="0" w:footer="0" w:header="0"/>
        </w:sectPr>
      </w:pPr>
    </w:p>
    <w:bookmarkStart w:id="23" w:name="page24"/>
    <w:bookmarkEnd w:id="23"/>
    <w:p>
      <w:pPr>
        <w:jc w:val="both"/>
        <w:ind w:right="20" w:firstLine="144"/>
        <w:spacing w:after="0" w:line="276" w:lineRule="auto"/>
        <w:rPr>
          <w:sz w:val="20"/>
          <w:szCs w:val="20"/>
          <w:color w:val="auto"/>
        </w:rPr>
      </w:pPr>
      <w:r>
        <w:rPr>
          <w:rFonts w:ascii="Arial" w:cs="Arial" w:eastAsia="Arial" w:hAnsi="Arial"/>
          <w:sz w:val="12"/>
          <w:szCs w:val="12"/>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0"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minimum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18" w:lineRule="exact"/>
        <w:rPr>
          <w:sz w:val="20"/>
          <w:szCs w:val="20"/>
          <w:color w:val="auto"/>
        </w:rPr>
      </w:pPr>
    </w:p>
    <w:p>
      <w:pPr>
        <w:jc w:val="both"/>
        <w:ind w:firstLine="144"/>
        <w:spacing w:after="0" w:line="276" w:lineRule="auto"/>
        <w:rPr>
          <w:sz w:val="20"/>
          <w:szCs w:val="20"/>
          <w:color w:val="auto"/>
        </w:rPr>
      </w:pPr>
      <w:r>
        <w:rPr>
          <w:rFonts w:ascii="Arial" w:cs="Arial" w:eastAsia="Arial" w:hAnsi="Arial"/>
          <w:sz w:val="12"/>
          <w:szCs w:val="12"/>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7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primarily rely on our direct sales force to sell our products, and any failure to maintain our direct sales force could harm our business.</w:t>
      </w:r>
    </w:p>
    <w:p>
      <w:pPr>
        <w:spacing w:after="0" w:line="105"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our distributor relationships are not successful, our ability to market and sell our products would be harmed and our financial performance will be adversely affected.</w:t>
      </w:r>
    </w:p>
    <w:p>
      <w:pPr>
        <w:spacing w:after="0" w:line="10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437" w:right="199" w:bottom="1440" w:gutter="0" w:footer="0" w:header="0"/>
        </w:sectPr>
      </w:pPr>
    </w:p>
    <w:bookmarkStart w:id="24" w:name="page25"/>
    <w:bookmarkEnd w:id="24"/>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agreements with distributors may terminate prematurely due to disagreements or may result in litigation between the partners;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not be able to renew existing distributor agreements on acceptable terms;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distributors may not devote sufficient resources to the sale of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distributors may be unsuccessful in marketing our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existing relationships with distributors may preclude us from entering into additional future arrangements with other distributors;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not be able to negotiate future distributor agreements on acceptable terms.</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products are considered medical devices and are subject to extensive regulation in the U.S. and internationally. FDA regulations are wide ranging and govern, among other things:</w:t>
      </w:r>
    </w:p>
    <w:p>
      <w:pPr>
        <w:spacing w:after="0" w:line="150" w:lineRule="exact"/>
        <w:rPr>
          <w:sz w:val="20"/>
          <w:szCs w:val="20"/>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design, development, manufacturing and testing;</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labeling;</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storage;</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pre-market clearance or approval;</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complaint handling and corrective actions;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advertising and promotion;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sales and distribution.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failure to comply with applicable regulatory requirements could result in enforcement action by the FDA or state agencies, which may include any of the following sanctions:</w:t>
      </w:r>
    </w:p>
    <w:p>
      <w:pPr>
        <w:spacing w:after="0" w:line="150" w:lineRule="exact"/>
        <w:rPr>
          <w:sz w:val="20"/>
          <w:szCs w:val="20"/>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warning letters, fines, injunctions, consent decrees and civil penalties;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repair, replacement, refunds, recall or seizure of our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operating restrictions or partial suspension or total shutdown of production;</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refusing our requests for 510(k) clearance or pre-market approval of new products, new intended uses, or modifications to existing products;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withdrawing clearance or pre-market approvals that have already been granted;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criminal prosecution.</w:t>
      </w:r>
    </w:p>
    <w:p>
      <w:pPr>
        <w:spacing w:after="0" w:line="11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581"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we intend to market in the future. Our inability to maintain or obtain regulatory clearances or approvals could materially harm our business.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compliance with healthcare regulations becomes costly and difficult for our customers or for us, we may not be able to grow our business.</w:t>
      </w:r>
    </w:p>
    <w:p>
      <w:pPr>
        <w:spacing w:after="0" w:line="10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Congress passed health care reform legislation that was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05"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Extensive and changing government regulation of the healthcare industry may be expensive to comply with and exposes us to the risk of substantial government penalties.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to medical device laws and regulations, numerous state and federal healthcare-related laws regulate our business, covering areas such as:</w:t>
      </w:r>
    </w:p>
    <w:p>
      <w:pPr>
        <w:spacing w:after="0" w:line="150" w:lineRule="exact"/>
        <w:rPr>
          <w:sz w:val="20"/>
          <w:szCs w:val="20"/>
          <w:color w:val="auto"/>
        </w:rPr>
      </w:pPr>
    </w:p>
    <w:p>
      <w:pPr>
        <w:ind w:left="420" w:hanging="15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storage, transmission and disclosure of medical information and healthcare records;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prohibitions against the offer, payment or receipt of remuneration to induce referrals to entities providing healthcare services or goods or to induce the order, purchase or recommendation of our products;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marketing and advertising of our products.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Complying with these laws and regulations could be expensive and time-consuming, and could increase our operating costs or reduce or eliminate certain of our sales and marketing activities or our revenues.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business exposes us to potential product liability claims, and we may incur substantial expenses if we are subject to product liability claims or litigation.</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437" w:right="199" w:bottom="1440" w:gutter="0" w:footer="0" w:header="0"/>
        </w:sectPr>
      </w:pPr>
    </w:p>
    <w:bookmarkStart w:id="26" w:name="page27"/>
    <w:bookmarkEnd w:id="26"/>
    <w:p>
      <w:pPr>
        <w:spacing w:after="0" w:line="276" w:lineRule="auto"/>
        <w:rPr>
          <w:sz w:val="20"/>
          <w:szCs w:val="20"/>
          <w:color w:val="auto"/>
        </w:rPr>
      </w:pPr>
      <w:r>
        <w:rPr>
          <w:rFonts w:ascii="Arial" w:cs="Arial" w:eastAsia="Arial" w:hAnsi="Arial"/>
          <w:sz w:val="12"/>
          <w:szCs w:val="12"/>
          <w:color w:val="auto"/>
        </w:rPr>
        <w:t>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Historically, the market price for our common stock has been volatile.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market price of our common stock could be subject to wide price fluctuations in response to various factors, many of which are beyond our control. The factors include:</w:t>
      </w:r>
    </w:p>
    <w:p>
      <w:pPr>
        <w:spacing w:after="0" w:line="150" w:lineRule="exact"/>
        <w:rPr>
          <w:sz w:val="20"/>
          <w:szCs w:val="20"/>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quarterly variations in our results of operations and liquidity;</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recommendations by the investment community or in their estimates of our net revenues or operating results;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speculation in the press or investment community concerning our business and results of operations;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strategic actions by our competitors, such as product announcements or acquisitions;</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announcements of technological innovations or new products by us, our customers or competitors; and</w:t>
      </w:r>
    </w:p>
    <w:p>
      <w:pPr>
        <w:spacing w:after="0" w:line="114" w:lineRule="exact"/>
        <w:rPr>
          <w:rFonts w:ascii="Arial" w:cs="Arial" w:eastAsia="Arial" w:hAnsi="Arial"/>
          <w:sz w:val="12"/>
          <w:szCs w:val="12"/>
          <w:color w:val="auto"/>
        </w:rPr>
      </w:pPr>
    </w:p>
    <w:p>
      <w:pPr>
        <w:ind w:left="420" w:hanging="15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general economic market conditions.</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Future sales of significant amounts of our common stock may depress our stock price.</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We are subject to risks associated with our strategic investments. Impairments in the value of our investments and receivables could negatively impact our financial results.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have invested in SmileDirectClub, LLC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receivables in SDC or other privately held companies have experienced a decline in value, we may be required to record impairments, which could be material and could have an adverse impact on our financial results.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If our goodwill or long-lived assets become impaired, we may be required to record a significant charge to earnings.</w:t>
      </w:r>
    </w:p>
    <w:p>
      <w:pPr>
        <w:spacing w:after="0" w:line="150"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Under Generally Accepted Accounting Principles in the United States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Changes in, or interpretations of, accounting rules and regulations, could result in unfavorable accounting charges.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prepare our consolidated financial statements in conformity with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stock-based compensation, revenue recognition and leases.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437" w:right="199" w:bottom="1440" w:gutter="0" w:footer="0" w:header="0"/>
        </w:sectPr>
      </w:pPr>
    </w:p>
    <w:bookmarkStart w:id="27" w:name="page28"/>
    <w:bookmarkEnd w:id="27"/>
    <w:p>
      <w:pPr>
        <w:ind w:left="140"/>
        <w:spacing w:after="0"/>
        <w:rPr>
          <w:sz w:val="20"/>
          <w:szCs w:val="20"/>
          <w:color w:val="auto"/>
        </w:rPr>
      </w:pPr>
      <w:r>
        <w:rPr>
          <w:rFonts w:ascii="Arial" w:cs="Arial" w:eastAsia="Arial" w:hAnsi="Arial"/>
          <w:sz w:val="12"/>
          <w:szCs w:val="12"/>
          <w:b w:val="1"/>
          <w:bCs w:val="1"/>
          <w:i w:val="1"/>
          <w:iCs w:val="1"/>
          <w:color w:val="auto"/>
        </w:rPr>
        <w:t>If we fail to manage our exposure to global financial and securities market risk successfully, our operating results and financial statements could be materially impacted.</w:t>
      </w:r>
    </w:p>
    <w:p>
      <w:pPr>
        <w:spacing w:after="0" w:line="10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unstable credit environment, we might incur significant realized, unrealized or impairment losses associated with these investments.</w:t>
      </w:r>
    </w:p>
    <w:p>
      <w:pPr>
        <w:spacing w:after="0" w:line="1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2"/>
          <w:szCs w:val="12"/>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1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If the structure is challenged by U.S. or foreign tax authorities, if changes in domestic and international tax laws negatively impact the structure, including the U.S. Tax Cuts and Jobs Act enacted into law on December 22, 2017, or if we do not operate our business in a manner consistent with the structure and applicable regulatory provisions, we may fail to achieve the financial and operational efficiencies that we anticipate as a result of the structure, and our business, financial condition and net income may be materially and adversely affected.</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Our effective tax rate may vary significantly from period to period.</w:t>
      </w:r>
    </w:p>
    <w:p>
      <w:pPr>
        <w:spacing w:after="0" w:line="10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With the adoption of the Financial Accounting Standards Board ("FASB") issued Accounting Standards Update ("ASU") 2016-09, we also anticipate our first quarter effective tax rate to vary significantly due to the timing of when majority of our equity compensation vests each year. Other quarters can also be impacted depending on the timing of equity vests.</w:t>
      </w:r>
    </w:p>
    <w:p>
      <w:pPr>
        <w:spacing w:after="0" w:line="12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In addition, our tax rate may be impacted by tax holidays or incentives. 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a specified number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2016 and 2015. As a result of these incentives, our income taxes were reduced by $1.8 million, $19.1 million and $32.7 million in the year ended December 31, 2017, 2016 and 2015, respectively, representing a benefit to diluted net income per share of $0.02, $0.23 and $0.40 in the year ended December 31, 2017, 2016 and 2015,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581" w:right="199" w:bottom="1440" w:gutter="0" w:footer="0" w:header="0"/>
        </w:sectPr>
      </w:pPr>
    </w:p>
    <w:bookmarkStart w:id="28" w:name="page29"/>
    <w:bookmarkEnd w:id="28"/>
    <w:p>
      <w:pPr>
        <w:ind w:left="160"/>
        <w:spacing w:after="0"/>
        <w:rPr>
          <w:sz w:val="20"/>
          <w:szCs w:val="20"/>
          <w:color w:val="auto"/>
        </w:rPr>
      </w:pPr>
      <w:r>
        <w:rPr>
          <w:rFonts w:ascii="Arial" w:cs="Arial" w:eastAsia="Arial" w:hAnsi="Arial"/>
          <w:sz w:val="12"/>
          <w:szCs w:val="12"/>
          <w:b w:val="1"/>
          <w:bCs w:val="1"/>
          <w:i w:val="1"/>
          <w:iCs w:val="1"/>
          <w:color w:val="auto"/>
        </w:rPr>
        <w:t>Changes in tax laws or tax rulings could negatively impact our income tax provision and net income.</w:t>
      </w:r>
    </w:p>
    <w:p>
      <w:pPr>
        <w:spacing w:after="0" w:line="15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On December 22, 2017, the U.S. enacted significant tax reform, and certain provisions of the new law may adversely affect us. In addition, governmental tax authorities are increasingly scrutinizing the tax positions of companies.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In 2015, the OECD issued and is expected to continue to issue, guidelines and proposals that may change various aspects of the existing framework under which our tax obligations are determined in many of the countries in which we do business.</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occupy several leased and owned facilities with total office and manufacturing area of over 786,714 square feet. At December 31, 2017, the significant facilities were occupied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Location</w:t>
            </w:r>
          </w:p>
        </w:tc>
        <w:tc>
          <w:tcPr>
            <w:tcW w:w="860" w:type="dxa"/>
            <w:vAlign w:val="bottom"/>
          </w:tcPr>
          <w:p>
            <w:pPr>
              <w:spacing w:after="0"/>
              <w:rPr>
                <w:sz w:val="12"/>
                <w:szCs w:val="12"/>
                <w:color w:val="auto"/>
              </w:rPr>
            </w:pPr>
          </w:p>
        </w:tc>
        <w:tc>
          <w:tcPr>
            <w:tcW w:w="1660" w:type="dxa"/>
            <w:vAlign w:val="bottom"/>
          </w:tcPr>
          <w:p>
            <w:pPr>
              <w:jc w:val="center"/>
              <w:ind w:right="481"/>
              <w:spacing w:after="0"/>
              <w:rPr>
                <w:sz w:val="20"/>
                <w:szCs w:val="20"/>
                <w:color w:val="auto"/>
              </w:rPr>
            </w:pPr>
            <w:r>
              <w:rPr>
                <w:rFonts w:ascii="Arial" w:cs="Arial" w:eastAsia="Arial" w:hAnsi="Arial"/>
                <w:sz w:val="11"/>
                <w:szCs w:val="11"/>
                <w:b w:val="1"/>
                <w:bCs w:val="1"/>
                <w:color w:val="auto"/>
                <w:w w:val="89"/>
              </w:rPr>
              <w:t>Lease/Own</w:t>
            </w:r>
          </w:p>
        </w:tc>
        <w:tc>
          <w:tcPr>
            <w:tcW w:w="5960" w:type="dxa"/>
            <w:vAlign w:val="bottom"/>
          </w:tcPr>
          <w:p>
            <w:pPr>
              <w:jc w:val="center"/>
              <w:spacing w:after="0"/>
              <w:rPr>
                <w:sz w:val="20"/>
                <w:szCs w:val="20"/>
                <w:color w:val="auto"/>
              </w:rPr>
            </w:pPr>
            <w:r>
              <w:rPr>
                <w:rFonts w:ascii="Arial" w:cs="Arial" w:eastAsia="Arial" w:hAnsi="Arial"/>
                <w:sz w:val="11"/>
                <w:szCs w:val="11"/>
                <w:b w:val="1"/>
                <w:bCs w:val="1"/>
                <w:color w:val="auto"/>
                <w:w w:val="90"/>
              </w:rPr>
              <w:t>Primary Use</w:t>
            </w:r>
          </w:p>
        </w:tc>
        <w:tc>
          <w:tcPr>
            <w:tcW w:w="2120" w:type="dxa"/>
            <w:vAlign w:val="bottom"/>
          </w:tcPr>
          <w:p>
            <w:pPr>
              <w:jc w:val="center"/>
              <w:ind w:left="441"/>
              <w:spacing w:after="0"/>
              <w:rPr>
                <w:sz w:val="20"/>
                <w:szCs w:val="20"/>
                <w:color w:val="auto"/>
              </w:rPr>
            </w:pPr>
            <w:r>
              <w:rPr>
                <w:rFonts w:ascii="Arial" w:cs="Arial" w:eastAsia="Arial" w:hAnsi="Arial"/>
                <w:sz w:val="11"/>
                <w:szCs w:val="11"/>
                <w:b w:val="1"/>
                <w:bCs w:val="1"/>
                <w:color w:val="auto"/>
                <w:w w:val="88"/>
              </w:rPr>
              <w:t>Expiration of Lease</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6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San Jose, California</w:t>
            </w:r>
          </w:p>
        </w:tc>
        <w:tc>
          <w:tcPr>
            <w:tcW w:w="1660" w:type="dxa"/>
            <w:vAlign w:val="bottom"/>
            <w:shd w:val="clear" w:color="auto" w:fill="CCEEFF"/>
          </w:tcPr>
          <w:p>
            <w:pPr>
              <w:jc w:val="center"/>
              <w:ind w:right="481"/>
              <w:spacing w:after="0"/>
              <w:rPr>
                <w:sz w:val="20"/>
                <w:szCs w:val="20"/>
                <w:color w:val="auto"/>
              </w:rPr>
            </w:pPr>
            <w:r>
              <w:rPr>
                <w:rFonts w:ascii="Arial" w:cs="Arial" w:eastAsia="Arial" w:hAnsi="Arial"/>
                <w:sz w:val="12"/>
                <w:szCs w:val="12"/>
                <w:color w:val="auto"/>
                <w:w w:val="97"/>
              </w:rPr>
              <w:t>Own</w:t>
            </w:r>
          </w:p>
        </w:tc>
        <w:tc>
          <w:tcPr>
            <w:tcW w:w="5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Office for corporate headquarters, research &amp; development and administrative personnel</w:t>
            </w:r>
          </w:p>
        </w:tc>
        <w:tc>
          <w:tcPr>
            <w:tcW w:w="2120" w:type="dxa"/>
            <w:vAlign w:val="bottom"/>
            <w:shd w:val="clear" w:color="auto" w:fill="CCEEFF"/>
          </w:tcPr>
          <w:p>
            <w:pPr>
              <w:jc w:val="center"/>
              <w:ind w:left="461"/>
              <w:spacing w:after="0"/>
              <w:rPr>
                <w:sz w:val="20"/>
                <w:szCs w:val="20"/>
                <w:color w:val="auto"/>
              </w:rPr>
            </w:pPr>
            <w:r>
              <w:rPr>
                <w:rFonts w:ascii="Arial" w:cs="Arial" w:eastAsia="Arial" w:hAnsi="Arial"/>
                <w:sz w:val="12"/>
                <w:szCs w:val="12"/>
                <w:color w:val="auto"/>
                <w:w w:val="99"/>
              </w:rPr>
              <w:t>N/A</w:t>
            </w:r>
          </w:p>
        </w:tc>
      </w:tr>
      <w:tr>
        <w:trPr>
          <w:trHeight w:val="171"/>
        </w:trPr>
        <w:tc>
          <w:tcPr>
            <w:tcW w:w="880" w:type="dxa"/>
            <w:vAlign w:val="bottom"/>
          </w:tcPr>
          <w:p>
            <w:pPr>
              <w:ind w:left="20"/>
              <w:spacing w:after="0"/>
              <w:rPr>
                <w:sz w:val="20"/>
                <w:szCs w:val="20"/>
                <w:color w:val="auto"/>
              </w:rPr>
            </w:pPr>
            <w:r>
              <w:rPr>
                <w:rFonts w:ascii="Arial" w:cs="Arial" w:eastAsia="Arial" w:hAnsi="Arial"/>
                <w:sz w:val="12"/>
                <w:szCs w:val="12"/>
                <w:color w:val="auto"/>
              </w:rPr>
              <w:t>Juarez, Mexico</w:t>
            </w:r>
          </w:p>
        </w:tc>
        <w:tc>
          <w:tcPr>
            <w:tcW w:w="860" w:type="dxa"/>
            <w:vAlign w:val="bottom"/>
          </w:tcPr>
          <w:p>
            <w:pPr>
              <w:spacing w:after="0"/>
              <w:rPr>
                <w:sz w:val="14"/>
                <w:szCs w:val="14"/>
                <w:color w:val="auto"/>
              </w:rPr>
            </w:pPr>
          </w:p>
        </w:tc>
        <w:tc>
          <w:tcPr>
            <w:tcW w:w="1660" w:type="dxa"/>
            <w:vAlign w:val="bottom"/>
          </w:tcPr>
          <w:p>
            <w:pPr>
              <w:jc w:val="center"/>
              <w:ind w:right="481"/>
              <w:spacing w:after="0"/>
              <w:rPr>
                <w:sz w:val="20"/>
                <w:szCs w:val="20"/>
                <w:color w:val="auto"/>
              </w:rPr>
            </w:pPr>
            <w:r>
              <w:rPr>
                <w:rFonts w:ascii="Arial" w:cs="Arial" w:eastAsia="Arial" w:hAnsi="Arial"/>
                <w:sz w:val="12"/>
                <w:szCs w:val="12"/>
                <w:color w:val="auto"/>
                <w:w w:val="97"/>
              </w:rPr>
              <w:t>Own</w:t>
            </w:r>
          </w:p>
        </w:tc>
        <w:tc>
          <w:tcPr>
            <w:tcW w:w="5960" w:type="dxa"/>
            <w:vAlign w:val="bottom"/>
          </w:tcPr>
          <w:p>
            <w:pPr>
              <w:jc w:val="center"/>
              <w:spacing w:after="0"/>
              <w:rPr>
                <w:sz w:val="20"/>
                <w:szCs w:val="20"/>
                <w:color w:val="auto"/>
              </w:rPr>
            </w:pPr>
            <w:r>
              <w:rPr>
                <w:rFonts w:ascii="Arial" w:cs="Arial" w:eastAsia="Arial" w:hAnsi="Arial"/>
                <w:sz w:val="12"/>
                <w:szCs w:val="12"/>
                <w:color w:val="auto"/>
                <w:w w:val="92"/>
              </w:rPr>
              <w:t>Manufacturing and office for administrative personnel</w:t>
            </w:r>
          </w:p>
        </w:tc>
        <w:tc>
          <w:tcPr>
            <w:tcW w:w="2120" w:type="dxa"/>
            <w:vAlign w:val="bottom"/>
          </w:tcPr>
          <w:p>
            <w:pPr>
              <w:jc w:val="center"/>
              <w:ind w:left="461"/>
              <w:spacing w:after="0"/>
              <w:rPr>
                <w:sz w:val="20"/>
                <w:szCs w:val="20"/>
                <w:color w:val="auto"/>
              </w:rPr>
            </w:pPr>
            <w:r>
              <w:rPr>
                <w:rFonts w:ascii="Arial" w:cs="Arial" w:eastAsia="Arial" w:hAnsi="Arial"/>
                <w:sz w:val="12"/>
                <w:szCs w:val="12"/>
                <w:color w:val="auto"/>
                <w:w w:val="99"/>
              </w:rPr>
              <w:t>N/A</w:t>
            </w: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San Jose, Costa Rica</w:t>
            </w:r>
          </w:p>
        </w:tc>
        <w:tc>
          <w:tcPr>
            <w:tcW w:w="1660" w:type="dxa"/>
            <w:vAlign w:val="bottom"/>
            <w:shd w:val="clear" w:color="auto" w:fill="CCEEFF"/>
          </w:tcPr>
          <w:p>
            <w:pPr>
              <w:jc w:val="center"/>
              <w:ind w:right="481"/>
              <w:spacing w:after="0"/>
              <w:rPr>
                <w:sz w:val="20"/>
                <w:szCs w:val="20"/>
                <w:color w:val="auto"/>
              </w:rPr>
            </w:pPr>
            <w:r>
              <w:rPr>
                <w:rFonts w:ascii="Arial" w:cs="Arial" w:eastAsia="Arial" w:hAnsi="Arial"/>
                <w:sz w:val="12"/>
                <w:szCs w:val="12"/>
                <w:color w:val="auto"/>
                <w:w w:val="85"/>
              </w:rPr>
              <w:t>Lease</w:t>
            </w:r>
          </w:p>
        </w:tc>
        <w:tc>
          <w:tcPr>
            <w:tcW w:w="5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Office for administrative personnel, treatment personnel, and customer care</w:t>
            </w:r>
          </w:p>
        </w:tc>
        <w:tc>
          <w:tcPr>
            <w:tcW w:w="2120" w:type="dxa"/>
            <w:vAlign w:val="bottom"/>
            <w:shd w:val="clear" w:color="auto" w:fill="CCEEFF"/>
          </w:tcPr>
          <w:p>
            <w:pPr>
              <w:jc w:val="center"/>
              <w:ind w:left="441"/>
              <w:spacing w:after="0"/>
              <w:rPr>
                <w:sz w:val="20"/>
                <w:szCs w:val="20"/>
                <w:color w:val="auto"/>
              </w:rPr>
            </w:pPr>
            <w:r>
              <w:rPr>
                <w:rFonts w:ascii="Arial" w:cs="Arial" w:eastAsia="Arial" w:hAnsi="Arial"/>
                <w:sz w:val="12"/>
                <w:szCs w:val="12"/>
                <w:color w:val="auto"/>
                <w:w w:val="89"/>
              </w:rPr>
              <w:t>June 2023</w:t>
            </w:r>
          </w:p>
        </w:tc>
      </w:tr>
      <w:tr>
        <w:trPr>
          <w:trHeight w:val="162"/>
        </w:trPr>
        <w:tc>
          <w:tcPr>
            <w:tcW w:w="880" w:type="dxa"/>
            <w:vAlign w:val="bottom"/>
          </w:tcPr>
          <w:p>
            <w:pPr>
              <w:ind w:left="20"/>
              <w:spacing w:after="0"/>
              <w:rPr>
                <w:sz w:val="20"/>
                <w:szCs w:val="20"/>
                <w:color w:val="auto"/>
              </w:rPr>
            </w:pPr>
            <w:r>
              <w:rPr>
                <w:rFonts w:ascii="Arial" w:cs="Arial" w:eastAsia="Arial" w:hAnsi="Arial"/>
                <w:sz w:val="12"/>
                <w:szCs w:val="12"/>
                <w:color w:val="auto"/>
                <w:w w:val="89"/>
              </w:rPr>
              <w:t>Or Yehuda, Israel</w:t>
            </w:r>
          </w:p>
        </w:tc>
        <w:tc>
          <w:tcPr>
            <w:tcW w:w="860" w:type="dxa"/>
            <w:vAlign w:val="bottom"/>
          </w:tcPr>
          <w:p>
            <w:pPr>
              <w:spacing w:after="0"/>
              <w:rPr>
                <w:sz w:val="14"/>
                <w:szCs w:val="14"/>
                <w:color w:val="auto"/>
              </w:rPr>
            </w:pPr>
          </w:p>
        </w:tc>
        <w:tc>
          <w:tcPr>
            <w:tcW w:w="1660" w:type="dxa"/>
            <w:vAlign w:val="bottom"/>
          </w:tcPr>
          <w:p>
            <w:pPr>
              <w:jc w:val="center"/>
              <w:ind w:right="481"/>
              <w:spacing w:after="0"/>
              <w:rPr>
                <w:sz w:val="20"/>
                <w:szCs w:val="20"/>
                <w:color w:val="auto"/>
              </w:rPr>
            </w:pPr>
            <w:r>
              <w:rPr>
                <w:rFonts w:ascii="Arial" w:cs="Arial" w:eastAsia="Arial" w:hAnsi="Arial"/>
                <w:sz w:val="12"/>
                <w:szCs w:val="12"/>
                <w:color w:val="auto"/>
                <w:w w:val="85"/>
              </w:rPr>
              <w:t>Lease</w:t>
            </w:r>
          </w:p>
        </w:tc>
        <w:tc>
          <w:tcPr>
            <w:tcW w:w="5960" w:type="dxa"/>
            <w:vAlign w:val="bottom"/>
          </w:tcPr>
          <w:p>
            <w:pPr>
              <w:jc w:val="center"/>
              <w:spacing w:after="0"/>
              <w:rPr>
                <w:sz w:val="20"/>
                <w:szCs w:val="20"/>
                <w:color w:val="auto"/>
              </w:rPr>
            </w:pPr>
            <w:r>
              <w:rPr>
                <w:rFonts w:ascii="Arial" w:cs="Arial" w:eastAsia="Arial" w:hAnsi="Arial"/>
                <w:sz w:val="12"/>
                <w:szCs w:val="12"/>
                <w:color w:val="auto"/>
                <w:w w:val="91"/>
              </w:rPr>
              <w:t>Manufacturing and office for research &amp; development and administrative personnel</w:t>
            </w:r>
          </w:p>
        </w:tc>
        <w:tc>
          <w:tcPr>
            <w:tcW w:w="2120" w:type="dxa"/>
            <w:vAlign w:val="bottom"/>
          </w:tcPr>
          <w:p>
            <w:pPr>
              <w:jc w:val="center"/>
              <w:ind w:left="441"/>
              <w:spacing w:after="0"/>
              <w:rPr>
                <w:sz w:val="20"/>
                <w:szCs w:val="20"/>
                <w:color w:val="auto"/>
              </w:rPr>
            </w:pPr>
            <w:r>
              <w:rPr>
                <w:rFonts w:ascii="Arial" w:cs="Arial" w:eastAsia="Arial" w:hAnsi="Arial"/>
                <w:sz w:val="12"/>
                <w:szCs w:val="12"/>
                <w:color w:val="auto"/>
                <w:w w:val="89"/>
              </w:rPr>
              <w:t>February 2022</w:t>
            </w:r>
          </w:p>
        </w:tc>
      </w:tr>
      <w:tr>
        <w:trPr>
          <w:trHeight w:val="162"/>
        </w:trPr>
        <w:tc>
          <w:tcPr>
            <w:tcW w:w="1740" w:type="dxa"/>
            <w:vAlign w:val="bottom"/>
            <w:gridSpan w:val="2"/>
          </w:tcPr>
          <w:p>
            <w:pPr>
              <w:spacing w:after="0"/>
              <w:rPr>
                <w:sz w:val="14"/>
                <w:szCs w:val="14"/>
                <w:color w:val="auto"/>
              </w:rPr>
            </w:pPr>
          </w:p>
        </w:tc>
        <w:tc>
          <w:tcPr>
            <w:tcW w:w="16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80"/>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Amsterdam, The Netherlands</w:t>
            </w:r>
          </w:p>
        </w:tc>
        <w:tc>
          <w:tcPr>
            <w:tcW w:w="1660" w:type="dxa"/>
            <w:vAlign w:val="bottom"/>
            <w:shd w:val="clear" w:color="auto" w:fill="CCEEFF"/>
          </w:tcPr>
          <w:p>
            <w:pPr>
              <w:jc w:val="center"/>
              <w:ind w:right="481"/>
              <w:spacing w:after="0"/>
              <w:rPr>
                <w:sz w:val="20"/>
                <w:szCs w:val="20"/>
                <w:color w:val="auto"/>
              </w:rPr>
            </w:pPr>
            <w:r>
              <w:rPr>
                <w:rFonts w:ascii="Arial" w:cs="Arial" w:eastAsia="Arial" w:hAnsi="Arial"/>
                <w:sz w:val="12"/>
                <w:szCs w:val="12"/>
                <w:color w:val="auto"/>
                <w:w w:val="85"/>
              </w:rPr>
              <w:t>Lease</w:t>
            </w:r>
          </w:p>
        </w:tc>
        <w:tc>
          <w:tcPr>
            <w:tcW w:w="5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Office for international headquarters, sales and marketing and administrative personnel</w:t>
            </w:r>
          </w:p>
        </w:tc>
        <w:tc>
          <w:tcPr>
            <w:tcW w:w="2120" w:type="dxa"/>
            <w:vAlign w:val="bottom"/>
            <w:shd w:val="clear" w:color="auto" w:fill="CCEEFF"/>
          </w:tcPr>
          <w:p>
            <w:pPr>
              <w:jc w:val="center"/>
              <w:ind w:left="441"/>
              <w:spacing w:after="0"/>
              <w:rPr>
                <w:sz w:val="20"/>
                <w:szCs w:val="20"/>
                <w:color w:val="auto"/>
              </w:rPr>
            </w:pPr>
            <w:r>
              <w:rPr>
                <w:rFonts w:ascii="Arial" w:cs="Arial" w:eastAsia="Arial" w:hAnsi="Arial"/>
                <w:sz w:val="12"/>
                <w:szCs w:val="12"/>
                <w:color w:val="auto"/>
                <w:w w:val="91"/>
              </w:rPr>
              <w:t>March 2020</w:t>
            </w:r>
          </w:p>
        </w:tc>
      </w:tr>
      <w:tr>
        <w:trPr>
          <w:trHeight w:val="171"/>
        </w:trPr>
        <w:tc>
          <w:tcPr>
            <w:tcW w:w="880" w:type="dxa"/>
            <w:vAlign w:val="bottom"/>
          </w:tcPr>
          <w:p>
            <w:pPr>
              <w:ind w:left="20"/>
              <w:spacing w:after="0"/>
              <w:rPr>
                <w:sz w:val="20"/>
                <w:szCs w:val="20"/>
                <w:color w:val="auto"/>
              </w:rPr>
            </w:pPr>
            <w:r>
              <w:rPr>
                <w:rFonts w:ascii="Arial" w:cs="Arial" w:eastAsia="Arial" w:hAnsi="Arial"/>
                <w:sz w:val="12"/>
                <w:szCs w:val="12"/>
                <w:color w:val="auto"/>
                <w:w w:val="96"/>
              </w:rPr>
              <w:t>Moscow, Russia</w:t>
            </w:r>
          </w:p>
        </w:tc>
        <w:tc>
          <w:tcPr>
            <w:tcW w:w="860" w:type="dxa"/>
            <w:vAlign w:val="bottom"/>
          </w:tcPr>
          <w:p>
            <w:pPr>
              <w:spacing w:after="0"/>
              <w:rPr>
                <w:sz w:val="14"/>
                <w:szCs w:val="14"/>
                <w:color w:val="auto"/>
              </w:rPr>
            </w:pPr>
          </w:p>
        </w:tc>
        <w:tc>
          <w:tcPr>
            <w:tcW w:w="1660" w:type="dxa"/>
            <w:vAlign w:val="bottom"/>
          </w:tcPr>
          <w:p>
            <w:pPr>
              <w:jc w:val="center"/>
              <w:ind w:right="481"/>
              <w:spacing w:after="0"/>
              <w:rPr>
                <w:sz w:val="20"/>
                <w:szCs w:val="20"/>
                <w:color w:val="auto"/>
              </w:rPr>
            </w:pPr>
            <w:r>
              <w:rPr>
                <w:rFonts w:ascii="Arial" w:cs="Arial" w:eastAsia="Arial" w:hAnsi="Arial"/>
                <w:sz w:val="12"/>
                <w:szCs w:val="12"/>
                <w:color w:val="auto"/>
                <w:w w:val="85"/>
              </w:rPr>
              <w:t>Lease</w:t>
            </w:r>
          </w:p>
        </w:tc>
        <w:tc>
          <w:tcPr>
            <w:tcW w:w="5960" w:type="dxa"/>
            <w:vAlign w:val="bottom"/>
          </w:tcPr>
          <w:p>
            <w:pPr>
              <w:jc w:val="center"/>
              <w:spacing w:after="0"/>
              <w:rPr>
                <w:sz w:val="20"/>
                <w:szCs w:val="20"/>
                <w:color w:val="auto"/>
              </w:rPr>
            </w:pPr>
            <w:r>
              <w:rPr>
                <w:rFonts w:ascii="Arial" w:cs="Arial" w:eastAsia="Arial" w:hAnsi="Arial"/>
                <w:sz w:val="12"/>
                <w:szCs w:val="12"/>
                <w:color w:val="auto"/>
                <w:w w:val="92"/>
              </w:rPr>
              <w:t>Office for research &amp; development</w:t>
            </w:r>
          </w:p>
        </w:tc>
        <w:tc>
          <w:tcPr>
            <w:tcW w:w="2120" w:type="dxa"/>
            <w:vAlign w:val="bottom"/>
          </w:tcPr>
          <w:p>
            <w:pPr>
              <w:jc w:val="center"/>
              <w:ind w:left="441"/>
              <w:spacing w:after="0"/>
              <w:rPr>
                <w:sz w:val="20"/>
                <w:szCs w:val="20"/>
                <w:color w:val="auto"/>
              </w:rPr>
            </w:pPr>
            <w:r>
              <w:rPr>
                <w:rFonts w:ascii="Arial" w:cs="Arial" w:eastAsia="Arial" w:hAnsi="Arial"/>
                <w:sz w:val="12"/>
                <w:szCs w:val="12"/>
                <w:color w:val="auto"/>
                <w:w w:val="89"/>
              </w:rPr>
              <w:t>July 2023</w:t>
            </w: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Raleigh, North Carolina</w:t>
            </w:r>
          </w:p>
        </w:tc>
        <w:tc>
          <w:tcPr>
            <w:tcW w:w="1660" w:type="dxa"/>
            <w:vAlign w:val="bottom"/>
            <w:shd w:val="clear" w:color="auto" w:fill="CCEEFF"/>
          </w:tcPr>
          <w:p>
            <w:pPr>
              <w:jc w:val="center"/>
              <w:ind w:right="481"/>
              <w:spacing w:after="0"/>
              <w:rPr>
                <w:sz w:val="20"/>
                <w:szCs w:val="20"/>
                <w:color w:val="auto"/>
              </w:rPr>
            </w:pPr>
            <w:r>
              <w:rPr>
                <w:rFonts w:ascii="Arial" w:cs="Arial" w:eastAsia="Arial" w:hAnsi="Arial"/>
                <w:sz w:val="12"/>
                <w:szCs w:val="12"/>
                <w:color w:val="auto"/>
                <w:w w:val="85"/>
              </w:rPr>
              <w:t>Lease</w:t>
            </w:r>
          </w:p>
        </w:tc>
        <w:tc>
          <w:tcPr>
            <w:tcW w:w="5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Office for research &amp; development and administrative personnel</w:t>
            </w:r>
          </w:p>
        </w:tc>
        <w:tc>
          <w:tcPr>
            <w:tcW w:w="2120" w:type="dxa"/>
            <w:vAlign w:val="bottom"/>
            <w:shd w:val="clear" w:color="auto" w:fill="CCEEFF"/>
          </w:tcPr>
          <w:p>
            <w:pPr>
              <w:jc w:val="center"/>
              <w:ind w:left="441"/>
              <w:spacing w:after="0"/>
              <w:rPr>
                <w:sz w:val="20"/>
                <w:szCs w:val="20"/>
                <w:color w:val="auto"/>
              </w:rPr>
            </w:pPr>
            <w:r>
              <w:rPr>
                <w:rFonts w:ascii="Arial" w:cs="Arial" w:eastAsia="Arial" w:hAnsi="Arial"/>
                <w:sz w:val="12"/>
                <w:szCs w:val="12"/>
                <w:color w:val="auto"/>
                <w:w w:val="91"/>
              </w:rPr>
              <w:t>November 2024</w:t>
            </w:r>
          </w:p>
        </w:tc>
      </w:tr>
      <w:tr>
        <w:trPr>
          <w:trHeight w:val="162"/>
        </w:trPr>
        <w:tc>
          <w:tcPr>
            <w:tcW w:w="880" w:type="dxa"/>
            <w:vAlign w:val="bottom"/>
          </w:tcPr>
          <w:p>
            <w:pPr>
              <w:ind w:left="20"/>
              <w:spacing w:after="0"/>
              <w:rPr>
                <w:sz w:val="20"/>
                <w:szCs w:val="20"/>
                <w:color w:val="auto"/>
              </w:rPr>
            </w:pPr>
            <w:r>
              <w:rPr>
                <w:rFonts w:ascii="Arial" w:cs="Arial" w:eastAsia="Arial" w:hAnsi="Arial"/>
                <w:sz w:val="12"/>
                <w:szCs w:val="12"/>
                <w:color w:val="auto"/>
              </w:rPr>
              <w:t>Ziyang, China</w:t>
            </w:r>
          </w:p>
        </w:tc>
        <w:tc>
          <w:tcPr>
            <w:tcW w:w="860" w:type="dxa"/>
            <w:vAlign w:val="bottom"/>
          </w:tcPr>
          <w:p>
            <w:pPr>
              <w:spacing w:after="0"/>
              <w:rPr>
                <w:sz w:val="14"/>
                <w:szCs w:val="14"/>
                <w:color w:val="auto"/>
              </w:rPr>
            </w:pPr>
          </w:p>
        </w:tc>
        <w:tc>
          <w:tcPr>
            <w:tcW w:w="1660" w:type="dxa"/>
            <w:vAlign w:val="bottom"/>
          </w:tcPr>
          <w:p>
            <w:pPr>
              <w:jc w:val="center"/>
              <w:ind w:right="481"/>
              <w:spacing w:after="0"/>
              <w:rPr>
                <w:sz w:val="20"/>
                <w:szCs w:val="20"/>
                <w:color w:val="auto"/>
              </w:rPr>
            </w:pPr>
            <w:r>
              <w:rPr>
                <w:rFonts w:ascii="Arial" w:cs="Arial" w:eastAsia="Arial" w:hAnsi="Arial"/>
                <w:sz w:val="12"/>
                <w:szCs w:val="12"/>
                <w:color w:val="auto"/>
                <w:w w:val="85"/>
              </w:rPr>
              <w:t>Lease</w:t>
            </w:r>
          </w:p>
        </w:tc>
        <w:tc>
          <w:tcPr>
            <w:tcW w:w="5960" w:type="dxa"/>
            <w:vAlign w:val="bottom"/>
          </w:tcPr>
          <w:p>
            <w:pPr>
              <w:jc w:val="center"/>
              <w:spacing w:after="0"/>
              <w:rPr>
                <w:sz w:val="20"/>
                <w:szCs w:val="20"/>
                <w:color w:val="auto"/>
              </w:rPr>
            </w:pPr>
            <w:r>
              <w:rPr>
                <w:rFonts w:ascii="Arial" w:cs="Arial" w:eastAsia="Arial" w:hAnsi="Arial"/>
                <w:sz w:val="12"/>
                <w:szCs w:val="12"/>
                <w:color w:val="auto"/>
                <w:w w:val="92"/>
              </w:rPr>
              <w:t>Manufacturing and office for administrative personnel</w:t>
            </w:r>
          </w:p>
        </w:tc>
        <w:tc>
          <w:tcPr>
            <w:tcW w:w="2120" w:type="dxa"/>
            <w:vAlign w:val="bottom"/>
          </w:tcPr>
          <w:p>
            <w:pPr>
              <w:jc w:val="center"/>
              <w:ind w:left="441"/>
              <w:spacing w:after="0"/>
              <w:rPr>
                <w:sz w:val="20"/>
                <w:szCs w:val="20"/>
                <w:color w:val="auto"/>
              </w:rPr>
            </w:pPr>
            <w:r>
              <w:rPr>
                <w:rFonts w:ascii="Arial" w:cs="Arial" w:eastAsia="Arial" w:hAnsi="Arial"/>
                <w:sz w:val="12"/>
                <w:szCs w:val="12"/>
                <w:color w:val="auto"/>
                <w:w w:val="94"/>
              </w:rPr>
              <w:t>May 2021</w:t>
            </w:r>
          </w:p>
        </w:tc>
      </w:tr>
      <w:tr>
        <w:trPr>
          <w:trHeight w:val="306"/>
        </w:trPr>
        <w:tc>
          <w:tcPr>
            <w:tcW w:w="88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2520" w:type="dxa"/>
            <w:vAlign w:val="bottom"/>
            <w:gridSpan w:val="2"/>
          </w:tcPr>
          <w:p>
            <w:pPr>
              <w:ind w:left="40"/>
              <w:spacing w:after="0"/>
              <w:rPr>
                <w:sz w:val="20"/>
                <w:szCs w:val="20"/>
                <w:color w:val="auto"/>
              </w:rPr>
            </w:pPr>
            <w:r>
              <w:rPr>
                <w:rFonts w:ascii="Arial" w:cs="Arial" w:eastAsia="Arial" w:hAnsi="Arial"/>
                <w:sz w:val="12"/>
                <w:szCs w:val="12"/>
                <w:b w:val="1"/>
                <w:bCs w:val="1"/>
                <w:color w:val="auto"/>
              </w:rPr>
              <w:t>LEGAL PROCEEDINGS</w:t>
            </w:r>
          </w:p>
        </w:tc>
        <w:tc>
          <w:tcPr>
            <w:tcW w:w="59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198"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Patent Infringement Lawsuit</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2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437" w:right="19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2"/>
          <w:szCs w:val="12"/>
          <w:color w:val="auto"/>
        </w:rPr>
        <w:t>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 (</w:t>
      </w:r>
      <w:r>
        <w:rPr>
          <w:rFonts w:ascii="Arial" w:cs="Arial" w:eastAsia="Arial" w:hAnsi="Arial"/>
          <w:sz w:val="12"/>
          <w:szCs w:val="12"/>
          <w:i w:val="1"/>
          <w:iCs w:val="1"/>
          <w:color w:val="auto"/>
        </w:rPr>
        <w:t>Refer to Note 8 "Legal Proceedings" of</w:t>
      </w:r>
      <w:r>
        <w:rPr>
          <w:rFonts w:ascii="Arial" w:cs="Arial" w:eastAsia="Arial" w:hAnsi="Arial"/>
          <w:sz w:val="12"/>
          <w:szCs w:val="12"/>
          <w:color w:val="auto"/>
        </w:rPr>
        <w:t xml:space="preserve"> </w:t>
      </w:r>
      <w:r>
        <w:rPr>
          <w:rFonts w:ascii="Arial" w:cs="Arial" w:eastAsia="Arial" w:hAnsi="Arial"/>
          <w:sz w:val="12"/>
          <w:szCs w:val="12"/>
          <w:i w:val="1"/>
          <w:iCs w:val="1"/>
          <w:color w:val="auto"/>
        </w:rPr>
        <w:t>the Notes to Consolidated Financial Statement</w:t>
      </w:r>
      <w:r>
        <w:rPr>
          <w:rFonts w:ascii="Arial" w:cs="Arial" w:eastAsia="Arial" w:hAnsi="Arial"/>
          <w:sz w:val="12"/>
          <w:szCs w:val="12"/>
          <w:color w:val="auto"/>
        </w:rPr>
        <w:t>s for details on legal proceedings).</w:t>
      </w:r>
    </w:p>
    <w:p>
      <w:pPr>
        <w:spacing w:after="0" w:line="137"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437" w:right="199"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Price Range of Common Stock</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common stock is quoted on the NASDAQ Global Select Market under the symbol “ALGN.” The following table sets forth the range of high and low per share sales prices as reported for each period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ind w:left="340"/>
              <w:spacing w:after="0"/>
              <w:rPr>
                <w:sz w:val="20"/>
                <w:szCs w:val="20"/>
                <w:color w:val="auto"/>
              </w:rPr>
            </w:pPr>
            <w:r>
              <w:rPr>
                <w:rFonts w:ascii="Arial" w:cs="Arial" w:eastAsia="Arial" w:hAnsi="Arial"/>
                <w:sz w:val="10"/>
                <w:szCs w:val="10"/>
                <w:b w:val="1"/>
                <w:bCs w:val="1"/>
                <w:color w:val="auto"/>
              </w:rPr>
              <w:t>High</w:t>
            </w:r>
          </w:p>
        </w:tc>
        <w:tc>
          <w:tcPr>
            <w:tcW w:w="420" w:type="dxa"/>
            <w:vAlign w:val="bottom"/>
          </w:tcPr>
          <w:p>
            <w:pPr>
              <w:spacing w:after="0"/>
              <w:rPr>
                <w:sz w:val="11"/>
                <w:szCs w:val="11"/>
                <w:color w:val="auto"/>
              </w:rPr>
            </w:pPr>
          </w:p>
        </w:tc>
        <w:tc>
          <w:tcPr>
            <w:tcW w:w="1300" w:type="dxa"/>
            <w:vAlign w:val="bottom"/>
          </w:tcPr>
          <w:p>
            <w:pPr>
              <w:jc w:val="right"/>
              <w:ind w:right="701"/>
              <w:spacing w:after="0"/>
              <w:rPr>
                <w:sz w:val="20"/>
                <w:szCs w:val="20"/>
                <w:color w:val="auto"/>
              </w:rPr>
            </w:pPr>
            <w:r>
              <w:rPr>
                <w:rFonts w:ascii="Arial" w:cs="Arial" w:eastAsia="Arial" w:hAnsi="Arial"/>
                <w:sz w:val="10"/>
                <w:szCs w:val="10"/>
                <w:b w:val="1"/>
                <w:bCs w:val="1"/>
                <w:color w:val="auto"/>
              </w:rPr>
              <w:t>Low</w:t>
            </w:r>
          </w:p>
        </w:tc>
      </w:tr>
      <w:tr>
        <w:trPr>
          <w:trHeight w:val="153"/>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i w:val="1"/>
                <w:iCs w:val="1"/>
                <w:color w:val="auto"/>
              </w:rPr>
              <w:t>Year Ended December 31, 2017:</w:t>
            </w: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130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Fourth quarter</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266.41</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184.67</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Third quarter</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190.04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148.95</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Second quarter</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154.85</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113.40</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First quarter</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115.20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88.56</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i w:val="1"/>
                <w:iCs w:val="1"/>
                <w:color w:val="auto"/>
              </w:rPr>
              <w:t>Year Ended December 31, 2016:</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Fourth quarter</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102.10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83.27</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Third quarter</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96.90</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80.30</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Second quarter</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81.98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70.03</w:t>
            </w:r>
          </w:p>
        </w:tc>
      </w:tr>
      <w:tr>
        <w:trPr>
          <w:trHeight w:val="162"/>
        </w:trPr>
        <w:tc>
          <w:tcPr>
            <w:tcW w:w="7920" w:type="dxa"/>
            <w:vAlign w:val="bottom"/>
          </w:tcPr>
          <w:p>
            <w:pPr>
              <w:ind w:left="20"/>
              <w:spacing w:after="0"/>
              <w:rPr>
                <w:sz w:val="20"/>
                <w:szCs w:val="20"/>
                <w:color w:val="auto"/>
              </w:rPr>
            </w:pPr>
            <w:r>
              <w:rPr>
                <w:rFonts w:ascii="Arial" w:cs="Arial" w:eastAsia="Arial" w:hAnsi="Arial"/>
                <w:sz w:val="12"/>
                <w:szCs w:val="12"/>
                <w:color w:val="auto"/>
              </w:rPr>
              <w:t>First quarter</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73.55</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57.31</w:t>
            </w:r>
          </w:p>
        </w:tc>
      </w:tr>
    </w:tbl>
    <w:p>
      <w:pPr>
        <w:spacing w:after="0" w:line="153"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On February 23, 2018, the closing price of our common stock on the NASDAQ Global Market was $265.07 per share. As of February 23, 2018, there were approximately 86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92"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have never declared or paid any cash dividends on our common stock. We currently intend to retain any future earnings to fund the development and growth of our business and do not anticipate paying any cash dividends in the foreseeable future.</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Performance Graph</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23"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The graph below matches our cumulative 5-year total shareholder return on common stock with the cumulative total returns of the NASDAQ Composite index, the S&amp;P 500 and the S&amp;P 1500 Composite Health Care Equipment &amp; Supplies index. The graph tracks the performance of a $100 investment in our common stock, in the peer group, and the index (with the reinvestment of all dividends) from December 31, 2012 to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188595</wp:posOffset>
            </wp:positionV>
            <wp:extent cx="73177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433" w:right="1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283210</wp:posOffset>
            </wp:positionV>
            <wp:extent cx="3900805" cy="3248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90080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Following is a summary of stock repurchases for the three months ended December 31, 2017:</w:t>
      </w: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6"/>
              </w:rPr>
              <w:t>Total Number of Shares</w:t>
            </w:r>
          </w:p>
        </w:tc>
        <w:tc>
          <w:tcPr>
            <w:tcW w:w="60" w:type="dxa"/>
            <w:vAlign w:val="bottom"/>
          </w:tcPr>
          <w:p>
            <w:pPr>
              <w:spacing w:after="0"/>
              <w:rPr>
                <w:sz w:val="10"/>
                <w:szCs w:val="10"/>
                <w:color w:val="auto"/>
              </w:rPr>
            </w:pPr>
          </w:p>
        </w:tc>
        <w:tc>
          <w:tcPr>
            <w:tcW w:w="1760" w:type="dxa"/>
            <w:vAlign w:val="bottom"/>
          </w:tcPr>
          <w:p>
            <w:pPr>
              <w:jc w:val="center"/>
              <w:ind w:right="29"/>
              <w:spacing w:after="0"/>
              <w:rPr>
                <w:sz w:val="20"/>
                <w:szCs w:val="20"/>
                <w:color w:val="auto"/>
              </w:rPr>
            </w:pPr>
            <w:r>
              <w:rPr>
                <w:rFonts w:ascii="Arial" w:cs="Arial" w:eastAsia="Arial" w:hAnsi="Arial"/>
                <w:sz w:val="10"/>
                <w:szCs w:val="10"/>
                <w:b w:val="1"/>
                <w:bCs w:val="1"/>
                <w:color w:val="auto"/>
                <w:w w:val="87"/>
              </w:rPr>
              <w:t>Approximate Dollar Value of Shares that</w:t>
            </w:r>
          </w:p>
        </w:tc>
      </w:tr>
      <w:tr>
        <w:trPr>
          <w:trHeight w:val="99"/>
        </w:trPr>
        <w:tc>
          <w:tcPr>
            <w:tcW w:w="4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gridSpan w:val="2"/>
          </w:tcPr>
          <w:p>
            <w:pPr>
              <w:ind w:left="100"/>
              <w:spacing w:after="0" w:line="99" w:lineRule="exact"/>
              <w:rPr>
                <w:sz w:val="20"/>
                <w:szCs w:val="20"/>
                <w:color w:val="auto"/>
              </w:rPr>
            </w:pPr>
            <w:r>
              <w:rPr>
                <w:rFonts w:ascii="Arial" w:cs="Arial" w:eastAsia="Arial" w:hAnsi="Arial"/>
                <w:sz w:val="10"/>
                <w:szCs w:val="10"/>
                <w:b w:val="1"/>
                <w:bCs w:val="1"/>
                <w:color w:val="auto"/>
              </w:rPr>
              <w:t>Total Number of Shares</w:t>
            </w:r>
          </w:p>
        </w:tc>
        <w:tc>
          <w:tcPr>
            <w:tcW w:w="1360" w:type="dxa"/>
            <w:vAlign w:val="bottom"/>
            <w:gridSpan w:val="3"/>
          </w:tcPr>
          <w:p>
            <w:pPr>
              <w:ind w:left="40"/>
              <w:spacing w:after="0" w:line="99" w:lineRule="exact"/>
              <w:rPr>
                <w:sz w:val="20"/>
                <w:szCs w:val="20"/>
                <w:color w:val="auto"/>
              </w:rPr>
            </w:pPr>
            <w:r>
              <w:rPr>
                <w:rFonts w:ascii="Arial" w:cs="Arial" w:eastAsia="Arial" w:hAnsi="Arial"/>
                <w:sz w:val="10"/>
                <w:szCs w:val="10"/>
                <w:b w:val="1"/>
                <w:bCs w:val="1"/>
                <w:color w:val="auto"/>
              </w:rPr>
              <w:t>Average Price Paid per</w:t>
            </w:r>
          </w:p>
        </w:tc>
        <w:tc>
          <w:tcPr>
            <w:tcW w:w="184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5"/>
              </w:rPr>
              <w:t>Repurchased as Part of Publicly</w:t>
            </w:r>
          </w:p>
        </w:tc>
        <w:tc>
          <w:tcPr>
            <w:tcW w:w="60" w:type="dxa"/>
            <w:vAlign w:val="bottom"/>
          </w:tcPr>
          <w:p>
            <w:pPr>
              <w:spacing w:after="0"/>
              <w:rPr>
                <w:sz w:val="8"/>
                <w:szCs w:val="8"/>
                <w:color w:val="auto"/>
              </w:rPr>
            </w:pPr>
          </w:p>
        </w:tc>
        <w:tc>
          <w:tcPr>
            <w:tcW w:w="1760" w:type="dxa"/>
            <w:vAlign w:val="bottom"/>
          </w:tcPr>
          <w:p>
            <w:pPr>
              <w:jc w:val="center"/>
              <w:ind w:right="9"/>
              <w:spacing w:after="0" w:line="99" w:lineRule="exact"/>
              <w:rPr>
                <w:sz w:val="20"/>
                <w:szCs w:val="20"/>
                <w:color w:val="auto"/>
              </w:rPr>
            </w:pPr>
            <w:r>
              <w:rPr>
                <w:rFonts w:ascii="Arial" w:cs="Arial" w:eastAsia="Arial" w:hAnsi="Arial"/>
                <w:sz w:val="10"/>
                <w:szCs w:val="10"/>
                <w:b w:val="1"/>
                <w:bCs w:val="1"/>
                <w:color w:val="auto"/>
                <w:w w:val="86"/>
              </w:rPr>
              <w:t>May Yet Be Repurchased Under the</w:t>
            </w:r>
          </w:p>
        </w:tc>
      </w:tr>
      <w:tr>
        <w:trPr>
          <w:trHeight w:val="128"/>
        </w:trPr>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0"/>
                <w:szCs w:val="10"/>
                <w:b w:val="1"/>
                <w:bCs w:val="1"/>
                <w:color w:val="auto"/>
              </w:rPr>
              <w:t>Period</w:t>
            </w:r>
          </w:p>
        </w:tc>
        <w:tc>
          <w:tcPr>
            <w:tcW w:w="3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Repurchased</w:t>
            </w:r>
          </w:p>
        </w:tc>
        <w:tc>
          <w:tcPr>
            <w:tcW w:w="3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Share</w:t>
            </w:r>
          </w:p>
        </w:tc>
        <w:tc>
          <w:tcPr>
            <w:tcW w:w="34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Announced Program</w:t>
            </w:r>
          </w:p>
        </w:tc>
        <w:tc>
          <w:tcPr>
            <w:tcW w:w="3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91"/>
              </w:rPr>
              <w:t xml:space="preserve">Program </w:t>
            </w:r>
            <w:r>
              <w:rPr>
                <w:rFonts w:ascii="Arial" w:cs="Arial" w:eastAsia="Arial" w:hAnsi="Arial"/>
                <w:sz w:val="5"/>
                <w:szCs w:val="5"/>
                <w:b w:val="1"/>
                <w:bCs w:val="1"/>
                <w:color w:val="auto"/>
                <w:w w:val="91"/>
              </w:rPr>
              <w:t>(1)</w:t>
            </w:r>
          </w:p>
        </w:tc>
      </w:tr>
      <w:tr>
        <w:trPr>
          <w:trHeight w:val="1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October 1, 2017 through October 31, 2017</w:t>
            </w:r>
          </w:p>
        </w:tc>
        <w:tc>
          <w:tcPr>
            <w:tcW w:w="15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1"/>
                <w:szCs w:val="11"/>
                <w:color w:val="auto"/>
              </w:rPr>
              <w:t>250,000,000</w:t>
            </w:r>
          </w:p>
        </w:tc>
      </w:tr>
      <w:tr>
        <w:trPr>
          <w:trHeight w:val="158"/>
        </w:trPr>
        <w:tc>
          <w:tcPr>
            <w:tcW w:w="4940" w:type="dxa"/>
            <w:vAlign w:val="bottom"/>
            <w:gridSpan w:val="2"/>
          </w:tcPr>
          <w:p>
            <w:pPr>
              <w:ind w:left="20"/>
              <w:spacing w:after="0"/>
              <w:rPr>
                <w:sz w:val="20"/>
                <w:szCs w:val="20"/>
                <w:color w:val="auto"/>
              </w:rPr>
            </w:pPr>
            <w:r>
              <w:rPr>
                <w:rFonts w:ascii="Arial" w:cs="Arial" w:eastAsia="Arial" w:hAnsi="Arial"/>
                <w:sz w:val="11"/>
                <w:szCs w:val="11"/>
                <w:color w:val="auto"/>
              </w:rPr>
              <w:t>November 1, 2017 through November 30, 2017</w:t>
            </w:r>
          </w:p>
        </w:tc>
        <w:tc>
          <w:tcPr>
            <w:tcW w:w="1160" w:type="dxa"/>
            <w:vAlign w:val="bottom"/>
          </w:tcPr>
          <w:p>
            <w:pPr>
              <w:jc w:val="right"/>
              <w:ind w:right="68"/>
              <w:spacing w:after="0"/>
              <w:rPr>
                <w:sz w:val="20"/>
                <w:szCs w:val="20"/>
                <w:color w:val="auto"/>
              </w:rPr>
            </w:pPr>
            <w:r>
              <w:rPr>
                <w:rFonts w:ascii="Arial" w:cs="Arial" w:eastAsia="Arial" w:hAnsi="Arial"/>
                <w:sz w:val="11"/>
                <w:szCs w:val="11"/>
                <w:color w:val="auto"/>
              </w:rPr>
              <w:t>205,000</w:t>
            </w:r>
          </w:p>
        </w:tc>
        <w:tc>
          <w:tcPr>
            <w:tcW w:w="36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7"/>
              <w:spacing w:after="0"/>
              <w:rPr>
                <w:sz w:val="20"/>
                <w:szCs w:val="20"/>
                <w:color w:val="auto"/>
              </w:rPr>
            </w:pPr>
            <w:r>
              <w:rPr>
                <w:rFonts w:ascii="Arial" w:cs="Arial" w:eastAsia="Arial" w:hAnsi="Arial"/>
                <w:sz w:val="11"/>
                <w:szCs w:val="11"/>
                <w:color w:val="auto"/>
              </w:rPr>
              <w:t>243.40</w:t>
            </w:r>
          </w:p>
        </w:tc>
        <w:tc>
          <w:tcPr>
            <w:tcW w:w="340" w:type="dxa"/>
            <w:vAlign w:val="bottom"/>
          </w:tcPr>
          <w:p>
            <w:pPr>
              <w:spacing w:after="0"/>
              <w:rPr>
                <w:sz w:val="13"/>
                <w:szCs w:val="13"/>
                <w:color w:val="auto"/>
              </w:rPr>
            </w:pPr>
          </w:p>
        </w:tc>
        <w:tc>
          <w:tcPr>
            <w:tcW w:w="1500" w:type="dxa"/>
            <w:vAlign w:val="bottom"/>
          </w:tcPr>
          <w:p>
            <w:pPr>
              <w:jc w:val="right"/>
              <w:ind w:right="69"/>
              <w:spacing w:after="0"/>
              <w:rPr>
                <w:sz w:val="20"/>
                <w:szCs w:val="20"/>
                <w:color w:val="auto"/>
              </w:rPr>
            </w:pPr>
            <w:r>
              <w:rPr>
                <w:rFonts w:ascii="Arial" w:cs="Arial" w:eastAsia="Arial" w:hAnsi="Arial"/>
                <w:sz w:val="11"/>
                <w:szCs w:val="11"/>
                <w:color w:val="auto"/>
              </w:rPr>
              <w:t>205,000</w:t>
            </w:r>
          </w:p>
        </w:tc>
        <w:tc>
          <w:tcPr>
            <w:tcW w:w="3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ind w:right="69"/>
              <w:spacing w:after="0"/>
              <w:rPr>
                <w:sz w:val="20"/>
                <w:szCs w:val="20"/>
                <w:color w:val="auto"/>
              </w:rPr>
            </w:pPr>
            <w:r>
              <w:rPr>
                <w:rFonts w:ascii="Arial" w:cs="Arial" w:eastAsia="Arial" w:hAnsi="Arial"/>
                <w:sz w:val="11"/>
                <w:szCs w:val="11"/>
                <w:color w:val="auto"/>
              </w:rPr>
              <w:t>200,000,000</w:t>
            </w:r>
          </w:p>
        </w:tc>
      </w:tr>
      <w:tr>
        <w:trPr>
          <w:trHeight w:val="22"/>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58"/>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1, 2017 through December 31, 2017</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auto"/>
              </w:rPr>
              <w:t>—</w:t>
            </w:r>
          </w:p>
        </w:tc>
        <w:tc>
          <w:tcPr>
            <w:tcW w:w="184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EFF"/>
          </w:tcPr>
          <w:p>
            <w:pPr>
              <w:jc w:val="right"/>
              <w:ind w:right="69"/>
              <w:spacing w:after="0"/>
              <w:rPr>
                <w:sz w:val="20"/>
                <w:szCs w:val="20"/>
                <w:color w:val="auto"/>
              </w:rPr>
            </w:pPr>
            <w:r>
              <w:rPr>
                <w:rFonts w:ascii="Arial" w:cs="Arial" w:eastAsia="Arial" w:hAnsi="Arial"/>
                <w:sz w:val="11"/>
                <w:szCs w:val="11"/>
                <w:color w:val="auto"/>
              </w:rPr>
              <w:t>200,000,000</w:t>
            </w:r>
          </w:p>
        </w:tc>
      </w:tr>
      <w:tr>
        <w:trPr>
          <w:trHeight w:val="22"/>
        </w:trPr>
        <w:tc>
          <w:tcPr>
            <w:tcW w:w="46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r>
    </w:tbl>
    <w:p>
      <w:pPr>
        <w:spacing w:after="0" w:line="126" w:lineRule="exact"/>
        <w:rPr>
          <w:sz w:val="20"/>
          <w:szCs w:val="20"/>
          <w:color w:val="auto"/>
        </w:rPr>
      </w:pPr>
    </w:p>
    <w:p>
      <w:pPr>
        <w:ind w:left="108" w:hanging="108"/>
        <w:spacing w:after="0"/>
        <w:tabs>
          <w:tab w:leader="none" w:pos="108" w:val="left"/>
        </w:tabs>
        <w:numPr>
          <w:ilvl w:val="0"/>
          <w:numId w:val="16"/>
        </w:numPr>
        <w:rPr>
          <w:rFonts w:ascii="Arial" w:cs="Arial" w:eastAsia="Arial" w:hAnsi="Arial"/>
          <w:sz w:val="13"/>
          <w:szCs w:val="13"/>
          <w:b w:val="1"/>
          <w:bCs w:val="1"/>
          <w:color w:val="auto"/>
          <w:vertAlign w:val="superscript"/>
        </w:rPr>
      </w:pPr>
      <w:r>
        <w:rPr>
          <w:rFonts w:ascii="Arial" w:cs="Arial" w:eastAsia="Arial" w:hAnsi="Arial"/>
          <w:sz w:val="10"/>
          <w:szCs w:val="10"/>
          <w:b w:val="1"/>
          <w:bCs w:val="1"/>
          <w:i w:val="1"/>
          <w:iCs w:val="1"/>
          <w:color w:val="auto"/>
        </w:rPr>
        <w:t>Stock Repurchase Programs</w:t>
      </w:r>
    </w:p>
    <w:p>
      <w:pPr>
        <w:spacing w:after="0" w:line="97" w:lineRule="exact"/>
        <w:rPr>
          <w:rFonts w:ascii="Arial" w:cs="Arial" w:eastAsia="Arial" w:hAnsi="Arial"/>
          <w:sz w:val="13"/>
          <w:szCs w:val="13"/>
          <w:b w:val="1"/>
          <w:bCs w:val="1"/>
          <w:color w:val="auto"/>
          <w:vertAlign w:val="superscript"/>
        </w:rPr>
      </w:pPr>
    </w:p>
    <w:p>
      <w:pPr>
        <w:ind w:left="428" w:hanging="212"/>
        <w:spacing w:after="0"/>
        <w:tabs>
          <w:tab w:leader="none" w:pos="428" w:val="left"/>
        </w:tabs>
        <w:numPr>
          <w:ilvl w:val="1"/>
          <w:numId w:val="16"/>
        </w:numPr>
        <w:rPr>
          <w:rFonts w:ascii="Arial" w:cs="Arial" w:eastAsia="Arial" w:hAnsi="Arial"/>
          <w:sz w:val="11"/>
          <w:szCs w:val="11"/>
          <w:color w:val="auto"/>
        </w:rPr>
      </w:pPr>
      <w:r>
        <w:rPr>
          <w:rFonts w:ascii="Arial" w:cs="Arial" w:eastAsia="Arial" w:hAnsi="Arial"/>
          <w:sz w:val="11"/>
          <w:szCs w:val="11"/>
          <w:i w:val="1"/>
          <w:iCs w:val="1"/>
          <w:color w:val="auto"/>
        </w:rPr>
        <w:t xml:space="preserve">April 2014 Repurchase Program. </w:t>
      </w:r>
      <w:r>
        <w:rPr>
          <w:rFonts w:ascii="Arial" w:cs="Arial" w:eastAsia="Arial" w:hAnsi="Arial"/>
          <w:sz w:val="11"/>
          <w:szCs w:val="11"/>
          <w:color w:val="auto"/>
        </w:rPr>
        <w:t>In 2017, we repurchased shares of our common stock on the open market for an aggregate purchase price of approximately $3.8 million, completing the April 2014 Repurchase Program.</w:t>
      </w:r>
    </w:p>
    <w:p>
      <w:pPr>
        <w:spacing w:after="0" w:line="125" w:lineRule="exact"/>
        <w:rPr>
          <w:rFonts w:ascii="Arial" w:cs="Arial" w:eastAsia="Arial" w:hAnsi="Arial"/>
          <w:sz w:val="11"/>
          <w:szCs w:val="11"/>
          <w:color w:val="auto"/>
        </w:rPr>
      </w:pPr>
    </w:p>
    <w:p>
      <w:pPr>
        <w:ind w:left="428" w:hanging="212"/>
        <w:spacing w:after="0"/>
        <w:tabs>
          <w:tab w:leader="none" w:pos="428" w:val="left"/>
        </w:tabs>
        <w:numPr>
          <w:ilvl w:val="1"/>
          <w:numId w:val="16"/>
        </w:numPr>
        <w:rPr>
          <w:rFonts w:ascii="Arial" w:cs="Arial" w:eastAsia="Arial" w:hAnsi="Arial"/>
          <w:sz w:val="11"/>
          <w:szCs w:val="11"/>
          <w:color w:val="auto"/>
        </w:rPr>
      </w:pPr>
      <w:r>
        <w:rPr>
          <w:rFonts w:ascii="Arial" w:cs="Arial" w:eastAsia="Arial" w:hAnsi="Arial"/>
          <w:sz w:val="11"/>
          <w:szCs w:val="11"/>
          <w:i w:val="1"/>
          <w:iCs w:val="1"/>
          <w:color w:val="auto"/>
        </w:rPr>
        <w:t xml:space="preserve">April 2016 Repurchase Program. </w:t>
      </w:r>
      <w:r>
        <w:rPr>
          <w:rFonts w:ascii="Arial" w:cs="Arial" w:eastAsia="Arial" w:hAnsi="Arial"/>
          <w:sz w:val="11"/>
          <w:szCs w:val="11"/>
          <w:color w:val="auto"/>
        </w:rPr>
        <w:t>In 2017, we repurchased, $50.0 million of our common stock through an accelerated stock repurchase agreement and $50.0 million on the open market.</w:t>
      </w:r>
    </w:p>
    <w:p>
      <w:pPr>
        <w:spacing w:after="0" w:line="3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8"/>
          </w:cols>
          <w:pgMar w:left="212" w:top="1440" w:right="199" w:bottom="1440" w:gutter="0" w:footer="0" w:header="0"/>
        </w:sectPr>
      </w:pPr>
    </w:p>
    <w:bookmarkStart w:id="32" w:name="page33"/>
    <w:bookmarkEnd w:id="32"/>
    <w:p>
      <w:pPr>
        <w:ind w:left="420" w:hanging="212"/>
        <w:spacing w:after="0" w:line="307" w:lineRule="auto"/>
        <w:tabs>
          <w:tab w:leader="none" w:pos="420" w:val="left"/>
        </w:tabs>
        <w:numPr>
          <w:ilvl w:val="0"/>
          <w:numId w:val="17"/>
        </w:numPr>
        <w:rPr>
          <w:rFonts w:ascii="Arial" w:cs="Arial" w:eastAsia="Arial" w:hAnsi="Arial"/>
          <w:sz w:val="10"/>
          <w:szCs w:val="10"/>
          <w:color w:val="auto"/>
        </w:rPr>
      </w:pPr>
      <w:r>
        <w:rPr>
          <w:rFonts w:ascii="Arial" w:cs="Arial" w:eastAsia="Arial" w:hAnsi="Arial"/>
          <w:sz w:val="10"/>
          <w:szCs w:val="10"/>
          <w:i w:val="1"/>
          <w:iCs w:val="1"/>
          <w:color w:val="auto"/>
        </w:rPr>
        <w:t xml:space="preserve">Remaining Available Repurchases. </w:t>
      </w:r>
      <w:r>
        <w:rPr>
          <w:rFonts w:ascii="Arial" w:cs="Arial" w:eastAsia="Arial" w:hAnsi="Arial"/>
          <w:sz w:val="10"/>
          <w:szCs w:val="10"/>
          <w:color w:val="auto"/>
        </w:rPr>
        <w:t>As of December 31, 2017, we have $200.0 million remaining under the April 2016 Repurchase Program. In February 2018, we repurchased approximately 0.4 million shares on the open market for an aggregate purchase</w:t>
      </w:r>
      <w:r>
        <w:rPr>
          <w:rFonts w:ascii="Arial" w:cs="Arial" w:eastAsia="Arial" w:hAnsi="Arial"/>
          <w:sz w:val="10"/>
          <w:szCs w:val="10"/>
          <w:i w:val="1"/>
          <w:iCs w:val="1"/>
          <w:color w:val="auto"/>
        </w:rPr>
        <w:t xml:space="preserve"> </w:t>
      </w:r>
      <w:r>
        <w:rPr>
          <w:rFonts w:ascii="Arial" w:cs="Arial" w:eastAsia="Arial" w:hAnsi="Arial"/>
          <w:sz w:val="10"/>
          <w:szCs w:val="10"/>
          <w:color w:val="auto"/>
        </w:rPr>
        <w:t>price of $100 million, at an average share price of $252.24. (</w:t>
      </w:r>
      <w:r>
        <w:rPr>
          <w:rFonts w:ascii="Arial" w:cs="Arial" w:eastAsia="Arial" w:hAnsi="Arial"/>
          <w:sz w:val="10"/>
          <w:szCs w:val="10"/>
          <w:i w:val="1"/>
          <w:iCs w:val="1"/>
          <w:color w:val="auto"/>
        </w:rPr>
        <w:t>Refer to Note 10 "Common Stock Repurchase Program" of the Notes to Consolidated Financial Statements</w:t>
      </w:r>
      <w:r>
        <w:rPr>
          <w:rFonts w:ascii="Arial" w:cs="Arial" w:eastAsia="Arial" w:hAnsi="Arial"/>
          <w:sz w:val="10"/>
          <w:szCs w:val="10"/>
          <w:color w:val="auto"/>
        </w:rPr>
        <w:t xml:space="preserve"> for details on stock repurchase program).</w:t>
      </w:r>
    </w:p>
    <w:p>
      <w:pPr>
        <w:spacing w:after="0" w:line="94" w:lineRule="exact"/>
        <w:rPr>
          <w:sz w:val="20"/>
          <w:szCs w:val="20"/>
          <w:color w:val="auto"/>
        </w:rPr>
      </w:pPr>
    </w:p>
    <w:p>
      <w:pPr>
        <w:spacing w:after="0"/>
        <w:tabs>
          <w:tab w:leader="none" w:pos="10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2"/>
          <w:szCs w:val="12"/>
          <w:b w:val="1"/>
          <w:bCs w:val="1"/>
          <w:color w:val="auto"/>
        </w:rPr>
        <w:t>SELECTED CONSOLIDATED FINANCIAL DATA</w:t>
      </w:r>
    </w:p>
    <w:p>
      <w:pPr>
        <w:spacing w:after="0" w:line="163" w:lineRule="exact"/>
        <w:rPr>
          <w:sz w:val="20"/>
          <w:szCs w:val="20"/>
          <w:color w:val="auto"/>
        </w:rPr>
      </w:pPr>
    </w:p>
    <w:p>
      <w:pPr>
        <w:jc w:val="both"/>
        <w:ind w:firstLine="288"/>
        <w:spacing w:after="0" w:line="327" w:lineRule="auto"/>
        <w:rPr>
          <w:sz w:val="20"/>
          <w:szCs w:val="20"/>
          <w:color w:val="auto"/>
        </w:rPr>
      </w:pPr>
      <w:r>
        <w:rPr>
          <w:rFonts w:ascii="Arial" w:cs="Arial" w:eastAsia="Arial" w:hAnsi="Arial"/>
          <w:sz w:val="10"/>
          <w:szCs w:val="10"/>
          <w:color w:val="auto"/>
        </w:rPr>
        <w:t xml:space="preserve">The following tables set forth the selected consolidated financial data for each of the years in the five-year period ended December 31, 2017. The selected consolidated financial data should be read in conjunction with the consolidated financial statements and accompanying notes and </w:t>
      </w:r>
      <w:r>
        <w:rPr>
          <w:rFonts w:ascii="Arial" w:cs="Arial" w:eastAsia="Arial" w:hAnsi="Arial"/>
          <w:sz w:val="10"/>
          <w:szCs w:val="10"/>
          <w:i w:val="1"/>
          <w:iCs w:val="1"/>
          <w:color w:val="auto"/>
        </w:rPr>
        <w:t>Management’s Discussion and Analysis of Financial Condition and Results of Operations</w:t>
      </w:r>
      <w:r>
        <w:rPr>
          <w:rFonts w:ascii="Arial" w:cs="Arial" w:eastAsia="Arial" w:hAnsi="Arial"/>
          <w:sz w:val="10"/>
          <w:szCs w:val="10"/>
          <w:color w:val="auto"/>
        </w:rPr>
        <w:t>. We have derived the statements of operations data for the year ended December 31, 2017, 2016 and 2015 and the balance sheet data as of December 31, 2017 and 2016 from the consolidated audited financial statements included elsewhere in this Annual Report on Form 10-K. The statements of operations data for the year ended December 31, 2014 and 2013 and the balance sheet data as of December 31, 2015, 2014 and 2013 were derived from the consolidated audited financial statements that are not included in this Annual Report on Form 10-K.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CONSOLIDATED FINANCIAL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42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0"/>
                <w:szCs w:val="10"/>
                <w:b w:val="1"/>
                <w:bCs w:val="1"/>
                <w:color w:val="auto"/>
                <w:w w:val="87"/>
              </w:rPr>
              <w:t>Year Ended December 31,</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0"/>
                <w:szCs w:val="10"/>
                <w:b w:val="1"/>
                <w:bCs w:val="1"/>
                <w:color w:val="auto"/>
              </w:rPr>
              <w:t>2013</w:t>
            </w:r>
          </w:p>
        </w:tc>
        <w:tc>
          <w:tcPr>
            <w:tcW w:w="0" w:type="dxa"/>
            <w:vAlign w:val="bottom"/>
          </w:tcPr>
          <w:p>
            <w:pPr>
              <w:spacing w:after="0"/>
              <w:rPr>
                <w:sz w:val="1"/>
                <w:szCs w:val="1"/>
                <w:color w:val="auto"/>
              </w:rPr>
            </w:pPr>
          </w:p>
        </w:tc>
      </w:tr>
      <w:tr>
        <w:trPr>
          <w:trHeight w:val="142"/>
        </w:trPr>
        <w:tc>
          <w:tcPr>
            <w:tcW w:w="5000" w:type="dxa"/>
            <w:vAlign w:val="bottom"/>
            <w:gridSpan w:val="3"/>
          </w:tcPr>
          <w:p>
            <w:pPr>
              <w:ind w:left="20"/>
              <w:spacing w:after="0"/>
              <w:rPr>
                <w:sz w:val="20"/>
                <w:szCs w:val="20"/>
                <w:color w:val="auto"/>
              </w:rPr>
            </w:pPr>
            <w:r>
              <w:rPr>
                <w:rFonts w:ascii="Arial" w:cs="Arial" w:eastAsia="Arial" w:hAnsi="Arial"/>
                <w:sz w:val="12"/>
                <w:szCs w:val="12"/>
                <w:b w:val="1"/>
                <w:bCs w:val="1"/>
                <w:color w:val="auto"/>
              </w:rPr>
              <w:t>Consolidated Statements of Operations Data:</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gridSpan w:val="2"/>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w w:val="95"/>
              </w:rPr>
              <w:t>Net revenues</w:t>
            </w:r>
          </w:p>
        </w:tc>
        <w:tc>
          <w:tcPr>
            <w:tcW w:w="4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1,473,413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1,079,874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845,486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761,653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660,206</w:t>
            </w:r>
          </w:p>
        </w:tc>
        <w:tc>
          <w:tcPr>
            <w:tcW w:w="0" w:type="dxa"/>
            <w:vAlign w:val="bottom"/>
          </w:tcPr>
          <w:p>
            <w:pPr>
              <w:spacing w:after="0"/>
              <w:rPr>
                <w:sz w:val="1"/>
                <w:szCs w:val="1"/>
                <w:color w:val="auto"/>
              </w:rPr>
            </w:pPr>
          </w:p>
        </w:tc>
      </w:tr>
      <w:tr>
        <w:trPr>
          <w:trHeight w:val="183"/>
        </w:trPr>
        <w:tc>
          <w:tcPr>
            <w:tcW w:w="720" w:type="dxa"/>
            <w:vAlign w:val="bottom"/>
            <w:gridSpan w:val="2"/>
          </w:tcPr>
          <w:p>
            <w:pPr>
              <w:ind w:left="20"/>
              <w:spacing w:after="0"/>
              <w:rPr>
                <w:sz w:val="20"/>
                <w:szCs w:val="20"/>
                <w:color w:val="auto"/>
              </w:rPr>
            </w:pPr>
            <w:r>
              <w:rPr>
                <w:rFonts w:ascii="Arial" w:cs="Arial" w:eastAsia="Arial" w:hAnsi="Arial"/>
                <w:sz w:val="12"/>
                <w:szCs w:val="12"/>
                <w:color w:val="auto"/>
                <w:w w:val="88"/>
              </w:rPr>
              <w:t xml:space="preserve">Gross profit </w:t>
            </w:r>
            <w:r>
              <w:rPr>
                <w:rFonts w:ascii="Arial" w:cs="Arial" w:eastAsia="Arial" w:hAnsi="Arial"/>
                <w:sz w:val="14"/>
                <w:szCs w:val="14"/>
                <w:color w:val="auto"/>
                <w:w w:val="88"/>
                <w:vertAlign w:val="superscript"/>
              </w:rPr>
              <w:t>(1)</w:t>
            </w:r>
          </w:p>
        </w:tc>
        <w:tc>
          <w:tcPr>
            <w:tcW w:w="4280" w:type="dxa"/>
            <w:vAlign w:val="bottom"/>
          </w:tcPr>
          <w:p>
            <w:pPr>
              <w:spacing w:after="0"/>
              <w:rPr>
                <w:sz w:val="15"/>
                <w:szCs w:val="15"/>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1,116,947</w:t>
            </w:r>
          </w:p>
        </w:tc>
        <w:tc>
          <w:tcPr>
            <w:tcW w:w="10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815,294</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640,110</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578,443</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498,106</w:t>
            </w:r>
          </w:p>
        </w:tc>
        <w:tc>
          <w:tcPr>
            <w:tcW w:w="0" w:type="dxa"/>
            <w:vAlign w:val="bottom"/>
          </w:tcPr>
          <w:p>
            <w:pPr>
              <w:spacing w:after="0"/>
              <w:rPr>
                <w:sz w:val="1"/>
                <w:szCs w:val="1"/>
                <w:color w:val="auto"/>
              </w:rPr>
            </w:pPr>
          </w:p>
        </w:tc>
      </w:tr>
      <w:tr>
        <w:trPr>
          <w:trHeight w:val="180"/>
        </w:trPr>
        <w:tc>
          <w:tcPr>
            <w:tcW w:w="50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 xml:space="preserve">Income from operations </w:t>
            </w:r>
            <w:r>
              <w:rPr>
                <w:rFonts w:ascii="Arial" w:cs="Arial" w:eastAsia="Arial" w:hAnsi="Arial"/>
                <w:sz w:val="14"/>
                <w:szCs w:val="14"/>
                <w:color w:val="auto"/>
                <w:vertAlign w:val="superscript"/>
              </w:rPr>
              <w:t>(2)</w:t>
            </w: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353,611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248,921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188,634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193,576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94,212</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Interest and other income (expense), net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11,188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(6,355)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(2,533)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(3,207)</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(1,073)</w:t>
            </w:r>
          </w:p>
        </w:tc>
        <w:tc>
          <w:tcPr>
            <w:tcW w:w="0" w:type="dxa"/>
            <w:vAlign w:val="bottom"/>
          </w:tcPr>
          <w:p>
            <w:pPr>
              <w:spacing w:after="0"/>
              <w:rPr>
                <w:sz w:val="1"/>
                <w:szCs w:val="1"/>
                <w:color w:val="auto"/>
              </w:rPr>
            </w:pPr>
          </w:p>
        </w:tc>
      </w:tr>
      <w:tr>
        <w:trPr>
          <w:trHeight w:val="178"/>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xml:space="preserve">Net income before provision for income taxes and equity in losses of investee </w:t>
            </w:r>
            <w:r>
              <w:rPr>
                <w:rFonts w:ascii="Arial" w:cs="Arial" w:eastAsia="Arial" w:hAnsi="Arial"/>
                <w:sz w:val="14"/>
                <w:szCs w:val="14"/>
                <w:color w:val="auto"/>
                <w:vertAlign w:val="superscript"/>
              </w:rPr>
              <w:t>(3)</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364,799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242,566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186,101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190,369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93,139</w:t>
            </w:r>
          </w:p>
        </w:tc>
        <w:tc>
          <w:tcPr>
            <w:tcW w:w="0" w:type="dxa"/>
            <w:vAlign w:val="bottom"/>
          </w:tcPr>
          <w:p>
            <w:pPr>
              <w:spacing w:after="0"/>
              <w:rPr>
                <w:sz w:val="1"/>
                <w:szCs w:val="1"/>
                <w:color w:val="auto"/>
              </w:rPr>
            </w:pPr>
          </w:p>
        </w:tc>
      </w:tr>
      <w:tr>
        <w:trPr>
          <w:trHeight w:val="180"/>
        </w:trPr>
        <w:tc>
          <w:tcPr>
            <w:tcW w:w="5000" w:type="dxa"/>
            <w:vAlign w:val="bottom"/>
            <w:gridSpan w:val="3"/>
          </w:tcPr>
          <w:p>
            <w:pPr>
              <w:ind w:left="20"/>
              <w:spacing w:after="0" w:line="180" w:lineRule="exact"/>
              <w:rPr>
                <w:sz w:val="20"/>
                <w:szCs w:val="20"/>
                <w:color w:val="auto"/>
              </w:rPr>
            </w:pPr>
            <w:r>
              <w:rPr>
                <w:rFonts w:ascii="Arial" w:cs="Arial" w:eastAsia="Arial" w:hAnsi="Arial"/>
                <w:sz w:val="12"/>
                <w:szCs w:val="12"/>
                <w:color w:val="auto"/>
              </w:rPr>
              <w:t xml:space="preserve">Provision for income taxes </w:t>
            </w:r>
            <w:r>
              <w:rPr>
                <w:rFonts w:ascii="Arial" w:cs="Arial" w:eastAsia="Arial" w:hAnsi="Arial"/>
                <w:sz w:val="16"/>
                <w:szCs w:val="16"/>
                <w:color w:val="auto"/>
                <w:vertAlign w:val="superscript"/>
              </w:rPr>
              <w:t>(4)</w:t>
            </w:r>
          </w:p>
        </w:tc>
        <w:tc>
          <w:tcPr>
            <w:tcW w:w="3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130,162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51,200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42,081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44,537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28,844</w:t>
            </w:r>
          </w:p>
        </w:tc>
        <w:tc>
          <w:tcPr>
            <w:tcW w:w="0" w:type="dxa"/>
            <w:vAlign w:val="bottom"/>
          </w:tcPr>
          <w:p>
            <w:pPr>
              <w:spacing w:after="0"/>
              <w:rPr>
                <w:sz w:val="1"/>
                <w:szCs w:val="1"/>
                <w:color w:val="auto"/>
              </w:rPr>
            </w:pPr>
          </w:p>
        </w:tc>
      </w:tr>
      <w:tr>
        <w:trPr>
          <w:trHeight w:val="180"/>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Equity in losses of investee, net of tax</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3,219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1,684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720" w:type="dxa"/>
            <w:vAlign w:val="bottom"/>
            <w:gridSpan w:val="2"/>
          </w:tcPr>
          <w:p>
            <w:pPr>
              <w:ind w:left="20"/>
              <w:spacing w:after="0"/>
              <w:rPr>
                <w:sz w:val="20"/>
                <w:szCs w:val="20"/>
                <w:color w:val="auto"/>
              </w:rPr>
            </w:pPr>
            <w:r>
              <w:rPr>
                <w:rFonts w:ascii="Arial" w:cs="Arial" w:eastAsia="Arial" w:hAnsi="Arial"/>
                <w:sz w:val="12"/>
                <w:szCs w:val="12"/>
                <w:color w:val="auto"/>
              </w:rPr>
              <w:t>Net income</w:t>
            </w:r>
          </w:p>
        </w:tc>
        <w:tc>
          <w:tcPr>
            <w:tcW w:w="4280" w:type="dxa"/>
            <w:vAlign w:val="bottom"/>
          </w:tcPr>
          <w:p>
            <w:pPr>
              <w:spacing w:after="0"/>
              <w:rPr>
                <w:sz w:val="15"/>
                <w:szCs w:val="15"/>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231,418</w:t>
            </w:r>
          </w:p>
        </w:tc>
        <w:tc>
          <w:tcPr>
            <w:tcW w:w="10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189,682</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144,020</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145,832</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64,295</w:t>
            </w:r>
          </w:p>
        </w:tc>
        <w:tc>
          <w:tcPr>
            <w:tcW w:w="0" w:type="dxa"/>
            <w:vAlign w:val="bottom"/>
          </w:tcPr>
          <w:p>
            <w:pPr>
              <w:spacing w:after="0"/>
              <w:rPr>
                <w:sz w:val="1"/>
                <w:szCs w:val="1"/>
                <w:color w:val="auto"/>
              </w:rPr>
            </w:pPr>
          </w:p>
        </w:tc>
      </w:tr>
      <w:tr>
        <w:trPr>
          <w:trHeight w:val="160"/>
        </w:trPr>
        <w:tc>
          <w:tcPr>
            <w:tcW w:w="5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Net income per share:</w:t>
            </w: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Basic</w:t>
            </w:r>
          </w:p>
        </w:tc>
        <w:tc>
          <w:tcPr>
            <w:tcW w:w="4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1.81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80"/>
        </w:trPr>
        <w:tc>
          <w:tcPr>
            <w:tcW w:w="720" w:type="dxa"/>
            <w:vAlign w:val="bottom"/>
            <w:tcBorders>
              <w:top w:val="single" w:sz="8" w:color="CCEEFF"/>
              <w:bottom w:val="single" w:sz="8" w:color="CCEEFF"/>
            </w:tcBorders>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Diluted</w:t>
            </w:r>
          </w:p>
        </w:tc>
        <w:tc>
          <w:tcPr>
            <w:tcW w:w="4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0.78</w:t>
            </w:r>
          </w:p>
        </w:tc>
        <w:tc>
          <w:tcPr>
            <w:tcW w:w="0" w:type="dxa"/>
            <w:vAlign w:val="bottom"/>
          </w:tcPr>
          <w:p>
            <w:pPr>
              <w:spacing w:after="0"/>
              <w:rPr>
                <w:sz w:val="1"/>
                <w:szCs w:val="1"/>
                <w:color w:val="auto"/>
              </w:rPr>
            </w:pPr>
          </w:p>
        </w:tc>
      </w:tr>
      <w:tr>
        <w:trPr>
          <w:trHeight w:val="140"/>
        </w:trPr>
        <w:tc>
          <w:tcPr>
            <w:tcW w:w="5000" w:type="dxa"/>
            <w:vAlign w:val="bottom"/>
            <w:gridSpan w:val="3"/>
          </w:tcPr>
          <w:p>
            <w:pPr>
              <w:ind w:left="20"/>
              <w:spacing w:after="0"/>
              <w:rPr>
                <w:sz w:val="20"/>
                <w:szCs w:val="20"/>
                <w:color w:val="auto"/>
              </w:rPr>
            </w:pPr>
            <w:r>
              <w:rPr>
                <w:rFonts w:ascii="Arial" w:cs="Arial" w:eastAsia="Arial" w:hAnsi="Arial"/>
                <w:sz w:val="12"/>
                <w:szCs w:val="12"/>
                <w:color w:val="auto"/>
              </w:rPr>
              <w:t>Shares used in computing net income per share:</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720" w:type="dxa"/>
            <w:vAlign w:val="bottom"/>
            <w:gridSpan w:val="2"/>
          </w:tcPr>
          <w:p>
            <w:pPr>
              <w:spacing w:after="0"/>
              <w:rPr>
                <w:sz w:val="3"/>
                <w:szCs w:val="3"/>
                <w:color w:val="auto"/>
              </w:rPr>
            </w:pPr>
          </w:p>
        </w:tc>
        <w:tc>
          <w:tcPr>
            <w:tcW w:w="4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4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80,085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79,856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79,998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80,754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80,551</w:t>
            </w:r>
          </w:p>
        </w:tc>
        <w:tc>
          <w:tcPr>
            <w:tcW w:w="0" w:type="dxa"/>
            <w:vAlign w:val="bottom"/>
          </w:tcPr>
          <w:p>
            <w:pPr>
              <w:spacing w:after="0"/>
              <w:rPr>
                <w:sz w:val="1"/>
                <w:szCs w:val="1"/>
                <w:color w:val="auto"/>
              </w:rPr>
            </w:pPr>
          </w:p>
        </w:tc>
      </w:tr>
      <w:tr>
        <w:trPr>
          <w:trHeight w:val="171"/>
        </w:trPr>
        <w:tc>
          <w:tcPr>
            <w:tcW w:w="720" w:type="dxa"/>
            <w:vAlign w:val="bottom"/>
            <w:gridSpan w:val="2"/>
          </w:tcPr>
          <w:p>
            <w:pPr>
              <w:ind w:left="20"/>
              <w:spacing w:after="0"/>
              <w:rPr>
                <w:sz w:val="20"/>
                <w:szCs w:val="20"/>
                <w:color w:val="auto"/>
              </w:rPr>
            </w:pPr>
            <w:r>
              <w:rPr>
                <w:rFonts w:ascii="Arial" w:cs="Arial" w:eastAsia="Arial" w:hAnsi="Arial"/>
                <w:sz w:val="12"/>
                <w:szCs w:val="12"/>
                <w:color w:val="auto"/>
              </w:rPr>
              <w:t>Diluted</w:t>
            </w: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81,832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81,484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81,521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82,283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82,589</w:t>
            </w: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6"/>
              </w:rPr>
              <w:t>December 31,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0"/>
                <w:szCs w:val="10"/>
                <w:b w:val="1"/>
                <w:bCs w:val="1"/>
                <w:color w:val="auto"/>
              </w:rPr>
              <w:t>2013</w:t>
            </w:r>
          </w:p>
        </w:tc>
        <w:tc>
          <w:tcPr>
            <w:tcW w:w="0" w:type="dxa"/>
            <w:vAlign w:val="bottom"/>
          </w:tcPr>
          <w:p>
            <w:pPr>
              <w:spacing w:after="0"/>
              <w:rPr>
                <w:sz w:val="1"/>
                <w:szCs w:val="1"/>
                <w:color w:val="auto"/>
              </w:rPr>
            </w:pPr>
          </w:p>
        </w:tc>
      </w:tr>
      <w:tr>
        <w:trPr>
          <w:trHeight w:val="142"/>
        </w:trPr>
        <w:tc>
          <w:tcPr>
            <w:tcW w:w="5000" w:type="dxa"/>
            <w:vAlign w:val="bottom"/>
            <w:gridSpan w:val="3"/>
          </w:tcPr>
          <w:p>
            <w:pPr>
              <w:ind w:left="20"/>
              <w:spacing w:after="0"/>
              <w:rPr>
                <w:sz w:val="20"/>
                <w:szCs w:val="20"/>
                <w:color w:val="auto"/>
              </w:rPr>
            </w:pPr>
            <w:r>
              <w:rPr>
                <w:rFonts w:ascii="Arial" w:cs="Arial" w:eastAsia="Arial" w:hAnsi="Arial"/>
                <w:sz w:val="12"/>
                <w:szCs w:val="12"/>
                <w:b w:val="1"/>
                <w:bCs w:val="1"/>
                <w:color w:val="auto"/>
              </w:rPr>
              <w:t>Consolidated Balance Sheet Data:</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xml:space="preserve">Working capital </w:t>
            </w:r>
            <w:r>
              <w:rPr>
                <w:rFonts w:ascii="Arial" w:cs="Arial" w:eastAsia="Arial" w:hAnsi="Arial"/>
                <w:sz w:val="14"/>
                <w:szCs w:val="14"/>
                <w:color w:val="auto"/>
                <w:vertAlign w:val="superscript"/>
              </w:rPr>
              <w:t>(5)</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659,187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598,643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460,338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455,349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369,338</w:t>
            </w:r>
          </w:p>
        </w:tc>
        <w:tc>
          <w:tcPr>
            <w:tcW w:w="0" w:type="dxa"/>
            <w:vAlign w:val="bottom"/>
          </w:tcPr>
          <w:p>
            <w:pPr>
              <w:spacing w:after="0"/>
              <w:rPr>
                <w:sz w:val="1"/>
                <w:szCs w:val="1"/>
                <w:color w:val="auto"/>
              </w:rPr>
            </w:pPr>
          </w:p>
        </w:tc>
      </w:tr>
      <w:tr>
        <w:trPr>
          <w:trHeight w:val="171"/>
        </w:trPr>
        <w:tc>
          <w:tcPr>
            <w:tcW w:w="720" w:type="dxa"/>
            <w:vAlign w:val="bottom"/>
            <w:gridSpan w:val="2"/>
          </w:tcPr>
          <w:p>
            <w:pPr>
              <w:ind w:left="20"/>
              <w:spacing w:after="0"/>
              <w:rPr>
                <w:sz w:val="20"/>
                <w:szCs w:val="20"/>
                <w:color w:val="auto"/>
              </w:rPr>
            </w:pPr>
            <w:r>
              <w:rPr>
                <w:rFonts w:ascii="Arial" w:cs="Arial" w:eastAsia="Arial" w:hAnsi="Arial"/>
                <w:sz w:val="12"/>
                <w:szCs w:val="12"/>
                <w:color w:val="auto"/>
              </w:rPr>
              <w:t>Total assets</w:t>
            </w: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1,777,856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1,396,151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1,158,633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987,997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832,147</w:t>
            </w:r>
          </w:p>
        </w:tc>
        <w:tc>
          <w:tcPr>
            <w:tcW w:w="0" w:type="dxa"/>
            <w:vAlign w:val="bottom"/>
          </w:tcPr>
          <w:p>
            <w:pPr>
              <w:spacing w:after="0"/>
              <w:rPr>
                <w:sz w:val="1"/>
                <w:szCs w:val="1"/>
                <w:color w:val="auto"/>
              </w:rPr>
            </w:pPr>
          </w:p>
        </w:tc>
      </w:tr>
      <w:tr>
        <w:trPr>
          <w:trHeight w:val="189"/>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long-term liabilities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129,670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46,427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39,035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33,415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22,839</w:t>
            </w:r>
          </w:p>
        </w:tc>
        <w:tc>
          <w:tcPr>
            <w:tcW w:w="0" w:type="dxa"/>
            <w:vAlign w:val="bottom"/>
          </w:tcPr>
          <w:p>
            <w:pPr>
              <w:spacing w:after="0"/>
              <w:rPr>
                <w:sz w:val="1"/>
                <w:szCs w:val="1"/>
                <w:color w:val="auto"/>
              </w:rPr>
            </w:pPr>
          </w:p>
        </w:tc>
      </w:tr>
      <w:tr>
        <w:trPr>
          <w:trHeight w:val="162"/>
        </w:trPr>
        <w:tc>
          <w:tcPr>
            <w:tcW w:w="5000" w:type="dxa"/>
            <w:vAlign w:val="bottom"/>
            <w:gridSpan w:val="3"/>
          </w:tcPr>
          <w:p>
            <w:pPr>
              <w:ind w:left="20"/>
              <w:spacing w:after="0"/>
              <w:rPr>
                <w:sz w:val="20"/>
                <w:szCs w:val="20"/>
                <w:color w:val="auto"/>
              </w:rPr>
            </w:pPr>
            <w:r>
              <w:rPr>
                <w:rFonts w:ascii="Arial" w:cs="Arial" w:eastAsia="Arial" w:hAnsi="Arial"/>
                <w:sz w:val="12"/>
                <w:szCs w:val="12"/>
                <w:color w:val="auto"/>
              </w:rPr>
              <w:t>Stockholders’ equity</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1,150,370</w:t>
            </w:r>
          </w:p>
        </w:tc>
        <w:tc>
          <w:tcPr>
            <w:tcW w:w="10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995,389</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847,926</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752,771</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633,970</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0"/>
                <w:szCs w:val="20"/>
                <w:color w:val="auto"/>
              </w:rPr>
            </w:pPr>
            <w:r>
              <w:rPr>
                <w:rFonts w:ascii="Arial" w:cs="Arial" w:eastAsia="Arial" w:hAnsi="Arial"/>
                <w:sz w:val="7"/>
                <w:szCs w:val="7"/>
                <w:color w:val="auto"/>
              </w:rPr>
              <w:t>(1)</w:t>
            </w:r>
          </w:p>
        </w:tc>
        <w:tc>
          <w:tcPr>
            <w:tcW w:w="4860" w:type="dxa"/>
            <w:vAlign w:val="bottom"/>
            <w:gridSpan w:val="2"/>
            <w:vMerge w:val="restart"/>
          </w:tcPr>
          <w:p>
            <w:pPr>
              <w:ind w:left="60"/>
              <w:spacing w:after="0"/>
              <w:rPr>
                <w:sz w:val="20"/>
                <w:szCs w:val="20"/>
                <w:color w:val="auto"/>
              </w:rPr>
            </w:pPr>
            <w:r>
              <w:rPr>
                <w:rFonts w:ascii="Arial" w:cs="Arial" w:eastAsia="Arial" w:hAnsi="Arial"/>
                <w:sz w:val="11"/>
                <w:szCs w:val="11"/>
                <w:color w:val="auto"/>
              </w:rPr>
              <w:t>Gross profit includes: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48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4280" w:type="dxa"/>
            <w:vAlign w:val="bottom"/>
          </w:tcPr>
          <w:p>
            <w:pPr>
              <w:ind w:left="20"/>
              <w:spacing w:after="0"/>
              <w:rPr>
                <w:sz w:val="20"/>
                <w:szCs w:val="20"/>
                <w:color w:val="auto"/>
              </w:rPr>
            </w:pPr>
            <w:r>
              <w:rPr>
                <w:rFonts w:ascii="Arial" w:cs="Arial" w:eastAsia="Arial" w:hAnsi="Arial"/>
                <w:sz w:val="11"/>
                <w:szCs w:val="11"/>
                <w:color w:val="auto"/>
              </w:rPr>
              <w:t>$1.7 million out of period adjustment in 2013</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0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585" w:right="199" w:bottom="1440" w:gutter="0" w:footer="0" w:header="0"/>
        </w:sectPr>
      </w:pPr>
    </w:p>
    <w:bookmarkStart w:id="33" w:name="page34"/>
    <w:bookmarkEnd w:id="33"/>
    <w:p>
      <w:pPr>
        <w:ind w:left="148" w:hanging="112"/>
        <w:spacing w:after="0"/>
        <w:tabs>
          <w:tab w:leader="none" w:pos="148" w:val="left"/>
        </w:tabs>
        <w:numPr>
          <w:ilvl w:val="1"/>
          <w:numId w:val="18"/>
        </w:numPr>
        <w:rPr>
          <w:rFonts w:ascii="Arial" w:cs="Arial" w:eastAsia="Arial" w:hAnsi="Arial"/>
          <w:sz w:val="13"/>
          <w:szCs w:val="13"/>
          <w:color w:val="auto"/>
          <w:vertAlign w:val="superscript"/>
        </w:rPr>
      </w:pPr>
      <w:r>
        <w:rPr>
          <w:rFonts w:ascii="Arial" w:cs="Arial" w:eastAsia="Arial" w:hAnsi="Arial"/>
          <w:sz w:val="10"/>
          <w:szCs w:val="10"/>
          <w:color w:val="auto"/>
        </w:rPr>
        <w:t>Income from operations includes:</w:t>
      </w:r>
    </w:p>
    <w:p>
      <w:pPr>
        <w:spacing w:after="0" w:line="115" w:lineRule="exact"/>
        <w:rPr>
          <w:rFonts w:ascii="Arial" w:cs="Arial" w:eastAsia="Arial" w:hAnsi="Arial"/>
          <w:sz w:val="13"/>
          <w:szCs w:val="13"/>
          <w:color w:val="auto"/>
          <w:vertAlign w:val="superscript"/>
        </w:rPr>
      </w:pPr>
    </w:p>
    <w:p>
      <w:pPr>
        <w:ind w:left="748" w:hanging="208"/>
        <w:spacing w:after="0"/>
        <w:tabs>
          <w:tab w:leader="none" w:pos="748" w:val="left"/>
        </w:tabs>
        <w:numPr>
          <w:ilvl w:val="2"/>
          <w:numId w:val="18"/>
        </w:numPr>
        <w:rPr>
          <w:rFonts w:ascii="Arial" w:cs="Arial" w:eastAsia="Arial" w:hAnsi="Arial"/>
          <w:sz w:val="11"/>
          <w:szCs w:val="11"/>
          <w:color w:val="auto"/>
        </w:rPr>
      </w:pPr>
      <w:r>
        <w:rPr>
          <w:rFonts w:ascii="Arial" w:cs="Arial" w:eastAsia="Arial" w:hAnsi="Arial"/>
          <w:sz w:val="11"/>
          <w:szCs w:val="11"/>
          <w:color w:val="auto"/>
        </w:rPr>
        <w:t>$40.7 million and $26.3 million of goodwill and long-lived asset impairment, respectively, in 2013</w:t>
      </w:r>
    </w:p>
    <w:p>
      <w:pPr>
        <w:spacing w:after="0" w:line="7" w:lineRule="exact"/>
        <w:rPr>
          <w:rFonts w:ascii="Arial" w:cs="Arial" w:eastAsia="Arial" w:hAnsi="Arial"/>
          <w:sz w:val="11"/>
          <w:szCs w:val="11"/>
          <w:color w:val="auto"/>
        </w:rPr>
      </w:pPr>
    </w:p>
    <w:p>
      <w:pPr>
        <w:ind w:left="748" w:hanging="208"/>
        <w:spacing w:after="0"/>
        <w:tabs>
          <w:tab w:leader="none" w:pos="748" w:val="left"/>
        </w:tabs>
        <w:numPr>
          <w:ilvl w:val="2"/>
          <w:numId w:val="18"/>
        </w:numPr>
        <w:rPr>
          <w:rFonts w:ascii="Arial" w:cs="Arial" w:eastAsia="Arial" w:hAnsi="Arial"/>
          <w:sz w:val="11"/>
          <w:szCs w:val="11"/>
          <w:color w:val="auto"/>
        </w:rPr>
      </w:pPr>
      <w:r>
        <w:rPr>
          <w:rFonts w:ascii="Arial" w:cs="Arial" w:eastAsia="Arial" w:hAnsi="Arial"/>
          <w:sz w:val="11"/>
          <w:szCs w:val="11"/>
          <w:color w:val="auto"/>
        </w:rPr>
        <w:t>$1.9 million, net of tax, out of period adjustment in 2013</w:t>
      </w:r>
    </w:p>
    <w:p>
      <w:pPr>
        <w:spacing w:after="0" w:line="230" w:lineRule="exact"/>
        <w:rPr>
          <w:rFonts w:ascii="Arial" w:cs="Arial" w:eastAsia="Arial" w:hAnsi="Arial"/>
          <w:sz w:val="11"/>
          <w:szCs w:val="11"/>
          <w:color w:val="auto"/>
        </w:rPr>
      </w:pPr>
    </w:p>
    <w:p>
      <w:pPr>
        <w:ind w:left="148" w:hanging="112"/>
        <w:spacing w:after="0"/>
        <w:tabs>
          <w:tab w:leader="none" w:pos="148" w:val="left"/>
        </w:tabs>
        <w:numPr>
          <w:ilvl w:val="1"/>
          <w:numId w:val="18"/>
        </w:numPr>
        <w:rPr>
          <w:rFonts w:ascii="Arial" w:cs="Arial" w:eastAsia="Arial" w:hAnsi="Arial"/>
          <w:sz w:val="13"/>
          <w:szCs w:val="13"/>
          <w:color w:val="auto"/>
          <w:vertAlign w:val="superscript"/>
        </w:rPr>
      </w:pPr>
      <w:r>
        <w:rPr>
          <w:rFonts w:ascii="Arial" w:cs="Arial" w:eastAsia="Arial" w:hAnsi="Arial"/>
          <w:sz w:val="10"/>
          <w:szCs w:val="10"/>
          <w:color w:val="auto"/>
        </w:rPr>
        <w:t>Net income before provision for income taxes and equity in losses of investee includes:</w:t>
      </w:r>
    </w:p>
    <w:p>
      <w:pPr>
        <w:spacing w:after="0" w:line="115" w:lineRule="exact"/>
        <w:rPr>
          <w:rFonts w:ascii="Arial" w:cs="Arial" w:eastAsia="Arial" w:hAnsi="Arial"/>
          <w:sz w:val="13"/>
          <w:szCs w:val="13"/>
          <w:color w:val="auto"/>
          <w:vertAlign w:val="superscript"/>
        </w:rPr>
      </w:pPr>
    </w:p>
    <w:p>
      <w:pPr>
        <w:ind w:left="748" w:hanging="208"/>
        <w:spacing w:after="0"/>
        <w:tabs>
          <w:tab w:leader="none" w:pos="748" w:val="left"/>
        </w:tabs>
        <w:numPr>
          <w:ilvl w:val="2"/>
          <w:numId w:val="18"/>
        </w:numPr>
        <w:rPr>
          <w:rFonts w:ascii="Arial" w:cs="Arial" w:eastAsia="Arial" w:hAnsi="Arial"/>
          <w:sz w:val="11"/>
          <w:szCs w:val="11"/>
          <w:color w:val="auto"/>
        </w:rPr>
      </w:pPr>
      <w:r>
        <w:rPr>
          <w:rFonts w:ascii="Arial" w:cs="Arial" w:eastAsia="Arial" w:hAnsi="Arial"/>
          <w:sz w:val="11"/>
          <w:szCs w:val="11"/>
          <w:color w:val="auto"/>
        </w:rPr>
        <w:t>$40.7 million and $26.3 million of goodwill and long-lived asset impairment, respectively, in 2013</w:t>
      </w:r>
    </w:p>
    <w:p>
      <w:pPr>
        <w:spacing w:after="0" w:line="7" w:lineRule="exact"/>
        <w:rPr>
          <w:rFonts w:ascii="Arial" w:cs="Arial" w:eastAsia="Arial" w:hAnsi="Arial"/>
          <w:sz w:val="11"/>
          <w:szCs w:val="11"/>
          <w:color w:val="auto"/>
        </w:rPr>
      </w:pPr>
    </w:p>
    <w:p>
      <w:pPr>
        <w:ind w:left="748" w:hanging="208"/>
        <w:spacing w:after="0"/>
        <w:tabs>
          <w:tab w:leader="none" w:pos="748" w:val="left"/>
        </w:tabs>
        <w:numPr>
          <w:ilvl w:val="2"/>
          <w:numId w:val="18"/>
        </w:numPr>
        <w:rPr>
          <w:rFonts w:ascii="Arial" w:cs="Arial" w:eastAsia="Arial" w:hAnsi="Arial"/>
          <w:sz w:val="11"/>
          <w:szCs w:val="11"/>
          <w:color w:val="auto"/>
        </w:rPr>
      </w:pPr>
      <w:r>
        <w:rPr>
          <w:rFonts w:ascii="Arial" w:cs="Arial" w:eastAsia="Arial" w:hAnsi="Arial"/>
          <w:sz w:val="11"/>
          <w:szCs w:val="11"/>
          <w:color w:val="auto"/>
        </w:rPr>
        <w:t>$1.9 million, net of tax, out of period adjustment in 2013</w:t>
      </w:r>
    </w:p>
    <w:p>
      <w:pPr>
        <w:spacing w:after="0" w:line="165" w:lineRule="exact"/>
        <w:rPr>
          <w:rFonts w:ascii="Arial" w:cs="Arial" w:eastAsia="Arial" w:hAnsi="Arial"/>
          <w:sz w:val="11"/>
          <w:szCs w:val="11"/>
          <w:color w:val="auto"/>
        </w:rPr>
      </w:pPr>
    </w:p>
    <w:p>
      <w:pPr>
        <w:ind w:left="208" w:hanging="208"/>
        <w:spacing w:after="0"/>
        <w:tabs>
          <w:tab w:leader="none" w:pos="208"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Provision for income taxes includes:</w:t>
      </w:r>
    </w:p>
    <w:p>
      <w:pPr>
        <w:spacing w:after="0" w:line="61" w:lineRule="exact"/>
        <w:rPr>
          <w:rFonts w:ascii="Arial" w:cs="Arial" w:eastAsia="Arial" w:hAnsi="Arial"/>
          <w:sz w:val="14"/>
          <w:szCs w:val="14"/>
          <w:color w:val="auto"/>
          <w:vertAlign w:val="superscript"/>
        </w:rPr>
      </w:pPr>
    </w:p>
    <w:p>
      <w:pPr>
        <w:ind w:left="748" w:hanging="208"/>
        <w:spacing w:after="0"/>
        <w:tabs>
          <w:tab w:leader="none" w:pos="748" w:val="left"/>
        </w:tabs>
        <w:numPr>
          <w:ilvl w:val="2"/>
          <w:numId w:val="19"/>
        </w:numPr>
        <w:rPr>
          <w:rFonts w:ascii="Arial" w:cs="Arial" w:eastAsia="Arial" w:hAnsi="Arial"/>
          <w:sz w:val="11"/>
          <w:szCs w:val="11"/>
          <w:color w:val="auto"/>
        </w:rPr>
      </w:pPr>
      <w:r>
        <w:rPr>
          <w:rFonts w:ascii="Arial" w:cs="Arial" w:eastAsia="Arial" w:hAnsi="Arial"/>
          <w:sz w:val="11"/>
          <w:szCs w:val="11"/>
          <w:color w:val="auto"/>
        </w:rPr>
        <w:t>$1.8 million out of period income tax adjustment in 2014</w:t>
      </w:r>
    </w:p>
    <w:p>
      <w:pPr>
        <w:spacing w:after="0" w:line="245" w:lineRule="exact"/>
        <w:rPr>
          <w:rFonts w:ascii="Arial" w:cs="Arial" w:eastAsia="Arial" w:hAnsi="Arial"/>
          <w:sz w:val="11"/>
          <w:szCs w:val="11"/>
          <w:color w:val="auto"/>
        </w:rPr>
      </w:pPr>
    </w:p>
    <w:p>
      <w:pPr>
        <w:ind w:left="208" w:hanging="208"/>
        <w:spacing w:after="0"/>
        <w:tabs>
          <w:tab w:leader="none" w:pos="208"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Working capital is calculated as the difference between total current assets and total current liabilities</w:t>
      </w:r>
    </w:p>
    <w:p>
      <w:pPr>
        <w:spacing w:after="0" w:line="148"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247"/>
          </w:cols>
          <w:pgMar w:left="212" w:top="427" w:right="1440"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63"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1"/>
          <w:szCs w:val="11"/>
          <w:i w:val="1"/>
          <w:iCs w:val="1"/>
          <w:color w:val="auto"/>
        </w:rPr>
        <w:t>Business Strategy</w:t>
      </w:r>
      <w:r>
        <w:rPr>
          <w:rFonts w:ascii="Arial" w:cs="Arial" w:eastAsia="Arial" w:hAnsi="Arial"/>
          <w:sz w:val="11"/>
          <w:szCs w:val="11"/>
          <w:color w:val="auto"/>
        </w:rPr>
        <w:t xml:space="preserve"> section in this Annual Report on Form 10-K.</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successful execution of our business strategy in 2018 and beyond may be affected by a number of other factors including:</w:t>
      </w:r>
    </w:p>
    <w:p>
      <w:pPr>
        <w:spacing w:after="0" w:line="150" w:lineRule="exact"/>
        <w:rPr>
          <w:sz w:val="20"/>
          <w:szCs w:val="20"/>
          <w:color w:val="auto"/>
        </w:rPr>
      </w:pPr>
    </w:p>
    <w:p>
      <w:pPr>
        <w:jc w:val="both"/>
        <w:ind w:left="640" w:hanging="324"/>
        <w:spacing w:after="0" w:line="283" w:lineRule="auto"/>
        <w:tabs>
          <w:tab w:leader="none" w:pos="640" w:val="left"/>
        </w:tabs>
        <w:numPr>
          <w:ilvl w:val="0"/>
          <w:numId w:val="20"/>
        </w:numPr>
        <w:rPr>
          <w:rFonts w:ascii="Arial" w:cs="Arial" w:eastAsia="Arial" w:hAnsi="Arial"/>
          <w:sz w:val="11"/>
          <w:szCs w:val="11"/>
          <w:color w:val="auto"/>
        </w:rPr>
      </w:pPr>
      <w:r>
        <w:rPr>
          <w:rFonts w:ascii="Arial" w:cs="Arial" w:eastAsia="Arial" w:hAnsi="Arial"/>
          <w:sz w:val="11"/>
          <w:szCs w:val="11"/>
          <w:i w:val="1"/>
          <w:iCs w:val="1"/>
          <w:color w:val="auto"/>
        </w:rPr>
        <w:t>New Products, Feature Enhancements and Technology Innovation</w:t>
      </w:r>
      <w:r>
        <w:rPr>
          <w:rFonts w:ascii="Arial" w:cs="Arial" w:eastAsia="Arial" w:hAnsi="Arial"/>
          <w:sz w:val="11"/>
          <w:szCs w:val="11"/>
          <w:color w:val="auto"/>
        </w:rPr>
        <w:t>. Product innovation drives greater treatment predictability and clinical applicability and ease of use for our customers which supports adoption of Invisalign</w:t>
      </w:r>
      <w:r>
        <w:rPr>
          <w:rFonts w:ascii="Arial" w:cs="Arial" w:eastAsia="Arial" w:hAnsi="Arial"/>
          <w:sz w:val="11"/>
          <w:szCs w:val="11"/>
          <w:i w:val="1"/>
          <w:iCs w:val="1"/>
          <w:color w:val="auto"/>
        </w:rPr>
        <w:t xml:space="preserve"> </w:t>
      </w:r>
      <w:r>
        <w:rPr>
          <w:rFonts w:ascii="Arial" w:cs="Arial" w:eastAsia="Arial" w:hAnsi="Arial"/>
          <w:sz w:val="11"/>
          <w:szCs w:val="11"/>
          <w:color w:val="auto"/>
        </w:rPr>
        <w:t>treatment in their practices. Our focus is to develop solutions and features to treat a wide range of cases from simple to complex. Most recently, in March 2017, we announced Invisalign Teen with mandibular advancement, the first clear aligner solution for Class II correction in growing tween and teen patients. This new offering combines the benefits of the most advanced clear aligner system in the world with features for moving the lower jaw forward while simultaneously aligning the teeth. Invisalign Teen with mandibular advancement is now available in Canada, and select Europe, Middle East and Africa ("EMEA"), Asia Pacific ("APAC") and Latin America ("LATAM") countries. Invisalign Teen with mandibular advancement is pending 510(k) clearance and is not yet available in the United States ("U.S.").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13" w:lineRule="exact"/>
        <w:rPr>
          <w:rFonts w:ascii="Arial" w:cs="Arial" w:eastAsia="Arial" w:hAnsi="Arial"/>
          <w:sz w:val="11"/>
          <w:szCs w:val="11"/>
          <w:color w:val="auto"/>
        </w:rPr>
      </w:pPr>
    </w:p>
    <w:p>
      <w:pPr>
        <w:ind w:left="640" w:right="20" w:hanging="324"/>
        <w:spacing w:after="0" w:line="276"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i w:val="1"/>
          <w:iCs w:val="1"/>
          <w:color w:val="auto"/>
        </w:rPr>
        <w:t xml:space="preserve">Invisalign Adoption. </w:t>
      </w:r>
      <w:r>
        <w:rPr>
          <w:rFonts w:ascii="Arial" w:cs="Arial" w:eastAsia="Arial" w:hAnsi="Arial"/>
          <w:sz w:val="12"/>
          <w:szCs w:val="12"/>
          <w:color w:val="auto"/>
        </w:rPr>
        <w:t>Our goal is to establish Invisalign as the treatment of choice for treating malocclusion ultimately driving increased product adoption and frequency of use by dental professionals, also known as "utilization</w:t>
      </w:r>
      <w:r>
        <w:rPr>
          <w:rFonts w:ascii="Arial" w:cs="Arial" w:eastAsia="Arial" w:hAnsi="Arial"/>
          <w:sz w:val="12"/>
          <w:szCs w:val="12"/>
          <w:i w:val="1"/>
          <w:iCs w:val="1"/>
          <w:color w:val="auto"/>
        </w:rPr>
        <w:t xml:space="preserve"> </w:t>
      </w:r>
      <w:r>
        <w:rPr>
          <w:rFonts w:ascii="Arial" w:cs="Arial" w:eastAsia="Arial" w:hAnsi="Arial"/>
          <w:sz w:val="12"/>
          <w:szCs w:val="12"/>
          <w:color w:val="auto"/>
        </w:rPr>
        <w:t>rates." Our quarterly utilization rates for the last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55880</wp:posOffset>
            </wp:positionV>
            <wp:extent cx="3460115" cy="193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60115" cy="193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hanging="95"/>
        <w:spacing w:after="0"/>
        <w:tabs>
          <w:tab w:leader="none" w:pos="1060" w:val="left"/>
        </w:tabs>
        <w:numPr>
          <w:ilvl w:val="0"/>
          <w:numId w:val="21"/>
        </w:numPr>
        <w:rPr>
          <w:rFonts w:ascii="Arial" w:cs="Arial" w:eastAsia="Arial" w:hAnsi="Arial"/>
          <w:sz w:val="6"/>
          <w:szCs w:val="6"/>
          <w:b w:val="1"/>
          <w:bCs w:val="1"/>
          <w:color w:val="auto"/>
        </w:rPr>
      </w:pPr>
      <w:r>
        <w:rPr>
          <w:rFonts w:ascii="Arial" w:cs="Arial" w:eastAsia="Arial" w:hAnsi="Arial"/>
          <w:sz w:val="10"/>
          <w:szCs w:val="10"/>
          <w:color w:val="auto"/>
        </w:rPr>
        <w:t>Invisalign Utilization Rates = # of cases shipped divided by # of doctors cases were shipped to</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649" w:right="199" w:bottom="1440" w:gutter="0" w:footer="0" w:header="0"/>
        </w:sectPr>
      </w:pPr>
    </w:p>
    <w:bookmarkStart w:id="35" w:name="page36"/>
    <w:bookmarkEnd w:id="35"/>
    <w:p>
      <w:pPr>
        <w:ind w:left="764" w:hanging="331"/>
        <w:spacing w:after="0"/>
        <w:tabs>
          <w:tab w:leader="none" w:pos="764" w:val="left"/>
        </w:tabs>
        <w:numPr>
          <w:ilvl w:val="0"/>
          <w:numId w:val="22"/>
        </w:numPr>
        <w:rPr>
          <w:rFonts w:ascii="Arial" w:cs="Arial" w:eastAsia="Arial" w:hAnsi="Arial"/>
          <w:sz w:val="12"/>
          <w:szCs w:val="12"/>
          <w:color w:val="auto"/>
        </w:rPr>
      </w:pPr>
      <w:r>
        <w:rPr>
          <w:rFonts w:ascii="Arial" w:cs="Arial" w:eastAsia="Arial" w:hAnsi="Arial"/>
          <w:sz w:val="12"/>
          <w:szCs w:val="12"/>
          <w:color w:val="auto"/>
        </w:rPr>
        <w:t>Total utilization in the fourth quarter of 2017 increased to 5.7 cases per doctor compared to 5.2 in the fourth quarter of 2016.</w:t>
      </w:r>
    </w:p>
    <w:p>
      <w:pPr>
        <w:spacing w:after="0" w:line="114" w:lineRule="exact"/>
        <w:rPr>
          <w:rFonts w:ascii="Arial" w:cs="Arial" w:eastAsia="Arial" w:hAnsi="Arial"/>
          <w:sz w:val="12"/>
          <w:szCs w:val="12"/>
          <w:color w:val="auto"/>
        </w:rPr>
      </w:pPr>
    </w:p>
    <w:p>
      <w:pPr>
        <w:jc w:val="both"/>
        <w:ind w:left="1184" w:hanging="319"/>
        <w:spacing w:after="0" w:line="263" w:lineRule="auto"/>
        <w:tabs>
          <w:tab w:leader="none" w:pos="1184" w:val="left"/>
        </w:tabs>
        <w:numPr>
          <w:ilvl w:val="1"/>
          <w:numId w:val="22"/>
        </w:numPr>
        <w:rPr>
          <w:rFonts w:ascii="Arial" w:cs="Arial" w:eastAsia="Arial" w:hAnsi="Arial"/>
          <w:sz w:val="12"/>
          <w:szCs w:val="12"/>
          <w:color w:val="auto"/>
        </w:rPr>
      </w:pPr>
      <w:r>
        <w:rPr>
          <w:rFonts w:ascii="Arial" w:cs="Arial" w:eastAsia="Arial" w:hAnsi="Arial"/>
          <w:sz w:val="12"/>
          <w:szCs w:val="12"/>
          <w:i w:val="1"/>
          <w:iCs w:val="1"/>
          <w:color w:val="auto"/>
        </w:rPr>
        <w:t xml:space="preserve">North America: </w:t>
      </w:r>
      <w:r>
        <w:rPr>
          <w:rFonts w:ascii="Arial" w:cs="Arial" w:eastAsia="Arial" w:hAnsi="Arial"/>
          <w:sz w:val="12"/>
          <w:szCs w:val="12"/>
          <w:color w:val="auto"/>
        </w:rPr>
        <w:t>Utilization among our North American orthodontist customers reached an all time high in the fourth quarter of 2017 at 14.0 cases per doctor. Compared to 11.3 cases per doctor utilized in the</w:t>
      </w:r>
      <w:r>
        <w:rPr>
          <w:rFonts w:ascii="Arial" w:cs="Arial" w:eastAsia="Arial" w:hAnsi="Arial"/>
          <w:sz w:val="12"/>
          <w:szCs w:val="12"/>
          <w:i w:val="1"/>
          <w:iCs w:val="1"/>
          <w:color w:val="auto"/>
        </w:rPr>
        <w:t xml:space="preserve"> </w:t>
      </w:r>
      <w:r>
        <w:rPr>
          <w:rFonts w:ascii="Arial" w:cs="Arial" w:eastAsia="Arial" w:hAnsi="Arial"/>
          <w:sz w:val="12"/>
          <w:szCs w:val="12"/>
          <w:color w:val="auto"/>
        </w:rPr>
        <w:t>fourth quarter of 2016, the increase in North America orthodontist utilization in the fourth quarter of 2017 reflects improvements in product and technology which continues to strengthen our doctors’ clinical confidence such that they now utilize Invisalign more often and on more complex cases, including their teenage patients.</w:t>
      </w:r>
    </w:p>
    <w:p>
      <w:pPr>
        <w:spacing w:after="0" w:line="86" w:lineRule="exact"/>
        <w:rPr>
          <w:rFonts w:ascii="Arial" w:cs="Arial" w:eastAsia="Arial" w:hAnsi="Arial"/>
          <w:sz w:val="12"/>
          <w:szCs w:val="12"/>
          <w:color w:val="auto"/>
        </w:rPr>
      </w:pPr>
    </w:p>
    <w:p>
      <w:pPr>
        <w:ind w:left="1184" w:hanging="319"/>
        <w:spacing w:after="0" w:line="276" w:lineRule="auto"/>
        <w:tabs>
          <w:tab w:leader="none" w:pos="1184" w:val="left"/>
        </w:tabs>
        <w:numPr>
          <w:ilvl w:val="1"/>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International: </w:t>
      </w:r>
      <w:r>
        <w:rPr>
          <w:rFonts w:ascii="Arial" w:cs="Arial" w:eastAsia="Arial" w:hAnsi="Arial"/>
          <w:sz w:val="12"/>
          <w:szCs w:val="12"/>
          <w:color w:val="auto"/>
        </w:rPr>
        <w:t>International doctor utilization of 5.2 cases per doctor in the fourth quarter of 2017 compared to 5.0 in the fourth quarter of 2016. The International utilization reflects growth in both the EMEA</w:t>
      </w:r>
      <w:r>
        <w:rPr>
          <w:rFonts w:ascii="Arial" w:cs="Arial" w:eastAsia="Arial" w:hAnsi="Arial"/>
          <w:sz w:val="12"/>
          <w:szCs w:val="12"/>
          <w:i w:val="1"/>
          <w:iCs w:val="1"/>
          <w:color w:val="auto"/>
        </w:rPr>
        <w:t xml:space="preserve"> </w:t>
      </w:r>
      <w:r>
        <w:rPr>
          <w:rFonts w:ascii="Arial" w:cs="Arial" w:eastAsia="Arial" w:hAnsi="Arial"/>
          <w:sz w:val="12"/>
          <w:szCs w:val="12"/>
          <w:color w:val="auto"/>
        </w:rPr>
        <w:t>and APAC regions due to increasing adoption of the product due in part to its ability to treat more complex cases.</w:t>
      </w:r>
    </w:p>
    <w:p>
      <w:pPr>
        <w:spacing w:after="0" w:line="79" w:lineRule="exact"/>
        <w:rPr>
          <w:sz w:val="20"/>
          <w:szCs w:val="20"/>
          <w:color w:val="auto"/>
        </w:rPr>
      </w:pPr>
    </w:p>
    <w:p>
      <w:pPr>
        <w:jc w:val="both"/>
        <w:ind w:left="324"/>
        <w:spacing w:after="0" w:line="259" w:lineRule="auto"/>
        <w:rPr>
          <w:sz w:val="20"/>
          <w:szCs w:val="20"/>
          <w:color w:val="auto"/>
        </w:rPr>
      </w:pPr>
      <w:r>
        <w:rPr>
          <w:rFonts w:ascii="Arial" w:cs="Arial" w:eastAsia="Arial" w:hAnsi="Arial"/>
          <w:sz w:val="12"/>
          <w:szCs w:val="12"/>
          <w:color w:val="auto"/>
        </w:rPr>
        <w:t>We expect that over the long-term our utilization rates will gradually improve as a result of advancements in product and technology, which continue to strengthen our doctors’ clinical confidence in the use of Invisalign. In addition, since the teenage market makes up 75% of the 10 million total orthodontic case starts each year and as we continue to drive adoption of teenage patients through sales and marketing programs, we expect our utilization rate to improve. In 2017, 25.5% of our volume was from teenagers starting treatment with Invisalign, an increase of 40.4% from 2016. Our utilization rates, however, may fluctuate from period to period due to a variety of factors, including seasonal trends in our business along with adoption rates of new products and features.</w:t>
      </w:r>
    </w:p>
    <w:p>
      <w:pPr>
        <w:spacing w:after="0" w:line="89" w:lineRule="exact"/>
        <w:rPr>
          <w:sz w:val="20"/>
          <w:szCs w:val="20"/>
          <w:color w:val="auto"/>
        </w:rPr>
      </w:pPr>
    </w:p>
    <w:p>
      <w:pPr>
        <w:ind w:left="324" w:hanging="324"/>
        <w:spacing w:after="0" w:line="276" w:lineRule="auto"/>
        <w:tabs>
          <w:tab w:leader="none" w:pos="324"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Number of New Invisalign Doctors Trained. </w:t>
      </w:r>
      <w:r>
        <w:rPr>
          <w:rFonts w:ascii="Arial" w:cs="Arial" w:eastAsia="Arial" w:hAnsi="Arial"/>
          <w:sz w:val="12"/>
          <w:szCs w:val="12"/>
          <w:color w:val="auto"/>
        </w:rPr>
        <w:t>We continue to expand our Invisalign customer base through the training of new doctors. In 2017, Invisalign growth was driven primarily by increased utilization across all regions</w:t>
      </w:r>
      <w:r>
        <w:rPr>
          <w:rFonts w:ascii="Arial" w:cs="Arial" w:eastAsia="Arial" w:hAnsi="Arial"/>
          <w:sz w:val="12"/>
          <w:szCs w:val="12"/>
          <w:i w:val="1"/>
          <w:iCs w:val="1"/>
          <w:color w:val="auto"/>
        </w:rPr>
        <w:t xml:space="preserve"> </w:t>
      </w:r>
      <w:r>
        <w:rPr>
          <w:rFonts w:ascii="Arial" w:cs="Arial" w:eastAsia="Arial" w:hAnsi="Arial"/>
          <w:sz w:val="12"/>
          <w:szCs w:val="12"/>
          <w:color w:val="auto"/>
        </w:rPr>
        <w:t>as well as by the continued expansion of our customer base as we trained a total of 16,500 new Invisalign doctors, of which 67% were trained internationally.</w:t>
      </w:r>
    </w:p>
    <w:p>
      <w:pPr>
        <w:spacing w:after="0" w:line="114" w:lineRule="exact"/>
        <w:rPr>
          <w:rFonts w:ascii="Arial" w:cs="Arial" w:eastAsia="Arial" w:hAnsi="Arial"/>
          <w:sz w:val="12"/>
          <w:szCs w:val="12"/>
          <w:i w:val="1"/>
          <w:iCs w:val="1"/>
          <w:color w:val="auto"/>
        </w:rPr>
      </w:pPr>
    </w:p>
    <w:p>
      <w:pPr>
        <w:jc w:val="both"/>
        <w:ind w:left="324" w:hanging="324"/>
        <w:spacing w:after="0" w:line="283" w:lineRule="auto"/>
        <w:tabs>
          <w:tab w:leader="none" w:pos="324" w:val="left"/>
        </w:tabs>
        <w:numPr>
          <w:ilvl w:val="0"/>
          <w:numId w:val="23"/>
        </w:numPr>
        <w:rPr>
          <w:rFonts w:ascii="Arial" w:cs="Arial" w:eastAsia="Arial" w:hAnsi="Arial"/>
          <w:sz w:val="11"/>
          <w:szCs w:val="11"/>
          <w:color w:val="auto"/>
        </w:rPr>
      </w:pPr>
      <w:r>
        <w:rPr>
          <w:rFonts w:ascii="Arial" w:cs="Arial" w:eastAsia="Arial" w:hAnsi="Arial"/>
          <w:sz w:val="11"/>
          <w:szCs w:val="11"/>
          <w:i w:val="1"/>
          <w:iCs w:val="1"/>
          <w:color w:val="auto"/>
        </w:rPr>
        <w:t xml:space="preserve">International Invisalign Growth. </w:t>
      </w:r>
      <w:r>
        <w:rPr>
          <w:rFonts w:ascii="Arial" w:cs="Arial" w:eastAsia="Arial" w:hAnsi="Arial"/>
          <w:sz w:val="11"/>
          <w:szCs w:val="11"/>
          <w:color w:val="auto"/>
        </w:rPr>
        <w:t>We will continue to focus our efforts towards increasing Invisalign adoption by dental professionals in our direct international markets. On a year over year basis, international Invisalign</w:t>
      </w:r>
      <w:r>
        <w:rPr>
          <w:rFonts w:ascii="Arial" w:cs="Arial" w:eastAsia="Arial" w:hAnsi="Arial"/>
          <w:sz w:val="11"/>
          <w:szCs w:val="11"/>
          <w:i w:val="1"/>
          <w:iCs w:val="1"/>
          <w:color w:val="auto"/>
        </w:rPr>
        <w:t xml:space="preserve"> </w:t>
      </w:r>
      <w:r>
        <w:rPr>
          <w:rFonts w:ascii="Arial" w:cs="Arial" w:eastAsia="Arial" w:hAnsi="Arial"/>
          <w:sz w:val="11"/>
          <w:szCs w:val="11"/>
          <w:color w:val="auto"/>
        </w:rPr>
        <w:t>volume increased 52.3% driven primarily by strong performance in our APAC and EMEA regions. We believe that the introduction of Invisalign Teen treatment with mandibular advancement is helping to raise visibility for Invisalign treatment of teenagers and contributed to some of the growth in the APAC market. In 2018, we are continuing to expand in our existing markets through targeted investments in sales coverage and professional marketing and education programs, along with consumer marketing in selected country markets. We expect international Invisalign clear aligner revenues to continue to grow at a faster rate than North America for the foreseeable future due to our continued investment in international market expansion, the size of the market opportunity, and our relatively low market penetration of these regions (</w:t>
      </w:r>
      <w:r>
        <w:rPr>
          <w:rFonts w:ascii="Arial" w:cs="Arial" w:eastAsia="Arial" w:hAnsi="Arial"/>
          <w:sz w:val="11"/>
          <w:szCs w:val="11"/>
          <w:i w:val="1"/>
          <w:iCs w:val="1"/>
          <w:color w:val="auto"/>
        </w:rPr>
        <w:t>Refer to Item 1A Risk Factors - “We are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exposed to fluctuations in currency exchange rates, which could negatively affect our financial condition and results of operations.” </w:t>
      </w:r>
      <w:r>
        <w:rPr>
          <w:rFonts w:ascii="Arial" w:cs="Arial" w:eastAsia="Arial" w:hAnsi="Arial"/>
          <w:sz w:val="11"/>
          <w:szCs w:val="11"/>
          <w:color w:val="auto"/>
        </w:rPr>
        <w:t>for information on related risk factors).</w:t>
      </w:r>
    </w:p>
    <w:p>
      <w:pPr>
        <w:spacing w:after="0" w:line="77" w:lineRule="exact"/>
        <w:rPr>
          <w:rFonts w:ascii="Arial" w:cs="Arial" w:eastAsia="Arial" w:hAnsi="Arial"/>
          <w:sz w:val="11"/>
          <w:szCs w:val="11"/>
          <w:color w:val="auto"/>
        </w:rPr>
      </w:pPr>
    </w:p>
    <w:p>
      <w:pPr>
        <w:ind w:left="704" w:hanging="704"/>
        <w:spacing w:after="0" w:line="323" w:lineRule="auto"/>
        <w:tabs>
          <w:tab w:leader="none" w:pos="325"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Establish Regional Order Acquisition, Treatment Planning and Manufacturing Operations. </w:t>
      </w:r>
      <w:r>
        <w:rPr>
          <w:rFonts w:ascii="Arial" w:cs="Arial" w:eastAsia="Arial" w:hAnsi="Arial"/>
          <w:sz w:val="11"/>
          <w:szCs w:val="11"/>
          <w:color w:val="auto"/>
        </w:rPr>
        <w:t>We will continue to establish and expand additional order acquisition, treatment planning and manufacturing operations closer to our</w:t>
      </w:r>
      <w:r>
        <w:rPr>
          <w:rFonts w:ascii="Arial" w:cs="Arial" w:eastAsia="Arial" w:hAnsi="Arial"/>
          <w:sz w:val="11"/>
          <w:szCs w:val="11"/>
          <w:i w:val="1"/>
          <w:iCs w:val="1"/>
          <w:color w:val="auto"/>
        </w:rPr>
        <w:t xml:space="preserve"> </w:t>
      </w:r>
      <w:r>
        <w:rPr>
          <w:rFonts w:ascii="Arial" w:cs="Arial" w:eastAsia="Arial" w:hAnsi="Arial"/>
          <w:sz w:val="11"/>
          <w:szCs w:val="11"/>
          <w:color w:val="auto"/>
        </w:rPr>
        <w:t>international customers in order to improve our operational efficiency and to provide doctors confidence in using Invisalign clear aligners to treat more patients and more often:</w:t>
      </w:r>
    </w:p>
    <w:p>
      <w:pPr>
        <w:spacing w:after="0" w:line="55" w:lineRule="exact"/>
        <w:rPr>
          <w:rFonts w:ascii="Arial" w:cs="Arial" w:eastAsia="Arial" w:hAnsi="Arial"/>
          <w:sz w:val="11"/>
          <w:szCs w:val="11"/>
          <w:i w:val="1"/>
          <w:iCs w:val="1"/>
          <w:color w:val="auto"/>
        </w:rPr>
      </w:pPr>
    </w:p>
    <w:p>
      <w:pPr>
        <w:ind w:left="764" w:hanging="331"/>
        <w:spacing w:after="0" w:line="276" w:lineRule="auto"/>
        <w:tabs>
          <w:tab w:leader="none" w:pos="764" w:val="left"/>
        </w:tabs>
        <w:numPr>
          <w:ilvl w:val="1"/>
          <w:numId w:val="23"/>
        </w:numPr>
        <w:rPr>
          <w:rFonts w:ascii="Arial" w:cs="Arial" w:eastAsia="Arial" w:hAnsi="Arial"/>
          <w:sz w:val="12"/>
          <w:szCs w:val="12"/>
          <w:color w:val="auto"/>
        </w:rPr>
      </w:pPr>
      <w:r>
        <w:rPr>
          <w:rFonts w:ascii="Arial" w:cs="Arial" w:eastAsia="Arial" w:hAnsi="Arial"/>
          <w:sz w:val="12"/>
          <w:szCs w:val="12"/>
          <w:color w:val="auto"/>
        </w:rPr>
        <w:t>In June 2017, we opened a new treatment planning facility in Chengdu, China which services and supports our customers within China. It also serves as a clinical education and training center for all of our customers across Asia Pacific.</w:t>
      </w:r>
    </w:p>
    <w:p>
      <w:pPr>
        <w:spacing w:after="0" w:line="78" w:lineRule="exact"/>
        <w:rPr>
          <w:rFonts w:ascii="Arial" w:cs="Arial" w:eastAsia="Arial" w:hAnsi="Arial"/>
          <w:sz w:val="12"/>
          <w:szCs w:val="12"/>
          <w:color w:val="auto"/>
        </w:rPr>
      </w:pPr>
    </w:p>
    <w:p>
      <w:pPr>
        <w:ind w:left="764" w:hanging="331"/>
        <w:spacing w:after="0"/>
        <w:tabs>
          <w:tab w:leader="none" w:pos="764" w:val="left"/>
        </w:tabs>
        <w:numPr>
          <w:ilvl w:val="1"/>
          <w:numId w:val="23"/>
        </w:numPr>
        <w:rPr>
          <w:rFonts w:ascii="Arial" w:cs="Arial" w:eastAsia="Arial" w:hAnsi="Arial"/>
          <w:sz w:val="12"/>
          <w:szCs w:val="12"/>
          <w:color w:val="auto"/>
        </w:rPr>
      </w:pPr>
      <w:r>
        <w:rPr>
          <w:rFonts w:ascii="Arial" w:cs="Arial" w:eastAsia="Arial" w:hAnsi="Arial"/>
          <w:sz w:val="12"/>
          <w:szCs w:val="12"/>
          <w:color w:val="auto"/>
        </w:rPr>
        <w:t>In August 2017, we opened a treatment planning facility in Cologne, Germany to support our customers located in Europe.</w:t>
      </w:r>
    </w:p>
    <w:p>
      <w:pPr>
        <w:spacing w:after="0" w:line="114" w:lineRule="exact"/>
        <w:rPr>
          <w:rFonts w:ascii="Arial" w:cs="Arial" w:eastAsia="Arial" w:hAnsi="Arial"/>
          <w:sz w:val="12"/>
          <w:szCs w:val="12"/>
          <w:color w:val="auto"/>
        </w:rPr>
      </w:pPr>
    </w:p>
    <w:p>
      <w:pPr>
        <w:ind w:left="764" w:hanging="331"/>
        <w:spacing w:after="0"/>
        <w:tabs>
          <w:tab w:leader="none" w:pos="764" w:val="left"/>
        </w:tabs>
        <w:numPr>
          <w:ilvl w:val="1"/>
          <w:numId w:val="23"/>
        </w:numPr>
        <w:rPr>
          <w:rFonts w:ascii="Arial" w:cs="Arial" w:eastAsia="Arial" w:hAnsi="Arial"/>
          <w:sz w:val="12"/>
          <w:szCs w:val="12"/>
          <w:color w:val="auto"/>
        </w:rPr>
      </w:pPr>
      <w:r>
        <w:rPr>
          <w:rFonts w:ascii="Arial" w:cs="Arial" w:eastAsia="Arial" w:hAnsi="Arial"/>
          <w:sz w:val="12"/>
          <w:szCs w:val="12"/>
          <w:color w:val="auto"/>
        </w:rPr>
        <w:t>In 2017, we purchased two buildings in Costa Rica for a total purchase price of approximately $51.7 million in order to support our expanding treatment planning and customer service needs.</w:t>
      </w:r>
    </w:p>
    <w:p>
      <w:pPr>
        <w:spacing w:after="0" w:line="114" w:lineRule="exact"/>
        <w:rPr>
          <w:rFonts w:ascii="Arial" w:cs="Arial" w:eastAsia="Arial" w:hAnsi="Arial"/>
          <w:sz w:val="12"/>
          <w:szCs w:val="12"/>
          <w:color w:val="auto"/>
        </w:rPr>
      </w:pPr>
    </w:p>
    <w:p>
      <w:pPr>
        <w:ind w:left="764" w:hanging="331"/>
        <w:spacing w:after="0" w:line="276" w:lineRule="auto"/>
        <w:tabs>
          <w:tab w:leader="none" w:pos="764" w:val="left"/>
        </w:tabs>
        <w:numPr>
          <w:ilvl w:val="1"/>
          <w:numId w:val="23"/>
        </w:numPr>
        <w:rPr>
          <w:rFonts w:ascii="Arial" w:cs="Arial" w:eastAsia="Arial" w:hAnsi="Arial"/>
          <w:sz w:val="12"/>
          <w:szCs w:val="12"/>
          <w:color w:val="auto"/>
        </w:rPr>
      </w:pPr>
      <w:r>
        <w:rPr>
          <w:rFonts w:ascii="Arial" w:cs="Arial" w:eastAsia="Arial" w:hAnsi="Arial"/>
          <w:sz w:val="12"/>
          <w:szCs w:val="12"/>
          <w:color w:val="auto"/>
        </w:rPr>
        <w:t>In November 2017, we entered into an Investment Agreement with the People’s Republic of China in which we have committed to invest a minimum of $46.0 million in Ziyang, China over five years to establish manufacturing operations.</w:t>
      </w:r>
    </w:p>
    <w:p>
      <w:pPr>
        <w:spacing w:after="0" w:line="241" w:lineRule="exact"/>
        <w:rPr>
          <w:sz w:val="20"/>
          <w:szCs w:val="20"/>
          <w:color w:val="auto"/>
        </w:rPr>
      </w:pPr>
    </w:p>
    <w:p>
      <w:pPr>
        <w:jc w:val="center"/>
        <w:ind w:right="316"/>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164"/>
          </w:cols>
          <w:pgMar w:left="536" w:top="437" w:right="199" w:bottom="1440" w:gutter="0" w:footer="0" w:header="0"/>
        </w:sectPr>
      </w:pPr>
    </w:p>
    <w:bookmarkStart w:id="36" w:name="page37"/>
    <w:bookmarkEnd w:id="36"/>
    <w:p>
      <w:pPr>
        <w:ind w:left="640" w:firstLine="216"/>
        <w:spacing w:after="0" w:line="323" w:lineRule="auto"/>
        <w:rPr>
          <w:sz w:val="20"/>
          <w:szCs w:val="20"/>
          <w:color w:val="auto"/>
        </w:rPr>
      </w:pPr>
      <w:r>
        <w:rPr>
          <w:rFonts w:ascii="Arial" w:cs="Arial" w:eastAsia="Arial" w:hAnsi="Arial"/>
          <w:sz w:val="11"/>
          <w:szCs w:val="11"/>
          <w:color w:val="auto"/>
        </w:rPr>
        <w:t xml:space="preserve">Refer </w:t>
      </w:r>
      <w:r>
        <w:rPr>
          <w:rFonts w:ascii="Arial" w:cs="Arial" w:eastAsia="Arial" w:hAnsi="Arial"/>
          <w:sz w:val="11"/>
          <w:szCs w:val="11"/>
          <w:i w:val="1"/>
          <w:iCs w:val="1"/>
          <w:color w:val="auto"/>
        </w:rPr>
        <w:t>to Item 1A Risk Factors - “As we continue to grow, we are subject to growth related risks, including risks related to excess or constrained capacity at our existing facilities”</w:t>
      </w:r>
      <w:r>
        <w:rPr>
          <w:rFonts w:ascii="Arial" w:cs="Arial" w:eastAsia="Arial" w:hAnsi="Arial"/>
          <w:sz w:val="11"/>
          <w:szCs w:val="11"/>
          <w:color w:val="auto"/>
        </w:rPr>
        <w:t xml:space="preserve"> for information on related risk factors and </w:t>
      </w:r>
      <w:r>
        <w:rPr>
          <w:rFonts w:ascii="Arial" w:cs="Arial" w:eastAsia="Arial" w:hAnsi="Arial"/>
          <w:sz w:val="11"/>
          <w:szCs w:val="11"/>
          <w:i w:val="1"/>
          <w:iCs w:val="1"/>
          <w:color w:val="auto"/>
        </w:rPr>
        <w:t>Refer to Note 9 "Commitments and Contingencies" of the Notes of Consolidated Financial Statements</w:t>
      </w:r>
      <w:r>
        <w:rPr>
          <w:rFonts w:ascii="Arial" w:cs="Arial" w:eastAsia="Arial" w:hAnsi="Arial"/>
          <w:sz w:val="11"/>
          <w:szCs w:val="11"/>
          <w:color w:val="auto"/>
        </w:rPr>
        <w:t xml:space="preserve"> for more information on the Costa Rica purchase agreements and the China investment agreement.</w:t>
      </w:r>
    </w:p>
    <w:p>
      <w:pPr>
        <w:spacing w:after="0" w:line="56" w:lineRule="exact"/>
        <w:rPr>
          <w:sz w:val="20"/>
          <w:szCs w:val="20"/>
          <w:color w:val="auto"/>
        </w:rPr>
      </w:pPr>
    </w:p>
    <w:p>
      <w:pPr>
        <w:ind w:left="640" w:hanging="324"/>
        <w:spacing w:after="0"/>
        <w:tabs>
          <w:tab w:leader="none" w:pos="640" w:val="left"/>
        </w:tabs>
        <w:numPr>
          <w:ilvl w:val="0"/>
          <w:numId w:val="2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We expect operating expenses to increase in 2018 due in part to:</w:t>
      </w:r>
    </w:p>
    <w:p>
      <w:pPr>
        <w:spacing w:after="0" w:line="114" w:lineRule="exact"/>
        <w:rPr>
          <w:rFonts w:ascii="Arial" w:cs="Arial" w:eastAsia="Arial" w:hAnsi="Arial"/>
          <w:sz w:val="12"/>
          <w:szCs w:val="12"/>
          <w:i w:val="1"/>
          <w:iCs w:val="1"/>
          <w:color w:val="auto"/>
        </w:rPr>
      </w:pPr>
    </w:p>
    <w:p>
      <w:pPr>
        <w:ind w:left="1080" w:hanging="331"/>
        <w:spacing w:after="0"/>
        <w:tabs>
          <w:tab w:leader="none" w:pos="10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Investments in international expansion in new country markets;</w:t>
      </w:r>
    </w:p>
    <w:p>
      <w:pPr>
        <w:spacing w:after="0" w:line="114" w:lineRule="exact"/>
        <w:rPr>
          <w:rFonts w:ascii="Arial" w:cs="Arial" w:eastAsia="Arial" w:hAnsi="Arial"/>
          <w:sz w:val="12"/>
          <w:szCs w:val="12"/>
          <w:color w:val="auto"/>
        </w:rPr>
      </w:pPr>
    </w:p>
    <w:p>
      <w:pPr>
        <w:ind w:left="1080" w:hanging="331"/>
        <w:spacing w:after="0"/>
        <w:tabs>
          <w:tab w:leader="none" w:pos="10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Investments in manufacturing to enhance our regional capabilities;</w:t>
      </w:r>
    </w:p>
    <w:p>
      <w:pPr>
        <w:spacing w:after="0" w:line="114" w:lineRule="exact"/>
        <w:rPr>
          <w:rFonts w:ascii="Arial" w:cs="Arial" w:eastAsia="Arial" w:hAnsi="Arial"/>
          <w:sz w:val="12"/>
          <w:szCs w:val="12"/>
          <w:color w:val="auto"/>
        </w:rPr>
      </w:pPr>
    </w:p>
    <w:p>
      <w:pPr>
        <w:ind w:left="1080" w:hanging="331"/>
        <w:spacing w:after="0"/>
        <w:tabs>
          <w:tab w:leader="none" w:pos="10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Increases in legal expenses primarily related to the continued protection of our intellectual property rights, including our patents;</w:t>
      </w:r>
    </w:p>
    <w:p>
      <w:pPr>
        <w:spacing w:after="0" w:line="114" w:lineRule="exact"/>
        <w:rPr>
          <w:rFonts w:ascii="Arial" w:cs="Arial" w:eastAsia="Arial" w:hAnsi="Arial"/>
          <w:sz w:val="12"/>
          <w:szCs w:val="12"/>
          <w:color w:val="auto"/>
        </w:rPr>
      </w:pPr>
    </w:p>
    <w:p>
      <w:pPr>
        <w:ind w:left="1080" w:hanging="331"/>
        <w:spacing w:after="0"/>
        <w:tabs>
          <w:tab w:leader="none" w:pos="10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Increases in sales, marketing and customer support resources; and</w:t>
      </w:r>
    </w:p>
    <w:p>
      <w:pPr>
        <w:spacing w:after="0" w:line="114" w:lineRule="exact"/>
        <w:rPr>
          <w:rFonts w:ascii="Arial" w:cs="Arial" w:eastAsia="Arial" w:hAnsi="Arial"/>
          <w:sz w:val="12"/>
          <w:szCs w:val="12"/>
          <w:color w:val="auto"/>
        </w:rPr>
      </w:pPr>
    </w:p>
    <w:p>
      <w:pPr>
        <w:ind w:left="1080" w:hanging="331"/>
        <w:spacing w:after="0"/>
        <w:tabs>
          <w:tab w:leader="none" w:pos="10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Product and technology innovation to enhance product efficiency and operational productivity.</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believe that these investments will position us to increase our revenues and continue to grow our market share.</w:t>
      </w:r>
    </w:p>
    <w:p>
      <w:pPr>
        <w:spacing w:after="0" w:line="114" w:lineRule="exact"/>
        <w:rPr>
          <w:sz w:val="20"/>
          <w:szCs w:val="20"/>
          <w:color w:val="auto"/>
        </w:rPr>
      </w:pPr>
    </w:p>
    <w:p>
      <w:pPr>
        <w:jc w:val="both"/>
        <w:ind w:left="640" w:hanging="324"/>
        <w:spacing w:after="0" w:line="263" w:lineRule="auto"/>
        <w:tabs>
          <w:tab w:leader="none" w:pos="640" w:val="left"/>
        </w:tabs>
        <w:numPr>
          <w:ilvl w:val="0"/>
          <w:numId w:val="2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Stock Repurchases: April 2016 Repurchase Program. </w:t>
      </w:r>
      <w:r>
        <w:rPr>
          <w:rFonts w:ascii="Arial" w:cs="Arial" w:eastAsia="Arial" w:hAnsi="Arial"/>
          <w:sz w:val="12"/>
          <w:szCs w:val="12"/>
          <w:color w:val="auto"/>
        </w:rPr>
        <w:t>In 2017, we repurchased $50.0 million of our common stock through an accelerated stock repurchase agreement and repurchased $50.0 million on the open market. As of</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2017, we had $200.0 million remaining under the April 2016 Repurchase Program. In February 2018, we repurchased $100.0 million of our common stock on the open market (</w:t>
      </w:r>
      <w:r>
        <w:rPr>
          <w:rFonts w:ascii="Arial" w:cs="Arial" w:eastAsia="Arial" w:hAnsi="Arial"/>
          <w:sz w:val="12"/>
          <w:szCs w:val="12"/>
          <w:i w:val="1"/>
          <w:iCs w:val="1"/>
          <w:color w:val="auto"/>
        </w:rPr>
        <w:t>Refer to Note 11 "Common Stock</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Repurchase Program" of the Notes to Consolidated Financial Statements </w:t>
      </w:r>
      <w:r>
        <w:rPr>
          <w:rFonts w:ascii="Arial" w:cs="Arial" w:eastAsia="Arial" w:hAnsi="Arial"/>
          <w:sz w:val="12"/>
          <w:szCs w:val="12"/>
          <w:color w:val="auto"/>
        </w:rPr>
        <w:t>for details on stock repurchase program).</w:t>
      </w:r>
    </w:p>
    <w:p>
      <w:pPr>
        <w:spacing w:after="0" w:line="122" w:lineRule="exact"/>
        <w:rPr>
          <w:rFonts w:ascii="Arial" w:cs="Arial" w:eastAsia="Arial" w:hAnsi="Arial"/>
          <w:sz w:val="12"/>
          <w:szCs w:val="12"/>
          <w:i w:val="1"/>
          <w:iCs w:val="1"/>
          <w:color w:val="auto"/>
        </w:rPr>
      </w:pPr>
    </w:p>
    <w:p>
      <w:pPr>
        <w:jc w:val="both"/>
        <w:ind w:left="640" w:hanging="324"/>
        <w:spacing w:after="0" w:line="254" w:lineRule="auto"/>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U.S. Tax Cuts and Jobs Act. </w:t>
      </w:r>
      <w:r>
        <w:rPr>
          <w:rFonts w:ascii="Arial" w:cs="Arial" w:eastAsia="Arial" w:hAnsi="Arial"/>
          <w:sz w:val="12"/>
          <w:szCs w:val="12"/>
          <w:color w:val="auto"/>
        </w:rPr>
        <w:t>The U.S. Tax Cuts and Jobs Act (the “TCJA”) was enacted into law on December 22, 2017 and impacted our effective tax rate for the year ended December 31, 2017. The TCJA made significant</w:t>
      </w:r>
      <w:r>
        <w:rPr>
          <w:rFonts w:ascii="Arial" w:cs="Arial" w:eastAsia="Arial" w:hAnsi="Arial"/>
          <w:sz w:val="12"/>
          <w:szCs w:val="12"/>
          <w:i w:val="1"/>
          <w:iCs w:val="1"/>
          <w:color w:val="auto"/>
        </w:rPr>
        <w:t xml:space="preserve"> </w:t>
      </w:r>
      <w:r>
        <w:rPr>
          <w:rFonts w:ascii="Arial" w:cs="Arial" w:eastAsia="Arial" w:hAnsi="Arial"/>
          <w:sz w:val="12"/>
          <w:szCs w:val="12"/>
          <w:color w:val="auto"/>
        </w:rPr>
        <w:t>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We have estimated the impact of the TCJA and recorded a provisional amount of $84.3 million additional income tax expense in the fourth quarter of 2017. This provisional amount includes income tax expenses related to the remeasurement of certain deferred tax assets and liabilities of $10.4 million, and the one-time transition tax on the mandatory deemed repatriation of cumulative foreign earnings in the amount of $73.9 million. Additional work is necessary for a more detailed analysis of our deferred tax assets and liabilities and our historical foreign earnings as well as potential correlative adjustments. Any subsequent adjustment to these amounts will be recorded to tax expense in 2018 when the analysis is complete.</w:t>
      </w:r>
    </w:p>
    <w:p>
      <w:pPr>
        <w:spacing w:after="0" w:line="130" w:lineRule="exact"/>
        <w:rPr>
          <w:rFonts w:ascii="Arial" w:cs="Arial" w:eastAsia="Arial" w:hAnsi="Arial"/>
          <w:sz w:val="12"/>
          <w:szCs w:val="12"/>
          <w:color w:val="auto"/>
        </w:rPr>
      </w:pPr>
    </w:p>
    <w:p>
      <w:pPr>
        <w:jc w:val="both"/>
        <w:ind w:left="640" w:hanging="324"/>
        <w:spacing w:after="0" w:line="254" w:lineRule="auto"/>
        <w:tabs>
          <w:tab w:leader="none" w:pos="640" w:val="left"/>
        </w:tabs>
        <w:numPr>
          <w:ilvl w:val="0"/>
          <w:numId w:val="2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SmileDirectClub. </w:t>
      </w:r>
      <w:r>
        <w:rPr>
          <w:rFonts w:ascii="Arial" w:cs="Arial" w:eastAsia="Arial" w:hAnsi="Arial"/>
          <w:sz w:val="12"/>
          <w:szCs w:val="12"/>
          <w:color w:val="auto"/>
        </w:rPr>
        <w:t>In February 2018, we received a communication on behalf of SDC Financial LLC, SmileDirectClub LLC, and the Members of SDC Financial LLC other than Align (collectively, the "SDC Entities") alleging</w:t>
      </w:r>
      <w:r>
        <w:rPr>
          <w:rFonts w:ascii="Arial" w:cs="Arial" w:eastAsia="Arial" w:hAnsi="Arial"/>
          <w:sz w:val="12"/>
          <w:szCs w:val="12"/>
          <w:i w:val="1"/>
          <w:iCs w:val="1"/>
          <w:color w:val="auto"/>
        </w:rPr>
        <w:t xml:space="preserve"> </w:t>
      </w:r>
      <w:r>
        <w:rPr>
          <w:rFonts w:ascii="Arial" w:cs="Arial" w:eastAsia="Arial" w:hAnsi="Arial"/>
          <w:sz w:val="12"/>
          <w:szCs w:val="12"/>
          <w:color w:val="auto"/>
        </w:rPr>
        <w:t>that the launch and operation of our Invisalign store pilot program constitutes a breach of non-compete provisions applicable to the members of SDC Financial LLC, including Align. As a result of this alleged breach, SDC Financial LLC has notified Align that its members (other than Align) seek to exercise a right to repurchase all of Align’s SDC Financial LLC membership interests for a purchase price equal to the current capital account balance of Align. The SDC Entities also allege that Align has breached confidentiality provisions applicable to the SDC Financial LLC members and demands that Align cease all activities related to the Invisalign store pilot project, close existing Invisalign stores and cease using SDC’s confidential information. Align disputes the allegations that it has breached its obligations to the SDC Entities, including the allegation that the SDC Entities are entitled to exercise a repurchase right. Pursuant to the parties’ agreement, the dispute will be arbitrated if it is not resolved through negotiations. We are currently evaluating the potential impact that this could have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262" w:lineRule="exact"/>
        <w:rPr>
          <w:sz w:val="20"/>
          <w:szCs w:val="20"/>
          <w:color w:val="auto"/>
        </w:rPr>
      </w:pPr>
    </w:p>
    <w:p>
      <w:pPr>
        <w:jc w:val="center"/>
        <w:ind w:right="6100"/>
        <w:spacing w:after="0"/>
        <w:rPr>
          <w:sz w:val="20"/>
          <w:szCs w:val="20"/>
          <w:color w:val="auto"/>
        </w:rPr>
      </w:pPr>
      <w:r>
        <w:rPr>
          <w:rFonts w:ascii="Arial" w:cs="Arial" w:eastAsia="Arial" w:hAnsi="Arial"/>
          <w:sz w:val="11"/>
          <w:szCs w:val="11"/>
          <w:b w:val="1"/>
          <w:bCs w:val="1"/>
          <w:i w:val="1"/>
          <w:iCs w:val="1"/>
          <w:color w:val="auto"/>
        </w:rPr>
        <w:t>Net Revenues by Reportable Segment Comparison for Year Ended December 31, 2017, 2016 and 2015:</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group our operations into two reportable segments: Clear Aligner segment and Scanner segment</w:t>
      </w:r>
    </w:p>
    <w:p>
      <w:pPr>
        <w:spacing w:after="0" w:line="150" w:lineRule="exact"/>
        <w:rPr>
          <w:sz w:val="20"/>
          <w:szCs w:val="20"/>
          <w:color w:val="auto"/>
        </w:rPr>
      </w:pPr>
    </w:p>
    <w:p>
      <w:pPr>
        <w:ind w:left="5680" w:right="4420" w:hanging="5418"/>
        <w:spacing w:after="0" w:line="746" w:lineRule="auto"/>
        <w:tabs>
          <w:tab w:leader="none" w:pos="43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Clear Aligner segment consists of Comprehensive Products, Non-Comprehensive Products and Non-Case revenues as defined below: 37</w:t>
      </w:r>
    </w:p>
    <w:p>
      <w:pPr>
        <w:sectPr>
          <w:pgSz w:w="11900" w:h="16838" w:orient="portrait"/>
          <w:cols w:equalWidth="0" w:num="1">
            <w:col w:w="11480"/>
          </w:cols>
          <w:pgMar w:left="220" w:top="437" w:right="199" w:bottom="1440" w:gutter="0" w:footer="0" w:header="0"/>
        </w:sectPr>
      </w:pPr>
    </w:p>
    <w:bookmarkStart w:id="37" w:name="page38"/>
    <w:bookmarkEnd w:id="37"/>
    <w:p>
      <w:pPr>
        <w:ind w:left="860" w:hanging="165"/>
        <w:spacing w:after="0"/>
        <w:tabs>
          <w:tab w:leader="none" w:pos="860" w:val="left"/>
        </w:tabs>
        <w:numPr>
          <w:ilvl w:val="1"/>
          <w:numId w:val="27"/>
        </w:numPr>
        <w:rPr>
          <w:rFonts w:ascii="Arial" w:cs="Arial" w:eastAsia="Arial" w:hAnsi="Arial"/>
          <w:sz w:val="12"/>
          <w:szCs w:val="12"/>
          <w:color w:val="auto"/>
        </w:rPr>
      </w:pPr>
      <w:r>
        <w:rPr>
          <w:rFonts w:ascii="Arial" w:cs="Arial" w:eastAsia="Arial" w:hAnsi="Arial"/>
          <w:sz w:val="12"/>
          <w:szCs w:val="12"/>
          <w:color w:val="auto"/>
        </w:rPr>
        <w:t>Comprehensive Products include our Invisalign Full, Teen and Assist products.</w:t>
      </w:r>
    </w:p>
    <w:p>
      <w:pPr>
        <w:spacing w:after="0" w:line="114" w:lineRule="exact"/>
        <w:rPr>
          <w:rFonts w:ascii="Arial" w:cs="Arial" w:eastAsia="Arial" w:hAnsi="Arial"/>
          <w:sz w:val="12"/>
          <w:szCs w:val="12"/>
          <w:color w:val="auto"/>
        </w:rPr>
      </w:pPr>
    </w:p>
    <w:p>
      <w:pPr>
        <w:ind w:left="860" w:right="20" w:hanging="165"/>
        <w:spacing w:after="0" w:line="276" w:lineRule="auto"/>
        <w:tabs>
          <w:tab w:leader="none" w:pos="860" w:val="left"/>
        </w:tabs>
        <w:numPr>
          <w:ilvl w:val="1"/>
          <w:numId w:val="27"/>
        </w:numPr>
        <w:rPr>
          <w:rFonts w:ascii="Arial" w:cs="Arial" w:eastAsia="Arial" w:hAnsi="Arial"/>
          <w:sz w:val="12"/>
          <w:szCs w:val="12"/>
          <w:color w:val="auto"/>
        </w:rPr>
      </w:pPr>
      <w:r>
        <w:rPr>
          <w:rFonts w:ascii="Arial" w:cs="Arial" w:eastAsia="Arial" w:hAnsi="Arial"/>
          <w:sz w:val="12"/>
          <w:szCs w:val="12"/>
          <w:color w:val="auto"/>
        </w:rPr>
        <w:t>Non-Comprehensive Products include our Invisalign Express, Invisalign Lite, Invisalign i7 and Invisalign Go products in addition to revenues from the sale of aligners to SmileDirectClub (“SDC”) under our supply agreement. Revenue from SDC is recorded after eliminating outstanding intercompany transactions.</w:t>
      </w:r>
    </w:p>
    <w:p>
      <w:pPr>
        <w:spacing w:after="0" w:line="78" w:lineRule="exact"/>
        <w:rPr>
          <w:rFonts w:ascii="Arial" w:cs="Arial" w:eastAsia="Arial" w:hAnsi="Arial"/>
          <w:sz w:val="12"/>
          <w:szCs w:val="12"/>
          <w:color w:val="auto"/>
        </w:rPr>
      </w:pPr>
    </w:p>
    <w:p>
      <w:pPr>
        <w:ind w:left="860" w:hanging="165"/>
        <w:spacing w:after="0"/>
        <w:tabs>
          <w:tab w:leader="none" w:pos="860" w:val="left"/>
        </w:tabs>
        <w:numPr>
          <w:ilvl w:val="1"/>
          <w:numId w:val="27"/>
        </w:numPr>
        <w:rPr>
          <w:rFonts w:ascii="Arial" w:cs="Arial" w:eastAsia="Arial" w:hAnsi="Arial"/>
          <w:sz w:val="12"/>
          <w:szCs w:val="12"/>
          <w:color w:val="auto"/>
        </w:rPr>
      </w:pPr>
      <w:r>
        <w:rPr>
          <w:rFonts w:ascii="Arial" w:cs="Arial" w:eastAsia="Arial" w:hAnsi="Arial"/>
          <w:sz w:val="12"/>
          <w:szCs w:val="12"/>
          <w:color w:val="auto"/>
        </w:rPr>
        <w:t>Non-Case includes our Vivera retainers along with our training and ancillary products for treating malocclusion.</w:t>
      </w:r>
    </w:p>
    <w:p>
      <w:pPr>
        <w:spacing w:after="0" w:line="114" w:lineRule="exact"/>
        <w:rPr>
          <w:rFonts w:ascii="Arial" w:cs="Arial" w:eastAsia="Arial" w:hAnsi="Arial"/>
          <w:sz w:val="12"/>
          <w:szCs w:val="12"/>
          <w:color w:val="auto"/>
        </w:rPr>
      </w:pPr>
    </w:p>
    <w:p>
      <w:pPr>
        <w:ind w:left="420" w:right="20" w:hanging="158"/>
        <w:spacing w:after="0" w:line="276"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revenues for our Clear Aligner segment and Scanner segment by region for the year ended December 31, 2017, 2016 and 2015 are as follows (in millions):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2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18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Revenues</w:t>
            </w:r>
          </w:p>
        </w:tc>
        <w:tc>
          <w:tcPr>
            <w:tcW w:w="220" w:type="dxa"/>
            <w:vAlign w:val="bottom"/>
            <w:shd w:val="clear" w:color="auto" w:fill="CCEEFF"/>
          </w:tcPr>
          <w:p>
            <w:pPr>
              <w:spacing w:after="0"/>
              <w:rPr>
                <w:sz w:val="8"/>
                <w:szCs w:val="8"/>
                <w:color w:val="auto"/>
              </w:rPr>
            </w:pPr>
          </w:p>
        </w:tc>
        <w:tc>
          <w:tcPr>
            <w:tcW w:w="118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1120" w:type="dxa"/>
            <w:vAlign w:val="bottom"/>
            <w:gridSpan w:val="2"/>
            <w:shd w:val="clear" w:color="auto" w:fill="CCEEFF"/>
          </w:tcPr>
          <w:p>
            <w:pPr>
              <w:ind w:left="10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108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1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88"/>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487"/>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20" w:type="dxa"/>
            <w:vAlign w:val="bottom"/>
            <w:gridSpan w:val="4"/>
            <w:shd w:val="clear" w:color="auto" w:fill="CCEEFF"/>
          </w:tcPr>
          <w:p>
            <w:pPr>
              <w:ind w:left="40"/>
              <w:spacing w:after="0"/>
              <w:rPr>
                <w:sz w:val="20"/>
                <w:szCs w:val="20"/>
                <w:color w:val="auto"/>
              </w:rPr>
            </w:pPr>
            <w:r>
              <w:rPr>
                <w:rFonts w:ascii="Arial" w:cs="Arial" w:eastAsia="Arial" w:hAnsi="Arial"/>
                <w:sz w:val="10"/>
                <w:szCs w:val="10"/>
                <w:b w:val="1"/>
                <w:bCs w:val="1"/>
                <w:color w:val="auto"/>
              </w:rPr>
              <w:t>Change</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88"/>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67"/>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686"/>
              <w:spacing w:after="0"/>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129"/>
        </w:trPr>
        <w:tc>
          <w:tcPr>
            <w:tcW w:w="2180" w:type="dxa"/>
            <w:vAlign w:val="bottom"/>
          </w:tcPr>
          <w:p>
            <w:pPr>
              <w:ind w:left="20"/>
              <w:spacing w:after="0"/>
              <w:rPr>
                <w:sz w:val="20"/>
                <w:szCs w:val="20"/>
                <w:color w:val="auto"/>
              </w:rPr>
            </w:pPr>
            <w:r>
              <w:rPr>
                <w:rFonts w:ascii="Arial" w:cs="Arial" w:eastAsia="Arial" w:hAnsi="Arial"/>
                <w:sz w:val="11"/>
                <w:szCs w:val="11"/>
                <w:color w:val="auto"/>
              </w:rPr>
              <w:t>Clear Aligner revenues:</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North America</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744.6</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568.7</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175.9</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30.9%</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568.7</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498.7</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70.0</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58"/>
        </w:trPr>
        <w:tc>
          <w:tcPr>
            <w:tcW w:w="2180" w:type="dxa"/>
            <w:vAlign w:val="bottom"/>
          </w:tcPr>
          <w:p>
            <w:pPr>
              <w:ind w:left="140"/>
              <w:spacing w:after="0"/>
              <w:rPr>
                <w:sz w:val="20"/>
                <w:szCs w:val="20"/>
                <w:color w:val="auto"/>
              </w:rPr>
            </w:pPr>
            <w:r>
              <w:rPr>
                <w:rFonts w:ascii="Arial" w:cs="Arial" w:eastAsia="Arial" w:hAnsi="Arial"/>
                <w:sz w:val="11"/>
                <w:szCs w:val="11"/>
                <w:color w:val="auto"/>
              </w:rPr>
              <w:t>International</w:t>
            </w:r>
          </w:p>
        </w:tc>
        <w:tc>
          <w:tcPr>
            <w:tcW w:w="220" w:type="dxa"/>
            <w:vAlign w:val="bottom"/>
          </w:tcPr>
          <w:p>
            <w:pPr>
              <w:spacing w:after="0"/>
              <w:rPr>
                <w:sz w:val="13"/>
                <w:szCs w:val="13"/>
                <w:color w:val="auto"/>
              </w:rPr>
            </w:pPr>
          </w:p>
        </w:tc>
        <w:tc>
          <w:tcPr>
            <w:tcW w:w="1060" w:type="dxa"/>
            <w:vAlign w:val="bottom"/>
          </w:tcPr>
          <w:p>
            <w:pPr>
              <w:jc w:val="right"/>
              <w:ind w:right="68"/>
              <w:spacing w:after="0"/>
              <w:rPr>
                <w:sz w:val="20"/>
                <w:szCs w:val="20"/>
                <w:color w:val="auto"/>
              </w:rPr>
            </w:pPr>
            <w:r>
              <w:rPr>
                <w:rFonts w:ascii="Arial" w:cs="Arial" w:eastAsia="Arial" w:hAnsi="Arial"/>
                <w:sz w:val="11"/>
                <w:szCs w:val="11"/>
                <w:color w:val="auto"/>
              </w:rPr>
              <w:t>483.0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326.6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156.4</w:t>
            </w:r>
          </w:p>
        </w:tc>
        <w:tc>
          <w:tcPr>
            <w:tcW w:w="1100" w:type="dxa"/>
            <w:vAlign w:val="bottom"/>
            <w:gridSpan w:val="3"/>
          </w:tcPr>
          <w:p>
            <w:pPr>
              <w:jc w:val="right"/>
              <w:spacing w:after="0"/>
              <w:rPr>
                <w:sz w:val="20"/>
                <w:szCs w:val="20"/>
                <w:color w:val="auto"/>
              </w:rPr>
            </w:pPr>
            <w:r>
              <w:rPr>
                <w:rFonts w:ascii="Arial" w:cs="Arial" w:eastAsia="Arial" w:hAnsi="Arial"/>
                <w:sz w:val="11"/>
                <w:szCs w:val="11"/>
                <w:color w:val="auto"/>
              </w:rPr>
              <w:t>47.9%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8"/>
              <w:spacing w:after="0"/>
              <w:rPr>
                <w:sz w:val="20"/>
                <w:szCs w:val="20"/>
                <w:color w:val="auto"/>
              </w:rPr>
            </w:pPr>
            <w:r>
              <w:rPr>
                <w:rFonts w:ascii="Arial" w:cs="Arial" w:eastAsia="Arial" w:hAnsi="Arial"/>
                <w:sz w:val="11"/>
                <w:szCs w:val="11"/>
                <w:color w:val="auto"/>
              </w:rPr>
              <w:t>326.6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250.1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76.5</w:t>
            </w:r>
          </w:p>
        </w:tc>
        <w:tc>
          <w:tcPr>
            <w:tcW w:w="1080" w:type="dxa"/>
            <w:vAlign w:val="bottom"/>
            <w:gridSpan w:val="3"/>
          </w:tcPr>
          <w:p>
            <w:pPr>
              <w:jc w:val="right"/>
              <w:spacing w:after="0"/>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Non-Case</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63.0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29.7%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63.0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rPr>
                <w:sz w:val="20"/>
                <w:szCs w:val="20"/>
                <w:color w:val="auto"/>
              </w:rPr>
            </w:pPr>
            <w:r>
              <w:rPr>
                <w:rFonts w:ascii="Arial" w:cs="Arial" w:eastAsia="Arial" w:hAnsi="Arial"/>
                <w:sz w:val="11"/>
                <w:szCs w:val="11"/>
                <w:color w:val="auto"/>
              </w:rPr>
              <w:t>Total Clear Aligner net revenues</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1,309.3</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958.3</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351.0</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36.6%</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958.3</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800.2</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158.1</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Scanner net revenues</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164.1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121.5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121.5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76.2</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168.2%</w:t>
            </w:r>
          </w:p>
        </w:tc>
        <w:tc>
          <w:tcPr>
            <w:tcW w:w="0" w:type="dxa"/>
            <w:vAlign w:val="bottom"/>
          </w:tcPr>
          <w:p>
            <w:pPr>
              <w:spacing w:after="0"/>
              <w:rPr>
                <w:sz w:val="1"/>
                <w:szCs w:val="1"/>
                <w:color w:val="auto"/>
              </w:rPr>
            </w:pPr>
          </w:p>
        </w:tc>
      </w:tr>
      <w:tr>
        <w:trPr>
          <w:trHeight w:val="138"/>
        </w:trPr>
        <w:tc>
          <w:tcPr>
            <w:tcW w:w="2180" w:type="dxa"/>
            <w:vAlign w:val="bottom"/>
          </w:tcPr>
          <w:p>
            <w:pPr>
              <w:ind w:left="20"/>
              <w:spacing w:after="0"/>
              <w:rPr>
                <w:sz w:val="20"/>
                <w:szCs w:val="20"/>
                <w:color w:val="auto"/>
              </w:rPr>
            </w:pPr>
            <w:r>
              <w:rPr>
                <w:rFonts w:ascii="Arial" w:cs="Arial" w:eastAsia="Arial" w:hAnsi="Arial"/>
                <w:sz w:val="11"/>
                <w:szCs w:val="11"/>
                <w:color w:val="auto"/>
              </w:rPr>
              <w:t>Total net revenues</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1,473.4</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1,079.8</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393.6</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36.5%</w:t>
            </w:r>
          </w:p>
        </w:tc>
        <w:tc>
          <w:tcPr>
            <w:tcW w:w="12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1,079.8</w:t>
            </w: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845.5</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234.3</w:t>
            </w: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27.7%</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Clear Aligner Case Volume by Region</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Case volume data which represents Clear Aligner case shipments by region, for the year ended December 31, 2017, 2016 and 2015 is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40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gridSpan w:val="3"/>
          </w:tcPr>
          <w:p>
            <w:pPr>
              <w:ind w:left="1100"/>
              <w:spacing w:after="0"/>
              <w:rPr>
                <w:sz w:val="20"/>
                <w:szCs w:val="20"/>
                <w:color w:val="auto"/>
              </w:rPr>
            </w:pPr>
            <w:r>
              <w:rPr>
                <w:rFonts w:ascii="Arial" w:cs="Arial" w:eastAsia="Arial" w:hAnsi="Arial"/>
                <w:sz w:val="10"/>
                <w:szCs w:val="10"/>
                <w:b w:val="1"/>
                <w:bCs w:val="1"/>
                <w:color w:val="auto"/>
                <w:w w:val="98"/>
              </w:rPr>
              <w:t>Year Ended</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w w:val="98"/>
              </w:rPr>
              <w:t>Year Ended</w:t>
            </w: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Region</w:t>
            </w:r>
          </w:p>
        </w:tc>
        <w:tc>
          <w:tcPr>
            <w:tcW w:w="1660" w:type="dxa"/>
            <w:vAlign w:val="bottom"/>
            <w:gridSpan w:val="3"/>
            <w:shd w:val="clear" w:color="auto" w:fill="CCEEFF"/>
          </w:tcPr>
          <w:p>
            <w:pPr>
              <w:ind w:left="360"/>
              <w:spacing w:after="0" w:line="96" w:lineRule="exact"/>
              <w:rPr>
                <w:sz w:val="20"/>
                <w:szCs w:val="20"/>
                <w:color w:val="auto"/>
              </w:rPr>
            </w:pPr>
            <w:r>
              <w:rPr>
                <w:rFonts w:ascii="Arial" w:cs="Arial" w:eastAsia="Arial" w:hAnsi="Arial"/>
                <w:sz w:val="10"/>
                <w:szCs w:val="10"/>
                <w:b w:val="1"/>
                <w:bCs w:val="1"/>
                <w:color w:val="auto"/>
              </w:rPr>
              <w:t>December 31,</w:t>
            </w:r>
          </w:p>
        </w:tc>
        <w:tc>
          <w:tcPr>
            <w:tcW w:w="112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gridSpan w:val="3"/>
            <w:shd w:val="clear" w:color="auto" w:fill="CCEEFF"/>
          </w:tcPr>
          <w:p>
            <w:pPr>
              <w:ind w:left="360"/>
              <w:spacing w:after="0" w:line="96" w:lineRule="exact"/>
              <w:rPr>
                <w:sz w:val="20"/>
                <w:szCs w:val="20"/>
                <w:color w:val="auto"/>
              </w:rPr>
            </w:pPr>
            <w:r>
              <w:rPr>
                <w:rFonts w:ascii="Arial" w:cs="Arial" w:eastAsia="Arial" w:hAnsi="Arial"/>
                <w:sz w:val="10"/>
                <w:szCs w:val="10"/>
                <w:b w:val="1"/>
                <w:bCs w:val="1"/>
                <w:color w:val="auto"/>
              </w:rPr>
              <w:t>December 31,</w:t>
            </w:r>
          </w:p>
        </w:tc>
        <w:tc>
          <w:tcPr>
            <w:tcW w:w="110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400" w:type="dxa"/>
            <w:vAlign w:val="bottom"/>
            <w:vMerge w:val="continue"/>
            <w:shd w:val="clear" w:color="auto" w:fill="CCEEFF"/>
          </w:tcPr>
          <w:p>
            <w:pPr>
              <w:spacing w:after="0"/>
              <w:rPr>
                <w:sz w:val="11"/>
                <w:szCs w:val="11"/>
                <w:color w:val="auto"/>
              </w:rPr>
            </w:pPr>
          </w:p>
        </w:tc>
        <w:tc>
          <w:tcPr>
            <w:tcW w:w="1280" w:type="dxa"/>
            <w:vAlign w:val="bottom"/>
            <w:shd w:val="clear" w:color="auto" w:fill="CCEEFF"/>
          </w:tcPr>
          <w:p>
            <w:pPr>
              <w:jc w:val="right"/>
              <w:ind w:right="489"/>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ind w:left="20"/>
              <w:spacing w:after="0"/>
              <w:rPr>
                <w:sz w:val="20"/>
                <w:szCs w:val="20"/>
                <w:color w:val="auto"/>
              </w:rPr>
            </w:pPr>
            <w:r>
              <w:rPr>
                <w:rFonts w:ascii="Arial" w:cs="Arial" w:eastAsia="Arial" w:hAnsi="Arial"/>
                <w:sz w:val="10"/>
                <w:szCs w:val="10"/>
                <w:b w:val="1"/>
                <w:bCs w:val="1"/>
                <w:color w:val="auto"/>
              </w:rPr>
              <w:t>Change</w:t>
            </w:r>
          </w:p>
        </w:tc>
        <w:tc>
          <w:tcPr>
            <w:tcW w:w="1260" w:type="dxa"/>
            <w:vAlign w:val="bottom"/>
            <w:shd w:val="clear" w:color="auto" w:fill="CCEEFF"/>
          </w:tcPr>
          <w:p>
            <w:pPr>
              <w:jc w:val="right"/>
              <w:ind w:right="489"/>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626"/>
              <w:spacing w:after="0"/>
              <w:rPr>
                <w:sz w:val="20"/>
                <w:szCs w:val="20"/>
                <w:color w:val="auto"/>
              </w:rPr>
            </w:pPr>
            <w:r>
              <w:rPr>
                <w:rFonts w:ascii="Arial" w:cs="Arial" w:eastAsia="Arial" w:hAnsi="Arial"/>
                <w:sz w:val="10"/>
                <w:szCs w:val="10"/>
                <w:b w:val="1"/>
                <w:bCs w:val="1"/>
                <w:color w:val="auto"/>
                <w:w w:val="81"/>
              </w:rPr>
              <w:t>Change</w:t>
            </w:r>
          </w:p>
        </w:tc>
        <w:tc>
          <w:tcPr>
            <w:tcW w:w="0" w:type="dxa"/>
            <w:vAlign w:val="bottom"/>
          </w:tcPr>
          <w:p>
            <w:pPr>
              <w:spacing w:after="0"/>
              <w:rPr>
                <w:sz w:val="1"/>
                <w:szCs w:val="1"/>
                <w:color w:val="auto"/>
              </w:rPr>
            </w:pPr>
          </w:p>
        </w:tc>
      </w:tr>
      <w:tr>
        <w:trPr>
          <w:trHeight w:val="147"/>
        </w:trPr>
        <w:tc>
          <w:tcPr>
            <w:tcW w:w="2400" w:type="dxa"/>
            <w:vAlign w:val="bottom"/>
          </w:tcPr>
          <w:p>
            <w:pPr>
              <w:ind w:left="120"/>
              <w:spacing w:after="0"/>
              <w:rPr>
                <w:sz w:val="20"/>
                <w:szCs w:val="20"/>
                <w:color w:val="auto"/>
              </w:rPr>
            </w:pPr>
            <w:r>
              <w:rPr>
                <w:rFonts w:ascii="Arial" w:cs="Arial" w:eastAsia="Arial" w:hAnsi="Arial"/>
                <w:sz w:val="11"/>
                <w:szCs w:val="11"/>
                <w:color w:val="auto"/>
              </w:rPr>
              <w:t>North America</w:t>
            </w:r>
          </w:p>
        </w:tc>
        <w:tc>
          <w:tcPr>
            <w:tcW w:w="1280" w:type="dxa"/>
            <w:vAlign w:val="bottom"/>
            <w:tcBorders>
              <w:top w:val="single" w:sz="8" w:color="auto"/>
            </w:tcBorders>
          </w:tcPr>
          <w:p>
            <w:pPr>
              <w:jc w:val="right"/>
              <w:ind w:right="69"/>
              <w:spacing w:after="0"/>
              <w:rPr>
                <w:sz w:val="20"/>
                <w:szCs w:val="20"/>
                <w:color w:val="auto"/>
              </w:rPr>
            </w:pPr>
            <w:r>
              <w:rPr>
                <w:rFonts w:ascii="Arial" w:cs="Arial" w:eastAsia="Arial" w:hAnsi="Arial"/>
                <w:sz w:val="11"/>
                <w:szCs w:val="11"/>
                <w:color w:val="auto"/>
              </w:rPr>
              <w:t>621.9</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464.5</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157.4</w:t>
            </w: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33.9%</w:t>
            </w:r>
          </w:p>
        </w:tc>
        <w:tc>
          <w:tcPr>
            <w:tcW w:w="120" w:type="dxa"/>
            <w:vAlign w:val="bottom"/>
          </w:tcPr>
          <w:p>
            <w:pPr>
              <w:spacing w:after="0"/>
              <w:rPr>
                <w:sz w:val="12"/>
                <w:szCs w:val="12"/>
                <w:color w:val="auto"/>
              </w:rPr>
            </w:pPr>
          </w:p>
        </w:tc>
        <w:tc>
          <w:tcPr>
            <w:tcW w:w="1260" w:type="dxa"/>
            <w:vAlign w:val="bottom"/>
            <w:tcBorders>
              <w:top w:val="single" w:sz="8" w:color="auto"/>
            </w:tcBorders>
          </w:tcPr>
          <w:p>
            <w:pPr>
              <w:jc w:val="right"/>
              <w:ind w:right="69"/>
              <w:spacing w:after="0"/>
              <w:rPr>
                <w:sz w:val="20"/>
                <w:szCs w:val="20"/>
                <w:color w:val="auto"/>
              </w:rPr>
            </w:pPr>
            <w:r>
              <w:rPr>
                <w:rFonts w:ascii="Arial" w:cs="Arial" w:eastAsia="Arial" w:hAnsi="Arial"/>
                <w:sz w:val="11"/>
                <w:szCs w:val="11"/>
                <w:color w:val="auto"/>
              </w:rPr>
              <w:t>464.5</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398.4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66.1</w:t>
            </w: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22"/>
        </w:trPr>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International</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1"/>
                <w:szCs w:val="11"/>
                <w:color w:val="auto"/>
              </w:rPr>
              <w:t>354.5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244.7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44.9%</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1"/>
                <w:szCs w:val="11"/>
                <w:color w:val="auto"/>
              </w:rPr>
              <w:t>244.7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184.8</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59.9</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38"/>
        </w:trPr>
        <w:tc>
          <w:tcPr>
            <w:tcW w:w="2400" w:type="dxa"/>
            <w:vAlign w:val="bottom"/>
          </w:tcPr>
          <w:p>
            <w:pPr>
              <w:ind w:left="20"/>
              <w:spacing w:after="0"/>
              <w:rPr>
                <w:sz w:val="20"/>
                <w:szCs w:val="20"/>
                <w:color w:val="auto"/>
              </w:rPr>
            </w:pPr>
            <w:r>
              <w:rPr>
                <w:rFonts w:ascii="Arial" w:cs="Arial" w:eastAsia="Arial" w:hAnsi="Arial"/>
                <w:sz w:val="11"/>
                <w:szCs w:val="11"/>
                <w:color w:val="auto"/>
              </w:rPr>
              <w:t>Total case volume</w:t>
            </w:r>
          </w:p>
        </w:tc>
        <w:tc>
          <w:tcPr>
            <w:tcW w:w="1280" w:type="dxa"/>
            <w:vAlign w:val="bottom"/>
            <w:tcBorders>
              <w:top w:val="single" w:sz="8" w:color="auto"/>
            </w:tcBorders>
          </w:tcPr>
          <w:p>
            <w:pPr>
              <w:jc w:val="right"/>
              <w:ind w:right="69"/>
              <w:spacing w:after="0"/>
              <w:rPr>
                <w:sz w:val="20"/>
                <w:szCs w:val="20"/>
                <w:color w:val="auto"/>
              </w:rPr>
            </w:pPr>
            <w:r>
              <w:rPr>
                <w:rFonts w:ascii="Arial" w:cs="Arial" w:eastAsia="Arial" w:hAnsi="Arial"/>
                <w:sz w:val="11"/>
                <w:szCs w:val="11"/>
                <w:color w:val="auto"/>
              </w:rPr>
              <w:t>976.4</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709.2</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267.2</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12"/>
                <w:szCs w:val="12"/>
                <w:color w:val="auto"/>
              </w:rPr>
            </w:pPr>
          </w:p>
        </w:tc>
        <w:tc>
          <w:tcPr>
            <w:tcW w:w="1260" w:type="dxa"/>
            <w:vAlign w:val="bottom"/>
            <w:tcBorders>
              <w:top w:val="single" w:sz="8" w:color="auto"/>
            </w:tcBorders>
          </w:tcPr>
          <w:p>
            <w:pPr>
              <w:jc w:val="right"/>
              <w:ind w:right="69"/>
              <w:spacing w:after="0"/>
              <w:rPr>
                <w:sz w:val="20"/>
                <w:szCs w:val="20"/>
                <w:color w:val="auto"/>
              </w:rPr>
            </w:pPr>
            <w:r>
              <w:rPr>
                <w:rFonts w:ascii="Arial" w:cs="Arial" w:eastAsia="Arial" w:hAnsi="Arial"/>
                <w:sz w:val="11"/>
                <w:szCs w:val="11"/>
                <w:color w:val="auto"/>
              </w:rPr>
              <w:t>709.2</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583.2</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126.0</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21.6%</w:t>
            </w: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net revenues increased by $393.6 million in 2017 as compared to 2016 primarily as a result of case volume growth across all regions and products as well as increased non-case revenue.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North America</w:t>
      </w:r>
    </w:p>
    <w:p>
      <w:pPr>
        <w:spacing w:after="0" w:line="150"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1"/>
          <w:szCs w:val="11"/>
          <w:color w:val="auto"/>
        </w:rPr>
        <w:t>North America net revenues increased by $175.9 million in 2017 compared to 2016 primarily due to case volume growth across all channels and most products which increased net revenues by $192.6 million. This increase was offset in part by lower average selling price ("ASP") which decreased net revenues by $16.7 million. The ASP decline is a result of a shift in product mix towards Non-Comprehensive Products, primarily driven by increased SDC revenues which carry a lower ASP and higher Invisalign promotional discounts, which collectively reduced revenues by $58.4 million. These factors contributing to the decline in ASP were offset in part by price increases on our Comprehensive Products effective on April 1, 2017 which contributed $28.4 million to net revenues as well as an increase in additional aligner revenue which contributed $10.8 million to net revenues, among other factors.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437" w:right="199" w:bottom="1440" w:gutter="0" w:footer="0" w:header="0"/>
        </w:sectPr>
      </w:pPr>
    </w:p>
    <w:bookmarkStart w:id="38" w:name="page39"/>
    <w:bookmarkEnd w:id="38"/>
    <w:p>
      <w:pPr>
        <w:ind w:left="160"/>
        <w:spacing w:after="0"/>
        <w:rPr>
          <w:sz w:val="20"/>
          <w:szCs w:val="20"/>
          <w:color w:val="auto"/>
        </w:rPr>
      </w:pPr>
      <w:r>
        <w:rPr>
          <w:rFonts w:ascii="Arial" w:cs="Arial" w:eastAsia="Arial" w:hAnsi="Arial"/>
          <w:sz w:val="12"/>
          <w:szCs w:val="12"/>
          <w:i w:val="1"/>
          <w:iCs w:val="1"/>
          <w:color w:val="auto"/>
        </w:rPr>
        <w:t>Clear Aligner - International</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International net revenues increased by $156.4 million in 2017 compared to 2016 primarily driven by case volume growth across all channels and products which increased net revenues by $146.7 million and, to a lesser extent, higher ASP which contributed approximately $9.7 million to the increase in net revenues. The increase in ASP was primarily due to price increases in our Comprehensive Products effective on July 1, 2017, as well as the impact from acquiring certain distributors as we now recognize direct sales at full ASP rather than the discounted ASP, which collectively contributed $24.7 million to net revenues. The factors contributing to an increase in ASP were offset in part by higher promotional discounts which decreased net revenues by $12.6 million as well as an increase in net revenue deferrals of $3.6 million, among other factors.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Non-Case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Non-case net revenues, consisting of training fees and ancillary product revenues, increased by $18.7 million in 2017 compared to 2016 primarily due to increased Vivera volume in both North America and International.</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Scanner net revenues increased by $42.6 million in 2017 compared to 2016 primarily as a result of an increase in the number of scanners recognized which increased net revenues by $29.7 million as well as higher CAD/CAM services resulting from a larger installed base of scanners which contributed $16.2 million to net revenues. These increases were offset in part by a decrease in scanner ASP which reduced net revenues by $3.3 million.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2016 compared to Fiscal Year 2015</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net revenues increased by $234.3 million in 2016 as compared to 2015 primarily as a result of case volume growth across all regions and products as well as increased non-case revenue.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North America</w:t>
      </w:r>
    </w:p>
    <w:p>
      <w:pPr>
        <w:spacing w:after="0" w:line="150"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2"/>
          <w:szCs w:val="12"/>
          <w:color w:val="auto"/>
        </w:rPr>
        <w:t>North America net revenues increased by $70.0 million in 2016 compared to 2015 primarily due to case volume growth across all channels and products which increased net revenues by $82.7 million. This increase was offset in part by lower average selling price ("ASP") which decreased net revenues by $12.7 million. ASP declined in 2016 compared to 2015 as a result of higher promotional discounts of $21.9 million as well as an increase in net deferrals of $7.7 million primarily related to the full year effect of our new additional aligners product policy launched in July 2015. These declines were partially offset by price increases on our Comprehensive Products effective April 1, 2016 which contributed $17.7 million to net revenues.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International</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International net revenues increased by $76.5 million in 2016 compared to 2015 primarily driven by case volume growth across all channels and products which increased net revenues by $80.9 million. This increase was offset in part by lower ASP which decreased net revenues by $4.4 million. ASP declined in 2016 compared to 2015 as a result of higher promotional discounts of $6.9 million as well as the unfavorable impact of changes in foreign exchange rates of $6.8 million. These declines were partially offset by the price increases on our Comprehensive products effective April 1, 2016 which contributed $5.7 million to net revenues, as well as an increase in additional aligner revenue of $3.5 million.</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Clear Aligner - Non-Case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Non-case net revenues, consisting of training fees and ancillary product revenues, increased by $11.6 million in 2016 compared to 2015 primarily due to increased Vivera volume both in North America and International.</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Scanner net revenues increased by $76.2 million in 2016 compared to 2015 primarily as a result of an increase in the number of scanners recognized as we began shipping our next generation iTero Element scanner in September 2015, which contributed $43.3 million in net revenues and, to a lesser extent, an increase in ASP. which contributed $23.7 million to net revenues.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581" w:right="199" w:bottom="1440" w:gutter="0" w:footer="0" w:header="0"/>
        </w:sectPr>
      </w:pPr>
    </w:p>
    <w:bookmarkStart w:id="39" w:name="page40"/>
    <w:bookmarkEnd w:id="39"/>
    <w:p>
      <w:pPr>
        <w:ind w:left="160"/>
        <w:spacing w:after="0"/>
        <w:rPr>
          <w:sz w:val="20"/>
          <w:szCs w:val="20"/>
          <w:color w:val="auto"/>
        </w:rPr>
      </w:pPr>
      <w:r>
        <w:rPr>
          <w:rFonts w:ascii="Arial" w:cs="Arial" w:eastAsia="Arial" w:hAnsi="Arial"/>
          <w:sz w:val="12"/>
          <w:szCs w:val="12"/>
          <w:b w:val="1"/>
          <w:bCs w:val="1"/>
          <w:i w:val="1"/>
          <w:iCs w:val="1"/>
          <w:color w:val="auto"/>
        </w:rPr>
        <w:t>Cost of net revenues and gross profit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96"/>
        </w:trPr>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1140" w:type="dxa"/>
            <w:vAlign w:val="bottom"/>
            <w:gridSpan w:val="2"/>
            <w:shd w:val="clear" w:color="auto" w:fill="CCEEFF"/>
          </w:tcPr>
          <w:p>
            <w:pPr>
              <w:ind w:left="10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110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132"/>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502"/>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502"/>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82"/>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62"/>
              <w:spacing w:after="0"/>
              <w:rPr>
                <w:sz w:val="20"/>
                <w:szCs w:val="20"/>
                <w:color w:val="auto"/>
              </w:rPr>
            </w:pPr>
            <w:r>
              <w:rPr>
                <w:rFonts w:ascii="Arial" w:cs="Arial" w:eastAsia="Arial" w:hAnsi="Arial"/>
                <w:sz w:val="10"/>
                <w:szCs w:val="10"/>
                <w:b w:val="1"/>
                <w:bCs w:val="1"/>
                <w:color w:val="auto"/>
              </w:rPr>
              <w:t>2015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02"/>
              <w:spacing w:after="0"/>
              <w:rPr>
                <w:sz w:val="20"/>
                <w:szCs w:val="20"/>
                <w:color w:val="auto"/>
              </w:rPr>
            </w:pPr>
            <w:r>
              <w:rPr>
                <w:rFonts w:ascii="Arial" w:cs="Arial" w:eastAsia="Arial" w:hAnsi="Arial"/>
                <w:sz w:val="10"/>
                <w:szCs w:val="10"/>
                <w:b w:val="1"/>
                <w:bCs w:val="1"/>
                <w:color w:val="auto"/>
              </w:rPr>
              <w:t>Change</w:t>
            </w:r>
          </w:p>
        </w:tc>
      </w:tr>
      <w:tr>
        <w:trPr>
          <w:trHeight w:val="115"/>
        </w:trPr>
        <w:tc>
          <w:tcPr>
            <w:tcW w:w="3320" w:type="dxa"/>
            <w:vAlign w:val="bottom"/>
            <w:gridSpan w:val="5"/>
          </w:tcPr>
          <w:p>
            <w:pPr>
              <w:ind w:left="20"/>
              <w:spacing w:after="0" w:line="115" w:lineRule="exact"/>
              <w:rPr>
                <w:sz w:val="20"/>
                <w:szCs w:val="20"/>
                <w:color w:val="auto"/>
              </w:rPr>
            </w:pPr>
            <w:r>
              <w:rPr>
                <w:rFonts w:ascii="Arial" w:cs="Arial" w:eastAsia="Arial" w:hAnsi="Arial"/>
                <w:sz w:val="12"/>
                <w:szCs w:val="12"/>
                <w:b w:val="1"/>
                <w:bCs w:val="1"/>
                <w:color w:val="auto"/>
              </w:rPr>
              <w:t>Clear Aligner</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0"/>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Cost of net revenues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289.7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210.8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78.9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210.8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172.0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38.8</w:t>
            </w: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i w:val="1"/>
                <w:iCs w:val="1"/>
                <w:color w:val="auto"/>
              </w:rPr>
              <w:t>% of net segment revenues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i w:val="1"/>
                <w:iCs w:val="1"/>
                <w:color w:val="auto"/>
              </w:rPr>
              <w:t>22.1%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i w:val="1"/>
                <w:iCs w:val="1"/>
                <w:color w:val="auto"/>
              </w:rPr>
              <w:t>22.0%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i w:val="1"/>
                <w:iCs w:val="1"/>
                <w:color w:val="auto"/>
              </w:rPr>
              <w:t>22.0%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i w:val="1"/>
                <w:iCs w:val="1"/>
                <w:color w:val="auto"/>
              </w:rPr>
              <w:t>21.5%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1,019.6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747.5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272.1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747.5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628.2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119.3</w:t>
            </w: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i w:val="1"/>
                <w:iCs w:val="1"/>
                <w:color w:val="auto"/>
              </w:rPr>
              <w:t>Gross margin %</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i w:val="1"/>
                <w:iCs w:val="1"/>
                <w:color w:val="auto"/>
              </w:rPr>
              <w:t>77.9%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i w:val="1"/>
                <w:iCs w:val="1"/>
                <w:color w:val="auto"/>
              </w:rPr>
              <w:t>78.0%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i w:val="1"/>
                <w:iCs w:val="1"/>
                <w:color w:val="auto"/>
              </w:rPr>
              <w:t>78.0%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i w:val="1"/>
                <w:iCs w:val="1"/>
                <w:color w:val="auto"/>
              </w:rPr>
              <w:t>78.5%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Scanner</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Cost of net revenues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2"/>
                <w:szCs w:val="12"/>
                <w:color w:val="auto"/>
              </w:rPr>
              <w:t>66.8</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53.7</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53.7</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33.4</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20.3</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 of net segment revenues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44.2%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2"/>
                <w:szCs w:val="12"/>
                <w:color w:val="auto"/>
              </w:rPr>
              <w:t>97.4</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67.8</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29.6</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55.9</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Gross margin %</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59.3%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55.8%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55.8%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35"/>
        </w:trPr>
        <w:tc>
          <w:tcPr>
            <w:tcW w:w="33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Total cost of net revenues</w:t>
            </w:r>
          </w:p>
        </w:tc>
        <w:tc>
          <w:tcPr>
            <w:tcW w:w="220" w:type="dxa"/>
            <w:vAlign w:val="bottom"/>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356.5</w:t>
            </w:r>
          </w:p>
        </w:tc>
        <w:tc>
          <w:tcPr>
            <w:tcW w:w="100" w:type="dxa"/>
            <w:vAlign w:val="bottom"/>
          </w:tcPr>
          <w:p>
            <w:pPr>
              <w:spacing w:after="0"/>
              <w:rPr>
                <w:sz w:val="11"/>
                <w:szCs w:val="11"/>
                <w:color w:val="auto"/>
              </w:rPr>
            </w:pPr>
          </w:p>
        </w:tc>
        <w:tc>
          <w:tcPr>
            <w:tcW w:w="280" w:type="dxa"/>
            <w:vAlign w:val="bottom"/>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264.6</w:t>
            </w:r>
          </w:p>
        </w:tc>
        <w:tc>
          <w:tcPr>
            <w:tcW w:w="120" w:type="dxa"/>
            <w:vAlign w:val="bottom"/>
          </w:tcPr>
          <w:p>
            <w:pPr>
              <w:spacing w:after="0"/>
              <w:rPr>
                <w:sz w:val="11"/>
                <w:szCs w:val="11"/>
                <w:color w:val="auto"/>
              </w:rPr>
            </w:pPr>
          </w:p>
        </w:tc>
        <w:tc>
          <w:tcPr>
            <w:tcW w:w="260" w:type="dxa"/>
            <w:vAlign w:val="bottom"/>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91.9</w:t>
            </w:r>
          </w:p>
        </w:tc>
        <w:tc>
          <w:tcPr>
            <w:tcW w:w="120" w:type="dxa"/>
            <w:vAlign w:val="bottom"/>
          </w:tcPr>
          <w:p>
            <w:pPr>
              <w:spacing w:after="0"/>
              <w:rPr>
                <w:sz w:val="11"/>
                <w:szCs w:val="11"/>
                <w:color w:val="auto"/>
              </w:rPr>
            </w:pPr>
          </w:p>
        </w:tc>
        <w:tc>
          <w:tcPr>
            <w:tcW w:w="200" w:type="dxa"/>
            <w:vAlign w:val="bottom"/>
          </w:tcPr>
          <w:p>
            <w:pPr>
              <w:jc w:val="right"/>
              <w:ind w:right="60"/>
              <w:spacing w:after="0" w:line="135" w:lineRule="exact"/>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264.6</w:t>
            </w:r>
          </w:p>
        </w:tc>
        <w:tc>
          <w:tcPr>
            <w:tcW w:w="100" w:type="dxa"/>
            <w:vAlign w:val="bottom"/>
          </w:tcPr>
          <w:p>
            <w:pPr>
              <w:spacing w:after="0"/>
              <w:rPr>
                <w:sz w:val="11"/>
                <w:szCs w:val="11"/>
                <w:color w:val="auto"/>
              </w:rPr>
            </w:pPr>
          </w:p>
        </w:tc>
        <w:tc>
          <w:tcPr>
            <w:tcW w:w="280" w:type="dxa"/>
            <w:vAlign w:val="bottom"/>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205.4</w:t>
            </w:r>
          </w:p>
        </w:tc>
        <w:tc>
          <w:tcPr>
            <w:tcW w:w="120" w:type="dxa"/>
            <w:vAlign w:val="bottom"/>
          </w:tcPr>
          <w:p>
            <w:pPr>
              <w:spacing w:after="0"/>
              <w:rPr>
                <w:sz w:val="11"/>
                <w:szCs w:val="11"/>
                <w:color w:val="auto"/>
              </w:rPr>
            </w:pPr>
          </w:p>
        </w:tc>
        <w:tc>
          <w:tcPr>
            <w:tcW w:w="260" w:type="dxa"/>
            <w:vAlign w:val="bottom"/>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59.2</w:t>
            </w:r>
          </w:p>
        </w:tc>
      </w:tr>
      <w:tr>
        <w:trPr>
          <w:trHeight w:val="25"/>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0"/>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 of net revenues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1"/>
        </w:trPr>
        <w:tc>
          <w:tcPr>
            <w:tcW w:w="3320" w:type="dxa"/>
            <w:vAlign w:val="bottom"/>
            <w:gridSpan w:val="5"/>
          </w:tcPr>
          <w:p>
            <w:pPr>
              <w:ind w:left="20"/>
              <w:spacing w:after="0"/>
              <w:rPr>
                <w:sz w:val="20"/>
                <w:szCs w:val="20"/>
                <w:color w:val="auto"/>
              </w:rPr>
            </w:pPr>
            <w:r>
              <w:rPr>
                <w:rFonts w:ascii="Arial" w:cs="Arial" w:eastAsia="Arial" w:hAnsi="Arial"/>
                <w:sz w:val="12"/>
                <w:szCs w:val="12"/>
                <w:color w:val="auto"/>
              </w:rPr>
              <w:t>Gross profit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2"/>
                <w:szCs w:val="12"/>
                <w:color w:val="auto"/>
              </w:rPr>
              <w:t>1,116.9</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815.3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301.6</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815.3</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640.1</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175.2</w:t>
            </w:r>
          </w:p>
        </w:tc>
      </w:tr>
      <w:tr>
        <w:trPr>
          <w:trHeight w:val="189"/>
        </w:trPr>
        <w:tc>
          <w:tcPr>
            <w:tcW w:w="332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Gross margin %</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94"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gross margin percentage declined slightly in 2017 compared to 2016 primarily due to an increase in aligners per case driven by additional aligners which was partially offset by higher absorption as a result of increased production volumes.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gross margin percentage increased in 2017 compared to 2016 primarily due to a favorable product mix shift to our lower cost iTero Element scanner. This was partially offset by a lower ASP.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Fiscal Year 2016 compared to Fiscal Year 2015</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gross margin percentage declined in 2016 compared to 2015 primarily driven by a higher number of aligners per case and lower ASP which was partially offset by higher absorption as a result of increased production volumes.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gross margin percentage increased in 2016 compared to 2015 due to a product mix shift to our iTero Element scanner which has a higher ASP along with lower costs per unit.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437" w:right="199" w:bottom="1440" w:gutter="0" w:footer="0" w:header="0"/>
        </w:sectPr>
      </w:pPr>
    </w:p>
    <w:bookmarkStart w:id="40" w:name="page41"/>
    <w:bookmarkEnd w:id="40"/>
    <w:p>
      <w:pPr>
        <w:ind w:left="160"/>
        <w:spacing w:after="0"/>
        <w:rPr>
          <w:sz w:val="20"/>
          <w:szCs w:val="20"/>
          <w:color w:val="auto"/>
        </w:rPr>
      </w:pPr>
      <w:r>
        <w:rPr>
          <w:rFonts w:ascii="Arial" w:cs="Arial" w:eastAsia="Arial" w:hAnsi="Arial"/>
          <w:sz w:val="12"/>
          <w:szCs w:val="12"/>
          <w:b w:val="1"/>
          <w:bCs w:val="1"/>
          <w:i w:val="1"/>
          <w:iCs w:val="1"/>
          <w:color w:val="auto"/>
        </w:rPr>
        <w:t>Selling, general and administrative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96"/>
        </w:trPr>
        <w:tc>
          <w:tcPr>
            <w:tcW w:w="3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1120" w:type="dxa"/>
            <w:vAlign w:val="bottom"/>
            <w:gridSpan w:val="2"/>
            <w:shd w:val="clear" w:color="auto" w:fill="CCEEFF"/>
          </w:tcPr>
          <w:p>
            <w:pPr>
              <w:ind w:left="10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1080" w:type="dxa"/>
            <w:vAlign w:val="bottom"/>
            <w:gridSpan w:val="2"/>
            <w:shd w:val="clear" w:color="auto" w:fill="CCEEFF"/>
          </w:tcPr>
          <w:p>
            <w:pPr>
              <w:ind w:left="6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132"/>
        </w:trPr>
        <w:tc>
          <w:tcPr>
            <w:tcW w:w="3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87"/>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486"/>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87"/>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86"/>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26"/>
              <w:spacing w:after="0"/>
              <w:rPr>
                <w:sz w:val="20"/>
                <w:szCs w:val="20"/>
                <w:color w:val="auto"/>
              </w:rPr>
            </w:pPr>
            <w:r>
              <w:rPr>
                <w:rFonts w:ascii="Arial" w:cs="Arial" w:eastAsia="Arial" w:hAnsi="Arial"/>
                <w:sz w:val="10"/>
                <w:szCs w:val="10"/>
                <w:b w:val="1"/>
                <w:bCs w:val="1"/>
                <w:color w:val="auto"/>
              </w:rPr>
              <w:t>Change</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Selling, general and administrative</w:t>
            </w: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87"/>
              <w:spacing w:after="0"/>
              <w:rPr>
                <w:sz w:val="20"/>
                <w:szCs w:val="20"/>
                <w:color w:val="auto"/>
              </w:rPr>
            </w:pPr>
            <w:r>
              <w:rPr>
                <w:rFonts w:ascii="Arial" w:cs="Arial" w:eastAsia="Arial" w:hAnsi="Arial"/>
                <w:sz w:val="12"/>
                <w:szCs w:val="12"/>
                <w:color w:val="auto"/>
              </w:rPr>
              <w:t>665.8</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490.7</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175.1</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87"/>
              <w:spacing w:after="0"/>
              <w:rPr>
                <w:sz w:val="20"/>
                <w:szCs w:val="20"/>
                <w:color w:val="auto"/>
              </w:rPr>
            </w:pPr>
            <w:r>
              <w:rPr>
                <w:rFonts w:ascii="Arial" w:cs="Arial" w:eastAsia="Arial" w:hAnsi="Arial"/>
                <w:sz w:val="12"/>
                <w:szCs w:val="12"/>
                <w:color w:val="auto"/>
              </w:rPr>
              <w:t>490.7</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390.2</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100.5</w:t>
            </w: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 of net revenues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depreciation and amortization expense, the medical device excise tax ("MDET") and allocations of corporate overhead expenses including facilities and IT.</w:t>
      </w:r>
    </w:p>
    <w:p>
      <w:pPr>
        <w:spacing w:after="0" w:line="123"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Selling, general and administrative expense increased in 2017 compared to 2016 primarily due to higher compensation related costs of $85.6 million mainly as a result of increased headcount resulting in higher salaries expense, incentive bonuses and fringe benefits. We also incurred higher expenses from advertising and marketing of $34.2 million, equipment and maintenance costs of $21.9 million, and outside services costs of $20.3 million.</w:t>
      </w:r>
    </w:p>
    <w:p>
      <w:pPr>
        <w:spacing w:after="0" w:line="92"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Selling, general and administrative expense increased in 2016 compared to 2015 primarily due to higher compensation related costs of $47.1 million as a result of increased headcount resulting in higher salaries expense, incentive bonuses and fringe benefits. We also incurred higher expenses from advertising and marketing of $16.5 million, outside services costs of $12.2 million, equipment and material costs of $6.8 million, travel and related costs of $6.0 million and credit card processing fees of $4.2 million. In addition, during the first quarter of 2015, there was a refund of MDET taxes paid in 2014 of $6.8 million as our aligners are no longer subject to the excise tax.</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Research and development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2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r>
      <w:tr>
        <w:trPr>
          <w:trHeight w:val="96"/>
        </w:trPr>
        <w:tc>
          <w:tcPr>
            <w:tcW w:w="3280" w:type="dxa"/>
            <w:vAlign w:val="bottom"/>
            <w:shd w:val="clear" w:color="auto" w:fill="CCEEFF"/>
          </w:tcPr>
          <w:p>
            <w:pPr>
              <w:spacing w:after="0"/>
              <w:rPr>
                <w:sz w:val="8"/>
                <w:szCs w:val="8"/>
                <w:color w:val="auto"/>
              </w:rPr>
            </w:pPr>
          </w:p>
        </w:tc>
        <w:tc>
          <w:tcPr>
            <w:tcW w:w="920" w:type="dxa"/>
            <w:vAlign w:val="bottom"/>
            <w:shd w:val="clear" w:color="auto" w:fill="CCEEFF"/>
          </w:tcPr>
          <w:p>
            <w:pPr>
              <w:jc w:val="center"/>
              <w:ind w:left="271"/>
              <w:spacing w:after="0" w:line="96" w:lineRule="exact"/>
              <w:rPr>
                <w:sz w:val="20"/>
                <w:szCs w:val="20"/>
                <w:color w:val="auto"/>
              </w:rPr>
            </w:pPr>
            <w:r>
              <w:rPr>
                <w:rFonts w:ascii="Arial" w:cs="Arial" w:eastAsia="Arial" w:hAnsi="Arial"/>
                <w:sz w:val="10"/>
                <w:szCs w:val="10"/>
                <w:b w:val="1"/>
                <w:bCs w:val="1"/>
                <w:color w:val="auto"/>
                <w:w w:val="86"/>
              </w:rPr>
              <w:t>December 31,</w:t>
            </w: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8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gridSpan w:val="2"/>
            <w:shd w:val="clear" w:color="auto" w:fill="CCEEFF"/>
          </w:tcPr>
          <w:p>
            <w:pPr>
              <w:ind w:left="12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108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132"/>
        </w:trPr>
        <w:tc>
          <w:tcPr>
            <w:tcW w:w="32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2017</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66"/>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0"/>
                <w:szCs w:val="10"/>
                <w:b w:val="1"/>
                <w:bCs w:val="1"/>
                <w:color w:val="auto"/>
              </w:rPr>
              <w:t>Change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467"/>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66"/>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386"/>
              <w:spacing w:after="0"/>
              <w:rPr>
                <w:sz w:val="20"/>
                <w:szCs w:val="20"/>
                <w:color w:val="auto"/>
              </w:rPr>
            </w:pPr>
            <w:r>
              <w:rPr>
                <w:rFonts w:ascii="Arial" w:cs="Arial" w:eastAsia="Arial" w:hAnsi="Arial"/>
                <w:sz w:val="10"/>
                <w:szCs w:val="10"/>
                <w:b w:val="1"/>
                <w:bCs w:val="1"/>
                <w:color w:val="auto"/>
              </w:rPr>
              <w:t>Change</w:t>
            </w:r>
          </w:p>
        </w:tc>
      </w:tr>
      <w:tr>
        <w:trPr>
          <w:trHeight w:val="160"/>
        </w:trPr>
        <w:tc>
          <w:tcPr>
            <w:tcW w:w="328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920" w:type="dxa"/>
            <w:vAlign w:val="bottom"/>
            <w:tcBorders>
              <w:top w:val="single" w:sz="8" w:color="auto"/>
            </w:tcBorders>
          </w:tcPr>
          <w:p>
            <w:pPr>
              <w:jc w:val="right"/>
              <w:ind w:right="811"/>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ind w:right="84"/>
              <w:spacing w:after="0"/>
              <w:rPr>
                <w:sz w:val="20"/>
                <w:szCs w:val="20"/>
                <w:color w:val="auto"/>
              </w:rPr>
            </w:pPr>
            <w:r>
              <w:rPr>
                <w:rFonts w:ascii="Arial" w:cs="Arial" w:eastAsia="Arial" w:hAnsi="Arial"/>
                <w:sz w:val="12"/>
                <w:szCs w:val="12"/>
                <w:color w:val="auto"/>
                <w:w w:val="76"/>
              </w:rPr>
              <w:t>97.6</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75.7</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21.9</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ind w:right="67"/>
              <w:spacing w:after="0"/>
              <w:rPr>
                <w:sz w:val="20"/>
                <w:szCs w:val="20"/>
                <w:color w:val="auto"/>
              </w:rPr>
            </w:pPr>
            <w:r>
              <w:rPr>
                <w:rFonts w:ascii="Arial" w:cs="Arial" w:eastAsia="Arial" w:hAnsi="Arial"/>
                <w:sz w:val="12"/>
                <w:szCs w:val="12"/>
                <w:color w:val="auto"/>
              </w:rPr>
              <w:t>75.7</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86"/>
              <w:spacing w:after="0"/>
              <w:rPr>
                <w:sz w:val="20"/>
                <w:szCs w:val="20"/>
                <w:color w:val="auto"/>
              </w:rPr>
            </w:pPr>
            <w:r>
              <w:rPr>
                <w:rFonts w:ascii="Arial" w:cs="Arial" w:eastAsia="Arial" w:hAnsi="Arial"/>
                <w:sz w:val="12"/>
                <w:szCs w:val="12"/>
                <w:color w:val="auto"/>
              </w:rPr>
              <w:t>61.2</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14.5</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 of net revenues</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6.6%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99"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Research and development expense includes the personnel-related costs including stock-based compensation and outside consulting expenses associated with the research and development of new products and enhancements to existing products and allocations of corporate overhead expenses including facilities and IT.</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Research and development expense increased in 2017 compared to 2016 primarily due to higher compensation costs as a result of increased headcount resulting in higher salaries expense, incentive bonuses and fringe benefits.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Research and development expense increased in 2016 compared to 2015 due to higher compensation costs as a result of increased headcount resulting in higher salaries expense, incentive bonuses and fringe benefits.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599" w:right="199" w:bottom="1440" w:gutter="0" w:footer="0" w:header="0"/>
        </w:sectPr>
      </w:pPr>
    </w:p>
    <w:bookmarkStart w:id="41" w:name="page42"/>
    <w:bookmarkEnd w:id="41"/>
    <w:p>
      <w:pPr>
        <w:ind w:left="168"/>
        <w:spacing w:after="0"/>
        <w:rPr>
          <w:sz w:val="20"/>
          <w:szCs w:val="20"/>
          <w:color w:val="auto"/>
        </w:rPr>
      </w:pPr>
      <w:r>
        <w:rPr>
          <w:rFonts w:ascii="Arial" w:cs="Arial" w:eastAsia="Arial" w:hAnsi="Arial"/>
          <w:sz w:val="12"/>
          <w:szCs w:val="12"/>
          <w:b w:val="1"/>
          <w:bCs w:val="1"/>
          <w:i w:val="1"/>
          <w:iCs w:val="1"/>
          <w:color w:val="auto"/>
        </w:rPr>
        <w:t>Income from operations (in millions):</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r>
      <w:tr>
        <w:trPr>
          <w:trHeight w:val="96"/>
        </w:trPr>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4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1080" w:type="dxa"/>
            <w:vAlign w:val="bottom"/>
            <w:gridSpan w:val="2"/>
            <w:shd w:val="clear" w:color="auto" w:fill="CCEEFF"/>
          </w:tcPr>
          <w:p>
            <w:pPr>
              <w:ind w:left="60"/>
              <w:spacing w:after="0" w:line="96" w:lineRule="exact"/>
              <w:rPr>
                <w:sz w:val="20"/>
                <w:szCs w:val="20"/>
                <w:color w:val="auto"/>
              </w:rPr>
            </w:pPr>
            <w:r>
              <w:rPr>
                <w:rFonts w:ascii="Arial" w:cs="Arial" w:eastAsia="Arial" w:hAnsi="Arial"/>
                <w:sz w:val="10"/>
                <w:szCs w:val="10"/>
                <w:b w:val="1"/>
                <w:bCs w:val="1"/>
                <w:color w:val="auto"/>
              </w:rPr>
              <w:t>December 31,</w:t>
            </w: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gridSpan w:val="2"/>
            <w:shd w:val="clear" w:color="auto" w:fill="CCEEFF"/>
          </w:tcPr>
          <w:p>
            <w:pPr>
              <w:ind w:left="12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1100" w:type="dxa"/>
            <w:vAlign w:val="bottom"/>
            <w:gridSpan w:val="2"/>
            <w:shd w:val="clear" w:color="auto" w:fill="CCEEFF"/>
          </w:tcPr>
          <w:p>
            <w:pPr>
              <w:ind w:left="8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132"/>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484"/>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463"/>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0"/>
                <w:szCs w:val="10"/>
                <w:b w:val="1"/>
                <w:bCs w:val="1"/>
                <w:color w:val="auto"/>
              </w:rPr>
              <w:t>Change</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464"/>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483"/>
              <w:spacing w:after="0"/>
              <w:rPr>
                <w:sz w:val="20"/>
                <w:szCs w:val="20"/>
                <w:color w:val="auto"/>
              </w:rPr>
            </w:pPr>
            <w:r>
              <w:rPr>
                <w:rFonts w:ascii="Arial" w:cs="Arial" w:eastAsia="Arial" w:hAnsi="Arial"/>
                <w:sz w:val="10"/>
                <w:szCs w:val="10"/>
                <w:b w:val="1"/>
                <w:bCs w:val="1"/>
                <w:color w:val="auto"/>
              </w:rPr>
              <w:t>2015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383"/>
              <w:spacing w:after="0"/>
              <w:rPr>
                <w:sz w:val="20"/>
                <w:szCs w:val="20"/>
                <w:color w:val="auto"/>
              </w:rPr>
            </w:pPr>
            <w:r>
              <w:rPr>
                <w:rFonts w:ascii="Arial" w:cs="Arial" w:eastAsia="Arial" w:hAnsi="Arial"/>
                <w:sz w:val="10"/>
                <w:szCs w:val="10"/>
                <w:b w:val="1"/>
                <w:bCs w:val="1"/>
                <w:color w:val="auto"/>
              </w:rPr>
              <w:t>Change</w:t>
            </w:r>
          </w:p>
        </w:tc>
      </w:tr>
      <w:tr>
        <w:trPr>
          <w:trHeight w:val="115"/>
        </w:trPr>
        <w:tc>
          <w:tcPr>
            <w:tcW w:w="3280" w:type="dxa"/>
            <w:vAlign w:val="bottom"/>
            <w:gridSpan w:val="5"/>
          </w:tcPr>
          <w:p>
            <w:pPr>
              <w:ind w:left="20"/>
              <w:spacing w:after="0" w:line="115" w:lineRule="exact"/>
              <w:rPr>
                <w:sz w:val="20"/>
                <w:szCs w:val="20"/>
                <w:color w:val="auto"/>
              </w:rPr>
            </w:pPr>
            <w:r>
              <w:rPr>
                <w:rFonts w:ascii="Arial" w:cs="Arial" w:eastAsia="Arial" w:hAnsi="Arial"/>
                <w:sz w:val="12"/>
                <w:szCs w:val="12"/>
                <w:b w:val="1"/>
                <w:bCs w:val="1"/>
                <w:color w:val="auto"/>
              </w:rPr>
              <w:t>Clear Aligner</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0"/>
        </w:trPr>
        <w:tc>
          <w:tcPr>
            <w:tcW w:w="328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564.6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411.8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411.8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371.1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40.7</w:t>
            </w:r>
          </w:p>
        </w:tc>
      </w:tr>
      <w:tr>
        <w:trPr>
          <w:trHeight w:val="171"/>
        </w:trPr>
        <w:tc>
          <w:tcPr>
            <w:tcW w:w="3280" w:type="dxa"/>
            <w:vAlign w:val="bottom"/>
            <w:gridSpan w:val="5"/>
          </w:tcPr>
          <w:p>
            <w:pPr>
              <w:ind w:left="20"/>
              <w:spacing w:after="0"/>
              <w:rPr>
                <w:sz w:val="20"/>
                <w:szCs w:val="20"/>
                <w:color w:val="auto"/>
              </w:rPr>
            </w:pPr>
            <w:r>
              <w:rPr>
                <w:rFonts w:ascii="Arial" w:cs="Arial" w:eastAsia="Arial" w:hAnsi="Arial"/>
                <w:sz w:val="12"/>
                <w:szCs w:val="12"/>
                <w:i w:val="1"/>
                <w:iCs w:val="1"/>
                <w:color w:val="auto"/>
              </w:rPr>
              <w:t>Operating margin %</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i w:val="1"/>
                <w:iCs w:val="1"/>
                <w:color w:val="auto"/>
              </w:rPr>
              <w:t>43.1%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43.0%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i w:val="1"/>
                <w:iCs w:val="1"/>
                <w:color w:val="auto"/>
              </w:rPr>
              <w:t>43.0%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i w:val="1"/>
                <w:iCs w:val="1"/>
                <w:color w:val="auto"/>
              </w:rPr>
              <w:t>46.4 %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4"/>
        </w:trPr>
        <w:tc>
          <w:tcPr>
            <w:tcW w:w="328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Scanner</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r>
      <w:tr>
        <w:trPr>
          <w:trHeight w:val="171"/>
        </w:trPr>
        <w:tc>
          <w:tcPr>
            <w:tcW w:w="3280" w:type="dxa"/>
            <w:vAlign w:val="bottom"/>
            <w:gridSpan w:val="5"/>
          </w:tcPr>
          <w:p>
            <w:pPr>
              <w:ind w:left="20"/>
              <w:spacing w:after="0"/>
              <w:rPr>
                <w:sz w:val="20"/>
                <w:szCs w:val="20"/>
                <w:color w:val="auto"/>
              </w:rPr>
            </w:pPr>
            <w:r>
              <w:rPr>
                <w:rFonts w:ascii="Arial" w:cs="Arial" w:eastAsia="Arial" w:hAnsi="Arial"/>
                <w:sz w:val="12"/>
                <w:szCs w:val="12"/>
                <w:color w:val="auto"/>
              </w:rPr>
              <w:t>Income (loss) from operations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4"/>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3"/>
              <w:spacing w:after="0"/>
              <w:rPr>
                <w:sz w:val="20"/>
                <w:szCs w:val="20"/>
                <w:color w:val="auto"/>
              </w:rPr>
            </w:pPr>
            <w:r>
              <w:rPr>
                <w:rFonts w:ascii="Arial" w:cs="Arial" w:eastAsia="Arial" w:hAnsi="Arial"/>
                <w:sz w:val="12"/>
                <w:szCs w:val="12"/>
                <w:color w:val="auto"/>
              </w:rPr>
              <w:t>37.5</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3"/>
              <w:spacing w:after="0"/>
              <w:rPr>
                <w:sz w:val="20"/>
                <w:szCs w:val="20"/>
                <w:color w:val="auto"/>
              </w:rPr>
            </w:pPr>
            <w:r>
              <w:rPr>
                <w:rFonts w:ascii="Arial" w:cs="Arial" w:eastAsia="Arial" w:hAnsi="Arial"/>
                <w:sz w:val="12"/>
                <w:szCs w:val="12"/>
                <w:color w:val="auto"/>
              </w:rPr>
              <w:t>12.1</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37.5</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2"/>
                <w:szCs w:val="12"/>
                <w:color w:val="auto"/>
              </w:rPr>
              <w:t>49.8</w:t>
            </w:r>
          </w:p>
        </w:tc>
      </w:tr>
      <w:tr>
        <w:trPr>
          <w:trHeight w:val="189"/>
        </w:trPr>
        <w:tc>
          <w:tcPr>
            <w:tcW w:w="328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Operating margin %</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30.9%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35"/>
        </w:trPr>
        <w:tc>
          <w:tcPr>
            <w:tcW w:w="3280" w:type="dxa"/>
            <w:vAlign w:val="bottom"/>
            <w:gridSpan w:val="5"/>
          </w:tcPr>
          <w:p>
            <w:pPr>
              <w:ind w:left="20"/>
              <w:spacing w:after="0" w:line="135" w:lineRule="exact"/>
              <w:rPr>
                <w:sz w:val="20"/>
                <w:szCs w:val="20"/>
                <w:color w:val="auto"/>
              </w:rPr>
            </w:pPr>
            <w:r>
              <w:rPr>
                <w:rFonts w:ascii="Arial" w:cs="Arial" w:eastAsia="Arial" w:hAnsi="Arial"/>
                <w:sz w:val="11"/>
                <w:szCs w:val="11"/>
                <w:b w:val="1"/>
                <w:bCs w:val="1"/>
                <w:color w:val="auto"/>
              </w:rPr>
              <w:t>Total income from operations</w:t>
            </w:r>
            <w:r>
              <w:rPr>
                <w:rFonts w:ascii="Arial" w:cs="Arial" w:eastAsia="Arial" w:hAnsi="Arial"/>
                <w:sz w:val="15"/>
                <w:szCs w:val="15"/>
                <w:b w:val="1"/>
                <w:bCs w:val="1"/>
                <w:color w:val="auto"/>
                <w:vertAlign w:val="superscript"/>
              </w:rPr>
              <w:t>(1)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4"/>
              <w:spacing w:after="0" w:line="135" w:lineRule="exact"/>
              <w:rPr>
                <w:sz w:val="20"/>
                <w:szCs w:val="20"/>
                <w:color w:val="auto"/>
              </w:rPr>
            </w:pPr>
            <w:r>
              <w:rPr>
                <w:rFonts w:ascii="Arial" w:cs="Arial" w:eastAsia="Arial" w:hAnsi="Arial"/>
                <w:sz w:val="12"/>
                <w:szCs w:val="12"/>
                <w:color w:val="auto"/>
              </w:rPr>
              <w:t>353.6</w:t>
            </w:r>
          </w:p>
        </w:tc>
        <w:tc>
          <w:tcPr>
            <w:tcW w:w="100" w:type="dxa"/>
            <w:vAlign w:val="bottom"/>
          </w:tcPr>
          <w:p>
            <w:pPr>
              <w:spacing w:after="0"/>
              <w:rPr>
                <w:sz w:val="11"/>
                <w:szCs w:val="11"/>
                <w:color w:val="auto"/>
              </w:rPr>
            </w:pPr>
          </w:p>
        </w:tc>
        <w:tc>
          <w:tcPr>
            <w:tcW w:w="280" w:type="dxa"/>
            <w:vAlign w:val="bottom"/>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9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248.9</w:t>
            </w:r>
          </w:p>
        </w:tc>
        <w:tc>
          <w:tcPr>
            <w:tcW w:w="120" w:type="dxa"/>
            <w:vAlign w:val="bottom"/>
          </w:tcPr>
          <w:p>
            <w:pPr>
              <w:spacing w:after="0"/>
              <w:rPr>
                <w:sz w:val="11"/>
                <w:szCs w:val="11"/>
                <w:color w:val="auto"/>
              </w:rPr>
            </w:pPr>
          </w:p>
        </w:tc>
        <w:tc>
          <w:tcPr>
            <w:tcW w:w="260" w:type="dxa"/>
            <w:vAlign w:val="bottom"/>
          </w:tcPr>
          <w:p>
            <w:pPr>
              <w:jc w:val="right"/>
              <w:ind w:right="120"/>
              <w:spacing w:after="0" w:line="135" w:lineRule="exact"/>
              <w:rPr>
                <w:sz w:val="20"/>
                <w:szCs w:val="20"/>
                <w:color w:val="auto"/>
              </w:rPr>
            </w:pPr>
            <w:r>
              <w:rPr>
                <w:rFonts w:ascii="Arial" w:cs="Arial" w:eastAsia="Arial" w:hAnsi="Arial"/>
                <w:sz w:val="12"/>
                <w:szCs w:val="12"/>
                <w:color w:val="auto"/>
                <w:w w:val="89"/>
              </w:rPr>
              <w:t>$</w:t>
            </w:r>
          </w:p>
        </w:tc>
        <w:tc>
          <w:tcPr>
            <w:tcW w:w="9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104.7</w:t>
            </w:r>
          </w:p>
        </w:tc>
        <w:tc>
          <w:tcPr>
            <w:tcW w:w="100" w:type="dxa"/>
            <w:vAlign w:val="bottom"/>
          </w:tcPr>
          <w:p>
            <w:pPr>
              <w:spacing w:after="0"/>
              <w:rPr>
                <w:sz w:val="11"/>
                <w:szCs w:val="11"/>
                <w:color w:val="auto"/>
              </w:rPr>
            </w:pPr>
          </w:p>
        </w:tc>
        <w:tc>
          <w:tcPr>
            <w:tcW w:w="220" w:type="dxa"/>
            <w:vAlign w:val="bottom"/>
          </w:tcPr>
          <w:p>
            <w:pPr>
              <w:jc w:val="right"/>
              <w:ind w:right="80"/>
              <w:spacing w:after="0" w:line="135" w:lineRule="exact"/>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248.9</w:t>
            </w:r>
          </w:p>
        </w:tc>
        <w:tc>
          <w:tcPr>
            <w:tcW w:w="120" w:type="dxa"/>
            <w:vAlign w:val="bottom"/>
          </w:tcPr>
          <w:p>
            <w:pPr>
              <w:spacing w:after="0"/>
              <w:rPr>
                <w:sz w:val="11"/>
                <w:szCs w:val="11"/>
                <w:color w:val="auto"/>
              </w:rPr>
            </w:pPr>
          </w:p>
        </w:tc>
        <w:tc>
          <w:tcPr>
            <w:tcW w:w="280" w:type="dxa"/>
            <w:vAlign w:val="bottom"/>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188.6</w:t>
            </w:r>
          </w:p>
        </w:tc>
        <w:tc>
          <w:tcPr>
            <w:tcW w:w="100" w:type="dxa"/>
            <w:vAlign w:val="bottom"/>
          </w:tcPr>
          <w:p>
            <w:pPr>
              <w:spacing w:after="0"/>
              <w:rPr>
                <w:sz w:val="11"/>
                <w:szCs w:val="11"/>
                <w:color w:val="auto"/>
              </w:rPr>
            </w:pPr>
          </w:p>
        </w:tc>
        <w:tc>
          <w:tcPr>
            <w:tcW w:w="280" w:type="dxa"/>
            <w:vAlign w:val="bottom"/>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9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60.3</w:t>
            </w:r>
          </w:p>
        </w:tc>
      </w:tr>
      <w:tr>
        <w:trPr>
          <w:trHeight w:val="25"/>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0"/>
        </w:trPr>
        <w:tc>
          <w:tcPr>
            <w:tcW w:w="3280" w:type="dxa"/>
            <w:vAlign w:val="bottom"/>
            <w:gridSpan w:val="5"/>
            <w:shd w:val="clear" w:color="auto" w:fill="CCEEFF"/>
          </w:tcPr>
          <w:p>
            <w:pPr>
              <w:ind w:left="20"/>
              <w:spacing w:after="0"/>
              <w:rPr>
                <w:sz w:val="20"/>
                <w:szCs w:val="20"/>
                <w:color w:val="auto"/>
              </w:rPr>
            </w:pPr>
            <w:r>
              <w:rPr>
                <w:rFonts w:ascii="Arial" w:cs="Arial" w:eastAsia="Arial" w:hAnsi="Arial"/>
                <w:sz w:val="12"/>
                <w:szCs w:val="12"/>
                <w:i w:val="1"/>
                <w:iCs w:val="1"/>
                <w:color w:val="auto"/>
              </w:rPr>
              <w:t>Operating margin %</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23.1%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23.1%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22.3 %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bl>
    <w:p>
      <w:pPr>
        <w:ind w:left="8"/>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07" w:lineRule="exact"/>
        <w:rPr>
          <w:sz w:val="20"/>
          <w:szCs w:val="20"/>
          <w:color w:val="auto"/>
        </w:rPr>
      </w:pPr>
    </w:p>
    <w:p>
      <w:pPr>
        <w:ind w:left="108" w:hanging="108"/>
        <w:spacing w:after="0"/>
        <w:tabs>
          <w:tab w:leader="none" w:pos="108" w:val="left"/>
        </w:tabs>
        <w:numPr>
          <w:ilvl w:val="0"/>
          <w:numId w:val="28"/>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 xml:space="preserve">Refer to Note 16 "Segments and Geographical Information" of the Notes to Consolidated Financial Statements </w:t>
      </w:r>
      <w:r>
        <w:rPr>
          <w:rFonts w:ascii="Arial" w:cs="Arial" w:eastAsia="Arial" w:hAnsi="Arial"/>
          <w:sz w:val="10"/>
          <w:szCs w:val="10"/>
          <w:color w:val="auto"/>
        </w:rPr>
        <w:t>for details on unallocated corporate expenses and the reconciliation to total income from operations.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Fiscal Year 2017 compared to Fiscal Year 2016</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Operating margin percentage increased slightly in 2017 compared to 2016 as we leveraged our operating expenses on higher Clear Aligner revenues.</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268"/>
        <w:spacing w:after="0"/>
        <w:rPr>
          <w:sz w:val="20"/>
          <w:szCs w:val="20"/>
          <w:color w:val="auto"/>
        </w:rPr>
      </w:pPr>
      <w:r>
        <w:rPr>
          <w:rFonts w:ascii="Arial" w:cs="Arial" w:eastAsia="Arial" w:hAnsi="Arial"/>
          <w:sz w:val="10"/>
          <w:szCs w:val="10"/>
          <w:color w:val="auto"/>
        </w:rPr>
        <w:t>Operating margin percentage decreased in 2017 compared to 2016 due to higher operating expenses and, to a lesser extent, lower ASP. This was partially offset by a favorable product mix shift to our lower cost iTero Element scanner.</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Fiscal Year 2016 compared to Fiscal Year 2015</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Operating margin percentage declined in 2016 compared to 2015 primarily due to higher compensation costs as a result of increased headcount, higher number of aligners manufactured per case and lower ASP.</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Scanner</w:t>
      </w:r>
    </w:p>
    <w:p>
      <w:pPr>
        <w:spacing w:after="0" w:line="150" w:lineRule="exact"/>
        <w:rPr>
          <w:sz w:val="20"/>
          <w:szCs w:val="20"/>
          <w:color w:val="auto"/>
        </w:rPr>
      </w:pPr>
    </w:p>
    <w:p>
      <w:pPr>
        <w:ind w:left="8" w:firstLine="270"/>
        <w:spacing w:after="0" w:line="276" w:lineRule="auto"/>
        <w:rPr>
          <w:sz w:val="20"/>
          <w:szCs w:val="20"/>
          <w:color w:val="auto"/>
        </w:rPr>
      </w:pPr>
      <w:r>
        <w:rPr>
          <w:rFonts w:ascii="Arial" w:cs="Arial" w:eastAsia="Arial" w:hAnsi="Arial"/>
          <w:sz w:val="12"/>
          <w:szCs w:val="12"/>
          <w:color w:val="auto"/>
        </w:rPr>
        <w:t>Operating margin percentage increased in 2016 compared to 2015 due to a product mix shift to our iTero Element scanner resulting in a higher ASP and lower costs per unit. We also incurred lower operating expenses as a percentage of revenues as we leveraged our operating expenses on higher revenues.</w:t>
      </w:r>
    </w:p>
    <w:p>
      <w:pPr>
        <w:spacing w:after="0" w:line="259"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Interest and other income (expense), net (in millions):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0"/>
                <w:szCs w:val="10"/>
                <w:b w:val="1"/>
                <w:bCs w:val="1"/>
                <w:color w:val="auto"/>
              </w:rPr>
              <w:t>Year Ended</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96"/>
        </w:trPr>
        <w:tc>
          <w:tcPr>
            <w:tcW w:w="3320" w:type="dxa"/>
            <w:vAlign w:val="bottom"/>
            <w:shd w:val="clear" w:color="auto" w:fill="CCEEFF"/>
          </w:tcPr>
          <w:p>
            <w:pPr>
              <w:spacing w:after="0"/>
              <w:rPr>
                <w:sz w:val="8"/>
                <w:szCs w:val="8"/>
                <w:color w:val="auto"/>
              </w:rPr>
            </w:pPr>
          </w:p>
        </w:tc>
        <w:tc>
          <w:tcPr>
            <w:tcW w:w="940" w:type="dxa"/>
            <w:vAlign w:val="bottom"/>
            <w:shd w:val="clear" w:color="auto" w:fill="CCEEFF"/>
          </w:tcPr>
          <w:p>
            <w:pPr>
              <w:jc w:val="center"/>
              <w:ind w:left="288"/>
              <w:spacing w:after="0" w:line="96" w:lineRule="exact"/>
              <w:rPr>
                <w:sz w:val="20"/>
                <w:szCs w:val="20"/>
                <w:color w:val="auto"/>
              </w:rPr>
            </w:pPr>
            <w:r>
              <w:rPr>
                <w:rFonts w:ascii="Arial" w:cs="Arial" w:eastAsia="Arial" w:hAnsi="Arial"/>
                <w:sz w:val="10"/>
                <w:szCs w:val="10"/>
                <w:b w:val="1"/>
                <w:bCs w:val="1"/>
                <w:color w:val="auto"/>
                <w:w w:val="86"/>
              </w:rPr>
              <w:t>December 31,</w:t>
            </w: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jc w:val="center"/>
              <w:ind w:left="251"/>
              <w:spacing w:after="0" w:line="96" w:lineRule="exact"/>
              <w:rPr>
                <w:sz w:val="20"/>
                <w:szCs w:val="20"/>
                <w:color w:val="auto"/>
              </w:rPr>
            </w:pPr>
            <w:r>
              <w:rPr>
                <w:rFonts w:ascii="Arial" w:cs="Arial" w:eastAsia="Arial" w:hAnsi="Arial"/>
                <w:sz w:val="10"/>
                <w:szCs w:val="10"/>
                <w:b w:val="1"/>
                <w:bCs w:val="1"/>
                <w:color w:val="auto"/>
                <w:w w:val="86"/>
              </w:rPr>
              <w:t>December 31,</w:t>
            </w: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center"/>
              <w:ind w:right="340"/>
              <w:spacing w:after="0" w:line="96" w:lineRule="exact"/>
              <w:rPr>
                <w:sz w:val="20"/>
                <w:szCs w:val="20"/>
                <w:color w:val="auto"/>
              </w:rPr>
            </w:pPr>
            <w:r>
              <w:rPr>
                <w:rFonts w:ascii="Arial" w:cs="Arial" w:eastAsia="Arial" w:hAnsi="Arial"/>
                <w:sz w:val="10"/>
                <w:szCs w:val="10"/>
                <w:b w:val="1"/>
                <w:bCs w:val="1"/>
                <w:color w:val="auto"/>
                <w:w w:val="86"/>
              </w:rPr>
              <w:t>December 31,</w:t>
            </w:r>
          </w:p>
        </w:tc>
        <w:tc>
          <w:tcPr>
            <w:tcW w:w="2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center"/>
              <w:ind w:right="380"/>
              <w:spacing w:after="0" w:line="96" w:lineRule="exact"/>
              <w:rPr>
                <w:sz w:val="20"/>
                <w:szCs w:val="20"/>
                <w:color w:val="auto"/>
              </w:rPr>
            </w:pPr>
            <w:r>
              <w:rPr>
                <w:rFonts w:ascii="Arial" w:cs="Arial" w:eastAsia="Arial" w:hAnsi="Arial"/>
                <w:sz w:val="10"/>
                <w:szCs w:val="10"/>
                <w:b w:val="1"/>
                <w:bCs w:val="1"/>
                <w:color w:val="auto"/>
                <w:w w:val="86"/>
              </w:rPr>
              <w:t>December 31,</w:t>
            </w: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132"/>
        </w:trPr>
        <w:tc>
          <w:tcPr>
            <w:tcW w:w="3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0"/>
                <w:szCs w:val="10"/>
                <w:b w:val="1"/>
                <w:bCs w:val="1"/>
                <w:color w:val="auto"/>
              </w:rPr>
              <w:t>2017</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2016</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489"/>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68"/>
              <w:spacing w:after="0"/>
              <w:rPr>
                <w:sz w:val="20"/>
                <w:szCs w:val="20"/>
                <w:color w:val="auto"/>
              </w:rPr>
            </w:pPr>
            <w:r>
              <w:rPr>
                <w:rFonts w:ascii="Arial" w:cs="Arial" w:eastAsia="Arial" w:hAnsi="Arial"/>
                <w:sz w:val="10"/>
                <w:szCs w:val="10"/>
                <w:b w:val="1"/>
                <w:bCs w:val="1"/>
                <w:color w:val="auto"/>
              </w:rPr>
              <w:t>2015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51"/>
        </w:trPr>
        <w:tc>
          <w:tcPr>
            <w:tcW w:w="3320" w:type="dxa"/>
            <w:vAlign w:val="bottom"/>
          </w:tcPr>
          <w:p>
            <w:pPr>
              <w:ind w:left="20"/>
              <w:spacing w:after="0"/>
              <w:rPr>
                <w:sz w:val="20"/>
                <w:szCs w:val="20"/>
                <w:color w:val="auto"/>
              </w:rPr>
            </w:pPr>
            <w:r>
              <w:rPr>
                <w:rFonts w:ascii="Arial" w:cs="Arial" w:eastAsia="Arial" w:hAnsi="Arial"/>
                <w:sz w:val="12"/>
                <w:szCs w:val="12"/>
                <w:color w:val="auto"/>
              </w:rPr>
              <w:t>Interest and other income (expense), net</w:t>
            </w:r>
          </w:p>
        </w:tc>
        <w:tc>
          <w:tcPr>
            <w:tcW w:w="940" w:type="dxa"/>
            <w:vAlign w:val="bottom"/>
            <w:tcBorders>
              <w:top w:val="single" w:sz="8" w:color="auto"/>
            </w:tcBorders>
          </w:tcPr>
          <w:p>
            <w:pPr>
              <w:jc w:val="right"/>
              <w:ind w:right="808"/>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w w:val="85"/>
              </w:rPr>
              <w:t>11.2</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right"/>
              <w:ind w:right="83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8"/>
              </w:rPr>
              <w:t>(6.4)</w:t>
            </w:r>
          </w:p>
        </w:tc>
        <w:tc>
          <w:tcPr>
            <w:tcW w:w="12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29"/>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26"/>
              <w:spacing w:after="0"/>
              <w:rPr>
                <w:sz w:val="20"/>
                <w:szCs w:val="20"/>
                <w:color w:val="auto"/>
              </w:rPr>
            </w:pPr>
            <w:r>
              <w:rPr>
                <w:rFonts w:ascii="Arial" w:cs="Arial" w:eastAsia="Arial" w:hAnsi="Arial"/>
                <w:sz w:val="12"/>
                <w:szCs w:val="12"/>
                <w:color w:val="auto"/>
              </w:rPr>
              <w:t>(3.9)</w:t>
            </w:r>
          </w:p>
        </w:tc>
      </w:tr>
    </w:tbl>
    <w:p>
      <w:pPr>
        <w:spacing w:after="0" w:line="13"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40" w:lineRule="exact"/>
        <w:rPr>
          <w:sz w:val="20"/>
          <w:szCs w:val="20"/>
          <w:color w:val="auto"/>
        </w:rPr>
      </w:pPr>
    </w:p>
    <w:p>
      <w:pPr>
        <w:jc w:val="both"/>
        <w:ind w:left="8" w:firstLine="288"/>
        <w:spacing w:after="0" w:line="276" w:lineRule="auto"/>
        <w:rPr>
          <w:sz w:val="20"/>
          <w:szCs w:val="20"/>
          <w:color w:val="auto"/>
        </w:rPr>
      </w:pPr>
      <w:r>
        <w:rPr>
          <w:rFonts w:ascii="Arial" w:cs="Arial" w:eastAsia="Arial" w:hAnsi="Arial"/>
          <w:sz w:val="12"/>
          <w:szCs w:val="12"/>
          <w:color w:val="auto"/>
        </w:rPr>
        <w:t>Interest and other income (expense), net, includes foreign currency revaluation gains and losses, interest income earned on cash, cash equivalents and investment balances, gains and losses on foreign currency forward contracts and other miscellaneous charges.</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8"/>
          </w:cols>
          <w:pgMar w:left="212" w:top="437" w:right="199" w:bottom="1440" w:gutter="0" w:footer="0" w:header="0"/>
        </w:sectPr>
      </w:pPr>
    </w:p>
    <w:bookmarkStart w:id="42" w:name="page43"/>
    <w:bookmarkEnd w:id="42"/>
    <w:p>
      <w:pPr>
        <w:ind w:left="280"/>
        <w:spacing w:after="0"/>
        <w:rPr>
          <w:sz w:val="20"/>
          <w:szCs w:val="20"/>
          <w:color w:val="auto"/>
        </w:rPr>
      </w:pPr>
      <w:r>
        <w:rPr>
          <w:rFonts w:ascii="Arial" w:cs="Arial" w:eastAsia="Arial" w:hAnsi="Arial"/>
          <w:sz w:val="12"/>
          <w:szCs w:val="12"/>
          <w:color w:val="auto"/>
        </w:rPr>
        <w:t>Interest and other income (expense), net, increased in 2017 compared to 2016 mainly due to higher foreign exchange gains as a result of the Euro strengthening to the U.S. dollar.</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and other income (expense), net, decreased in 2016 compared to 2015 mainly due to higher foreign exchange losses as a result of the Euro weakening to the U.S. dollar.</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Equity in losses of investee, net of tax (in millions):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28"/>
        </w:trPr>
        <w:tc>
          <w:tcPr>
            <w:tcW w:w="33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w w:val="87"/>
              </w:rPr>
              <w:t>Year Ended</w:t>
            </w: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r>
      <w:tr>
        <w:trPr>
          <w:trHeight w:val="169"/>
        </w:trPr>
        <w:tc>
          <w:tcPr>
            <w:tcW w:w="3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b w:val="1"/>
                <w:bCs w:val="1"/>
                <w:color w:val="auto"/>
                <w:w w:val="93"/>
              </w:rPr>
              <w:t>December 31, 2017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0"/>
                <w:szCs w:val="10"/>
                <w:b w:val="1"/>
                <w:bCs w:val="1"/>
                <w:color w:val="auto"/>
                <w:w w:val="86"/>
              </w:rPr>
              <w:t>December 31, 2016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b w:val="1"/>
                <w:bCs w:val="1"/>
                <w:color w:val="auto"/>
                <w:w w:val="93"/>
              </w:rPr>
              <w:t>December 31, 2016</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84"/>
              </w:rPr>
              <w:t>December 31, 2015</w:t>
            </w: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55"/>
        </w:trPr>
        <w:tc>
          <w:tcPr>
            <w:tcW w:w="3300" w:type="dxa"/>
            <w:vAlign w:val="bottom"/>
          </w:tcPr>
          <w:p>
            <w:pPr>
              <w:spacing w:after="0"/>
              <w:rPr>
                <w:sz w:val="20"/>
                <w:szCs w:val="20"/>
                <w:color w:val="auto"/>
              </w:rPr>
            </w:pPr>
            <w:r>
              <w:rPr>
                <w:rFonts w:ascii="Arial" w:cs="Arial" w:eastAsia="Arial" w:hAnsi="Arial"/>
                <w:sz w:val="12"/>
                <w:szCs w:val="12"/>
                <w:color w:val="auto"/>
              </w:rPr>
              <w:t>Equity in losses of investee, net of tax</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68"/>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6"/>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6"/>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8"/>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6"/>
              <w:spacing w:after="0"/>
              <w:rPr>
                <w:sz w:val="20"/>
                <w:szCs w:val="20"/>
                <w:color w:val="auto"/>
              </w:rPr>
            </w:pPr>
            <w:r>
              <w:rPr>
                <w:rFonts w:ascii="Arial" w:cs="Arial" w:eastAsia="Arial" w:hAnsi="Arial"/>
                <w:sz w:val="12"/>
                <w:szCs w:val="12"/>
                <w:color w:val="auto"/>
              </w:rPr>
              <w:t>1.7</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4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acquired a 17% equity interest in SDC in July 2016 and an additional 2% in July 2017 for combined equity interest of 19% on a fully diluted basis. We account for this investment based on the equity method of accounting. In 2017, equity in losses of investee, net of tax increased compared to the same period in 2016 due to a full year of losses attributable to equity method investments as well as a higher share due to our additional investment (</w:t>
      </w:r>
      <w:r>
        <w:rPr>
          <w:rFonts w:ascii="Arial" w:cs="Arial" w:eastAsia="Arial" w:hAnsi="Arial"/>
          <w:sz w:val="12"/>
          <w:szCs w:val="12"/>
          <w:i w:val="1"/>
          <w:iCs w:val="1"/>
          <w:color w:val="auto"/>
        </w:rPr>
        <w:t>Refer to Note 4 "Equity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Method Investments" of the Notes to Consolidated Financial Statements </w:t>
      </w:r>
      <w:r>
        <w:rPr>
          <w:rFonts w:ascii="Arial" w:cs="Arial" w:eastAsia="Arial" w:hAnsi="Arial"/>
          <w:sz w:val="12"/>
          <w:szCs w:val="12"/>
          <w:color w:val="auto"/>
        </w:rPr>
        <w:t>for details on equity method investments).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Provision for income taxes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Year Ended</w:t>
            </w: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860"/>
              <w:spacing w:after="0"/>
              <w:rPr>
                <w:sz w:val="20"/>
                <w:szCs w:val="20"/>
                <w:color w:val="auto"/>
              </w:rPr>
            </w:pPr>
            <w:r>
              <w:rPr>
                <w:rFonts w:ascii="Arial" w:cs="Arial" w:eastAsia="Arial" w:hAnsi="Arial"/>
                <w:sz w:val="10"/>
                <w:szCs w:val="10"/>
                <w:b w:val="1"/>
                <w:bCs w:val="1"/>
                <w:color w:val="auto"/>
                <w:w w:val="98"/>
              </w:rPr>
              <w:t>Year Ended</w:t>
            </w: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r>
      <w:tr>
        <w:trPr>
          <w:trHeight w:val="96"/>
        </w:trPr>
        <w:tc>
          <w:tcPr>
            <w:tcW w:w="3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80" w:type="dxa"/>
            <w:vAlign w:val="bottom"/>
            <w:gridSpan w:val="2"/>
            <w:shd w:val="clear" w:color="auto" w:fill="CCEEFF"/>
          </w:tcPr>
          <w:p>
            <w:pPr>
              <w:ind w:left="140"/>
              <w:spacing w:after="0" w:line="96" w:lineRule="exact"/>
              <w:rPr>
                <w:sz w:val="20"/>
                <w:szCs w:val="20"/>
                <w:color w:val="auto"/>
              </w:rPr>
            </w:pPr>
            <w:r>
              <w:rPr>
                <w:rFonts w:ascii="Arial" w:cs="Arial" w:eastAsia="Arial" w:hAnsi="Arial"/>
                <w:sz w:val="10"/>
                <w:szCs w:val="10"/>
                <w:b w:val="1"/>
                <w:bCs w:val="1"/>
                <w:color w:val="auto"/>
              </w:rPr>
              <w:t>December 31,</w:t>
            </w:r>
          </w:p>
        </w:tc>
        <w:tc>
          <w:tcPr>
            <w:tcW w:w="280" w:type="dxa"/>
            <w:vAlign w:val="bottom"/>
            <w:shd w:val="clear" w:color="auto" w:fill="CCEEFF"/>
          </w:tcPr>
          <w:p>
            <w:pPr>
              <w:spacing w:after="0"/>
              <w:rPr>
                <w:sz w:val="8"/>
                <w:szCs w:val="8"/>
                <w:color w:val="auto"/>
              </w:rPr>
            </w:pPr>
          </w:p>
        </w:tc>
        <w:tc>
          <w:tcPr>
            <w:tcW w:w="1120" w:type="dxa"/>
            <w:vAlign w:val="bottom"/>
            <w:gridSpan w:val="2"/>
            <w:shd w:val="clear" w:color="auto" w:fill="CCEEFF"/>
          </w:tcPr>
          <w:p>
            <w:pPr>
              <w:jc w:val="center"/>
              <w:ind w:right="360"/>
              <w:spacing w:after="0" w:line="96" w:lineRule="exact"/>
              <w:rPr>
                <w:sz w:val="20"/>
                <w:szCs w:val="20"/>
                <w:color w:val="auto"/>
              </w:rPr>
            </w:pPr>
            <w:r>
              <w:rPr>
                <w:rFonts w:ascii="Arial" w:cs="Arial" w:eastAsia="Arial" w:hAnsi="Arial"/>
                <w:sz w:val="10"/>
                <w:szCs w:val="10"/>
                <w:b w:val="1"/>
                <w:bCs w:val="1"/>
                <w:color w:val="auto"/>
                <w:w w:val="86"/>
              </w:rPr>
              <w:t>December 31,</w:t>
            </w: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jc w:val="center"/>
              <w:ind w:right="227"/>
              <w:spacing w:after="0" w:line="96" w:lineRule="exact"/>
              <w:rPr>
                <w:sz w:val="20"/>
                <w:szCs w:val="20"/>
                <w:color w:val="auto"/>
              </w:rPr>
            </w:pPr>
            <w:r>
              <w:rPr>
                <w:rFonts w:ascii="Arial" w:cs="Arial" w:eastAsia="Arial" w:hAnsi="Arial"/>
                <w:sz w:val="10"/>
                <w:szCs w:val="10"/>
                <w:b w:val="1"/>
                <w:bCs w:val="1"/>
                <w:color w:val="auto"/>
                <w:w w:val="86"/>
              </w:rPr>
              <w:t>December 31,</w:t>
            </w:r>
          </w:p>
        </w:tc>
        <w:tc>
          <w:tcPr>
            <w:tcW w:w="34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center"/>
              <w:ind w:right="380"/>
              <w:spacing w:after="0" w:line="96" w:lineRule="exact"/>
              <w:rPr>
                <w:sz w:val="20"/>
                <w:szCs w:val="20"/>
                <w:color w:val="auto"/>
              </w:rPr>
            </w:pPr>
            <w:r>
              <w:rPr>
                <w:rFonts w:ascii="Arial" w:cs="Arial" w:eastAsia="Arial" w:hAnsi="Arial"/>
                <w:sz w:val="10"/>
                <w:szCs w:val="10"/>
                <w:b w:val="1"/>
                <w:bCs w:val="1"/>
                <w:color w:val="auto"/>
                <w:w w:val="86"/>
              </w:rPr>
              <w:t>December 31,</w:t>
            </w: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r>
        <w:trPr>
          <w:trHeight w:val="132"/>
        </w:trPr>
        <w:tc>
          <w:tcPr>
            <w:tcW w:w="3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507"/>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506"/>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0"/>
                <w:szCs w:val="10"/>
                <w:b w:val="1"/>
                <w:bCs w:val="1"/>
                <w:color w:val="auto"/>
              </w:rPr>
              <w:t>Change</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527"/>
              <w:spacing w:after="0"/>
              <w:rPr>
                <w:sz w:val="20"/>
                <w:szCs w:val="20"/>
                <w:color w:val="auto"/>
              </w:rPr>
            </w:pPr>
            <w:r>
              <w:rPr>
                <w:rFonts w:ascii="Arial" w:cs="Arial" w:eastAsia="Arial" w:hAnsi="Arial"/>
                <w:sz w:val="10"/>
                <w:szCs w:val="10"/>
                <w:b w:val="1"/>
                <w:bCs w:val="1"/>
                <w:color w:val="auto"/>
              </w:rPr>
              <w:t>2016</w:t>
            </w: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66"/>
              <w:spacing w:after="0"/>
              <w:rPr>
                <w:sz w:val="20"/>
                <w:szCs w:val="20"/>
                <w:color w:val="auto"/>
              </w:rPr>
            </w:pPr>
            <w:r>
              <w:rPr>
                <w:rFonts w:ascii="Arial" w:cs="Arial" w:eastAsia="Arial" w:hAnsi="Arial"/>
                <w:sz w:val="10"/>
                <w:szCs w:val="10"/>
                <w:b w:val="1"/>
                <w:bCs w:val="1"/>
                <w:color w:val="auto"/>
              </w:rPr>
              <w:t>2015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406"/>
              <w:spacing w:after="0"/>
              <w:rPr>
                <w:sz w:val="20"/>
                <w:szCs w:val="20"/>
                <w:color w:val="auto"/>
              </w:rPr>
            </w:pPr>
            <w:r>
              <w:rPr>
                <w:rFonts w:ascii="Arial" w:cs="Arial" w:eastAsia="Arial" w:hAnsi="Arial"/>
                <w:sz w:val="10"/>
                <w:szCs w:val="10"/>
                <w:b w:val="1"/>
                <w:bCs w:val="1"/>
                <w:color w:val="auto"/>
              </w:rPr>
              <w:t>Change</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jc w:val="right"/>
              <w:ind w:right="87"/>
              <w:spacing w:after="0"/>
              <w:rPr>
                <w:sz w:val="20"/>
                <w:szCs w:val="20"/>
                <w:color w:val="auto"/>
              </w:rPr>
            </w:pPr>
            <w:r>
              <w:rPr>
                <w:rFonts w:ascii="Arial" w:cs="Arial" w:eastAsia="Arial" w:hAnsi="Arial"/>
                <w:sz w:val="12"/>
                <w:szCs w:val="12"/>
                <w:color w:val="auto"/>
              </w:rPr>
              <w:t>130.2</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ind w:left="680"/>
              <w:spacing w:after="0"/>
              <w:rPr>
                <w:sz w:val="20"/>
                <w:szCs w:val="20"/>
                <w:color w:val="auto"/>
              </w:rPr>
            </w:pPr>
            <w:r>
              <w:rPr>
                <w:rFonts w:ascii="Arial" w:cs="Arial" w:eastAsia="Arial" w:hAnsi="Arial"/>
                <w:sz w:val="12"/>
                <w:szCs w:val="12"/>
                <w:color w:val="auto"/>
              </w:rPr>
              <w:t>51.2</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color w:val="auto"/>
              </w:rPr>
              <w:t>79.0</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tcPr>
          <w:p>
            <w:pPr>
              <w:ind w:left="700"/>
              <w:spacing w:after="0"/>
              <w:rPr>
                <w:sz w:val="20"/>
                <w:szCs w:val="20"/>
                <w:color w:val="auto"/>
              </w:rPr>
            </w:pPr>
            <w:r>
              <w:rPr>
                <w:rFonts w:ascii="Arial" w:cs="Arial" w:eastAsia="Arial" w:hAnsi="Arial"/>
                <w:sz w:val="12"/>
                <w:szCs w:val="12"/>
                <w:color w:val="auto"/>
              </w:rPr>
              <w:t>51.2</w:t>
            </w:r>
          </w:p>
        </w:tc>
        <w:tc>
          <w:tcPr>
            <w:tcW w:w="34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tcPr>
          <w:p>
            <w:pPr>
              <w:ind w:left="660"/>
              <w:spacing w:after="0"/>
              <w:rPr>
                <w:sz w:val="20"/>
                <w:szCs w:val="20"/>
                <w:color w:val="auto"/>
              </w:rPr>
            </w:pPr>
            <w:r>
              <w:rPr>
                <w:rFonts w:ascii="Arial" w:cs="Arial" w:eastAsia="Arial" w:hAnsi="Arial"/>
                <w:sz w:val="12"/>
                <w:szCs w:val="12"/>
                <w:color w:val="auto"/>
              </w:rPr>
              <w:t>42.1</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color w:val="auto"/>
              </w:rPr>
              <w:t>9.1</w:t>
            </w: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Effective tax rates</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35.7%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ind w:left="680"/>
              <w:spacing w:after="0"/>
              <w:rPr>
                <w:sz w:val="20"/>
                <w:szCs w:val="20"/>
                <w:color w:val="auto"/>
              </w:rPr>
            </w:pPr>
            <w:r>
              <w:rPr>
                <w:rFonts w:ascii="Arial" w:cs="Arial" w:eastAsia="Arial" w:hAnsi="Arial"/>
                <w:sz w:val="12"/>
                <w:szCs w:val="12"/>
                <w:i w:val="1"/>
                <w:iCs w:val="1"/>
                <w:color w:val="auto"/>
                <w:w w:val="93"/>
              </w:rPr>
              <w:t>21.1%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2"/>
                <w:szCs w:val="12"/>
                <w:i w:val="1"/>
                <w:iCs w:val="1"/>
                <w:color w:val="auto"/>
              </w:rPr>
              <w:t>21.1%</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ind w:left="660"/>
              <w:spacing w:after="0"/>
              <w:rPr>
                <w:sz w:val="20"/>
                <w:szCs w:val="20"/>
                <w:color w:val="auto"/>
              </w:rPr>
            </w:pPr>
            <w:r>
              <w:rPr>
                <w:rFonts w:ascii="Arial" w:cs="Arial" w:eastAsia="Arial" w:hAnsi="Arial"/>
                <w:sz w:val="12"/>
                <w:szCs w:val="12"/>
                <w:i w:val="1"/>
                <w:iCs w:val="1"/>
                <w:color w:val="auto"/>
                <w:w w:val="88"/>
              </w:rPr>
              <w:t>22.6%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1"/>
          <w:szCs w:val="11"/>
          <w:i w:val="1"/>
          <w:iCs w:val="1"/>
          <w:color w:val="auto"/>
        </w:rPr>
        <w:t>Changes and percentages are based on actual values. Certain tables may not sum or recalculate due to rounding.</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Our provision for income taxes was $130.2 million, $51.2 million and $42.1 million for the year ended December 31, 2017, 2016 and 2015, respectively, representing effective tax rates of 35.7%, 21.1% and 22.6%, respectively.</w:t>
      </w:r>
    </w:p>
    <w:p>
      <w:pPr>
        <w:spacing w:after="0" w:line="16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 xml:space="preserve">The U.S. Tax Cuts and Jobs Act (the “TCJA”) was enacted into law on December 22, 2017 and impacted our effective tax rate for the year ended December 31, 2017.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We have estimated the impact of the TCJA and recorded a provisional amount of $84.3 million of additional income tax expense in the fourth quarter of 2017. This provisional amount includes income tax expenses related to the remeasurement of certain deferred tax assets and liabilities of $10.4 million, and the one-time transition tax on the mandatory deemed repatriation of cumulative foreign earnings in the amount of $73.9 million. The provisional impact of the TCJA is discussed further in </w:t>
      </w:r>
      <w:r>
        <w:rPr>
          <w:rFonts w:ascii="Arial" w:cs="Arial" w:eastAsia="Arial" w:hAnsi="Arial"/>
          <w:sz w:val="11"/>
          <w:szCs w:val="11"/>
          <w:i w:val="1"/>
          <w:iCs w:val="1"/>
          <w:color w:val="auto"/>
        </w:rPr>
        <w:t>Note 13 "Income Taxes" of the Notes to Consolidated Financial Statements</w:t>
      </w:r>
      <w:r>
        <w:rPr>
          <w:rFonts w:ascii="Arial" w:cs="Arial" w:eastAsia="Arial" w:hAnsi="Arial"/>
          <w:sz w:val="11"/>
          <w:szCs w:val="11"/>
          <w:color w:val="auto"/>
        </w:rPr>
        <w:t>.</w:t>
      </w:r>
    </w:p>
    <w:p>
      <w:pPr>
        <w:spacing w:after="0" w:line="11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Our effective tax rate differs from the statutory federal income tax rate of 35% primarily due to certain foreign earnings, most significantly from the Netherlands and Costa Rica, being taxed at lower tax rates and excess tax benefits related to stock-based compensation recognized as a reduction of income tax expense, partially offset by certain one-time tax charges recorded as a result of the TCJA. The increase in the effective tax rate in 2017 compared to 2016 was primarily attributable to tax charges recorded as a result of the TCJA and the tax benefit recognized pursuant to the release of valuation allowance against our Israel deferred tax assets in 2016 that did not recur this year, partially offset by excess tax benefits related to stock-based compensation recognized as a reduction of income tax expense in accordance with ASU 2016-09 and increased tax benefits from foreign earnings being taxed at lower tax rates. The increase in the effective rate for the year ended December 31, 2016 compared to 2015 was primarily related to our international corporate restructuring as explained below.</w:t>
      </w:r>
    </w:p>
    <w:p>
      <w:pPr>
        <w:spacing w:after="0" w:line="111"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437" w:right="199" w:bottom="1440" w:gutter="0" w:footer="0" w:header="0"/>
        </w:sectPr>
      </w:pPr>
    </w:p>
    <w:bookmarkStart w:id="43" w:name="page44"/>
    <w:bookmarkEnd w:id="43"/>
    <w:p>
      <w:pPr>
        <w:jc w:val="both"/>
        <w:spacing w:after="0" w:line="298" w:lineRule="auto"/>
        <w:rPr>
          <w:sz w:val="20"/>
          <w:szCs w:val="20"/>
          <w:color w:val="auto"/>
        </w:rPr>
      </w:pPr>
      <w:r>
        <w:rPr>
          <w:rFonts w:ascii="Arial" w:cs="Arial" w:eastAsia="Arial" w:hAnsi="Arial"/>
          <w:sz w:val="11"/>
          <w:szCs w:val="11"/>
          <w:color w:val="auto"/>
        </w:rPr>
        <w:t>intellectual property rights between consolidated entities did not result in any gain in the consolidated financial statements, the Company generated taxable income in certain jurisdictions in 2016 resulting in a tax expense of $34.3 million. Additionally, as a result of the restructuring, we reassessed the need for a valuation allowance against our deferred tax assets considering all available evidence. Given the current earnings and anticipated future earnings of our subsidiary in Israel, we concluded that we have sufficient positive evidence to release the valuation allowance against our Israel operating loss carryforwards of $31.4 million, which resulted in an income tax benefit in 2016.</w:t>
      </w:r>
    </w:p>
    <w:p>
      <w:pPr>
        <w:spacing w:after="0" w:line="105"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a specified number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2016 and 2015. As a result of these incentives, our income taxes were reduced by $1.8 million, $19.1 million and $32.7 million in the year ended December 31, 2017, 2016 and 2015 respectively, representing a benefit to diluted net income per share of $0.02, $0.23 and $0.40 in the year ended December 31, 2017, 2016 and 2015, respectively (</w:t>
      </w:r>
      <w:r>
        <w:rPr>
          <w:rFonts w:ascii="Arial" w:cs="Arial" w:eastAsia="Arial" w:hAnsi="Arial"/>
          <w:sz w:val="12"/>
          <w:szCs w:val="12"/>
          <w:i w:val="1"/>
          <w:iCs w:val="1"/>
          <w:color w:val="auto"/>
        </w:rPr>
        <w:t>Refer to Note 13 "Income Taxes" of the 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Financial Statements </w:t>
      </w:r>
      <w:r>
        <w:rPr>
          <w:rFonts w:ascii="Arial" w:cs="Arial" w:eastAsia="Arial" w:hAnsi="Arial"/>
          <w:sz w:val="12"/>
          <w:szCs w:val="12"/>
          <w:color w:val="auto"/>
        </w:rPr>
        <w:t>for details on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fund our operations from product sales. As of December 31, 2017 and 2016, we had the following cash and cash equivalents, and short-term and long-term marketable securities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74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Year Ended December 31,</w:t>
            </w:r>
          </w:p>
        </w:tc>
        <w:tc>
          <w:tcPr>
            <w:tcW w:w="1180" w:type="dxa"/>
            <w:vAlign w:val="bottom"/>
            <w:tcBorders>
              <w:bottom w:val="single" w:sz="8" w:color="auto"/>
            </w:tcBorders>
          </w:tcPr>
          <w:p>
            <w:pPr>
              <w:spacing w:after="0"/>
              <w:rPr>
                <w:sz w:val="11"/>
                <w:szCs w:val="11"/>
                <w:color w:val="auto"/>
              </w:rPr>
            </w:pPr>
          </w:p>
        </w:tc>
      </w:tr>
      <w:tr>
        <w:trPr>
          <w:trHeight w:val="173"/>
        </w:trPr>
        <w:tc>
          <w:tcPr>
            <w:tcW w:w="57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b w:val="1"/>
                <w:bCs w:val="1"/>
                <w:color w:val="auto"/>
              </w:rPr>
              <w:t>2016</w:t>
            </w:r>
          </w:p>
        </w:tc>
      </w:tr>
      <w:tr>
        <w:trPr>
          <w:trHeight w:val="160"/>
        </w:trPr>
        <w:tc>
          <w:tcPr>
            <w:tcW w:w="57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ind w:right="64"/>
              <w:spacing w:after="0"/>
              <w:rPr>
                <w:sz w:val="20"/>
                <w:szCs w:val="20"/>
                <w:color w:val="auto"/>
              </w:rPr>
            </w:pPr>
            <w:r>
              <w:rPr>
                <w:rFonts w:ascii="Arial" w:cs="Arial" w:eastAsia="Arial" w:hAnsi="Arial"/>
                <w:sz w:val="12"/>
                <w:szCs w:val="12"/>
                <w:color w:val="auto"/>
              </w:rPr>
              <w:t>449,511</w:t>
            </w:r>
          </w:p>
        </w:tc>
        <w:tc>
          <w:tcPr>
            <w:tcW w:w="12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389,275</w:t>
            </w:r>
          </w:p>
        </w:tc>
      </w:tr>
      <w:tr>
        <w:trPr>
          <w:trHeight w:val="189"/>
        </w:trPr>
        <w:tc>
          <w:tcPr>
            <w:tcW w:w="5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Marketable securities, short-term</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272,031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250,981</w:t>
            </w:r>
          </w:p>
        </w:tc>
      </w:tr>
      <w:tr>
        <w:trPr>
          <w:trHeight w:val="171"/>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Marketable securities, long-term</w:t>
            </w:r>
          </w:p>
        </w:tc>
        <w:tc>
          <w:tcPr>
            <w:tcW w:w="1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39,948</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59,783</w:t>
            </w:r>
          </w:p>
        </w:tc>
      </w:tr>
      <w:tr>
        <w:trPr>
          <w:trHeight w:val="18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761,490</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700,039</w:t>
            </w:r>
          </w:p>
        </w:tc>
      </w:tr>
      <w:tr>
        <w:trPr>
          <w:trHeight w:val="248"/>
        </w:trPr>
        <w:tc>
          <w:tcPr>
            <w:tcW w:w="5740" w:type="dxa"/>
            <w:vAlign w:val="bottom"/>
          </w:tcPr>
          <w:p>
            <w:pPr>
              <w:ind w:left="280"/>
              <w:spacing w:after="0"/>
              <w:rPr>
                <w:sz w:val="20"/>
                <w:szCs w:val="20"/>
                <w:color w:val="auto"/>
              </w:rPr>
            </w:pPr>
            <w:r>
              <w:rPr>
                <w:rFonts w:ascii="Arial" w:cs="Arial" w:eastAsia="Arial" w:hAnsi="Arial"/>
                <w:sz w:val="12"/>
                <w:szCs w:val="12"/>
                <w:i w:val="1"/>
                <w:iCs w:val="1"/>
                <w:color w:val="auto"/>
              </w:rPr>
              <w:t xml:space="preserve">Cash flows </w:t>
            </w:r>
            <w:r>
              <w:rPr>
                <w:rFonts w:ascii="Arial" w:cs="Arial" w:eastAsia="Arial" w:hAnsi="Arial"/>
                <w:sz w:val="12"/>
                <w:szCs w:val="12"/>
                <w:color w:val="auto"/>
              </w:rPr>
              <w:t>(in thousands):</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1"/>
        </w:trPr>
        <w:tc>
          <w:tcPr>
            <w:tcW w:w="5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73"/>
        </w:trPr>
        <w:tc>
          <w:tcPr>
            <w:tcW w:w="57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b w:val="1"/>
                <w:bCs w:val="1"/>
                <w:color w:val="auto"/>
              </w:rPr>
              <w:t>2017</w:t>
            </w: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b w:val="1"/>
                <w:bCs w:val="1"/>
                <w:color w:val="auto"/>
              </w:rPr>
              <w:t>2015</w:t>
            </w:r>
          </w:p>
        </w:tc>
      </w:tr>
      <w:tr>
        <w:trPr>
          <w:trHeight w:val="142"/>
        </w:trPr>
        <w:tc>
          <w:tcPr>
            <w:tcW w:w="5740" w:type="dxa"/>
            <w:vAlign w:val="bottom"/>
          </w:tcPr>
          <w:p>
            <w:pPr>
              <w:ind w:left="20"/>
              <w:spacing w:after="0"/>
              <w:rPr>
                <w:sz w:val="20"/>
                <w:szCs w:val="20"/>
                <w:color w:val="auto"/>
              </w:rPr>
            </w:pPr>
            <w:r>
              <w:rPr>
                <w:rFonts w:ascii="Arial" w:cs="Arial" w:eastAsia="Arial" w:hAnsi="Arial"/>
                <w:sz w:val="12"/>
                <w:szCs w:val="12"/>
                <w:color w:val="auto"/>
              </w:rPr>
              <w:t>Net cash provided by (used in):</w:t>
            </w: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7"/>
        </w:trPr>
        <w:tc>
          <w:tcPr>
            <w:tcW w:w="5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5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Operating activities</w:t>
            </w: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438,539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247,654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237,997</w:t>
            </w:r>
          </w:p>
        </w:tc>
      </w:tr>
      <w:tr>
        <w:trPr>
          <w:trHeight w:val="171"/>
        </w:trPr>
        <w:tc>
          <w:tcPr>
            <w:tcW w:w="5740" w:type="dxa"/>
            <w:vAlign w:val="bottom"/>
          </w:tcPr>
          <w:p>
            <w:pPr>
              <w:ind w:left="240"/>
              <w:spacing w:after="0"/>
              <w:rPr>
                <w:sz w:val="20"/>
                <w:szCs w:val="20"/>
                <w:color w:val="auto"/>
              </w:rPr>
            </w:pPr>
            <w:r>
              <w:rPr>
                <w:rFonts w:ascii="Arial" w:cs="Arial" w:eastAsia="Arial" w:hAnsi="Arial"/>
                <w:sz w:val="12"/>
                <w:szCs w:val="12"/>
                <w:color w:val="auto"/>
              </w:rPr>
              <w:t>Investing activities</w:t>
            </w:r>
          </w:p>
        </w:tc>
        <w:tc>
          <w:tcPr>
            <w:tcW w:w="1160" w:type="dxa"/>
            <w:vAlign w:val="bottom"/>
          </w:tcPr>
          <w:p>
            <w:pPr>
              <w:spacing w:after="0"/>
              <w:rPr>
                <w:sz w:val="14"/>
                <w:szCs w:val="14"/>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(248,313)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ind w:right="44"/>
              <w:spacing w:after="0"/>
              <w:rPr>
                <w:sz w:val="20"/>
                <w:szCs w:val="20"/>
                <w:color w:val="auto"/>
              </w:rPr>
            </w:pPr>
            <w:r>
              <w:rPr>
                <w:rFonts w:ascii="Arial" w:cs="Arial" w:eastAsia="Arial" w:hAnsi="Arial"/>
                <w:sz w:val="12"/>
                <w:szCs w:val="12"/>
                <w:color w:val="auto"/>
              </w:rPr>
              <w:t>72,848</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jc w:val="right"/>
              <w:ind w:right="22"/>
              <w:spacing w:after="0"/>
              <w:rPr>
                <w:sz w:val="20"/>
                <w:szCs w:val="20"/>
                <w:color w:val="auto"/>
              </w:rPr>
            </w:pPr>
            <w:r>
              <w:rPr>
                <w:rFonts w:ascii="Arial" w:cs="Arial" w:eastAsia="Arial" w:hAnsi="Arial"/>
                <w:sz w:val="12"/>
                <w:szCs w:val="12"/>
                <w:color w:val="auto"/>
              </w:rPr>
              <w:t>(166,361)</w:t>
            </w:r>
          </w:p>
        </w:tc>
      </w:tr>
      <w:tr>
        <w:trPr>
          <w:trHeight w:val="189"/>
        </w:trPr>
        <w:tc>
          <w:tcPr>
            <w:tcW w:w="5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Financing activities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(135,500)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(95,524)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(100,786)</w:t>
            </w:r>
          </w:p>
        </w:tc>
      </w:tr>
      <w:tr>
        <w:trPr>
          <w:trHeight w:val="171"/>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Effects of foreign exchange rate changes on cash and cash equivalents</w:t>
            </w:r>
          </w:p>
        </w:tc>
        <w:tc>
          <w:tcPr>
            <w:tcW w:w="1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5,510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(3,417)</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(3,007)</w:t>
            </w:r>
          </w:p>
        </w:tc>
      </w:tr>
      <w:tr>
        <w:trPr>
          <w:trHeight w:val="185"/>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Net increase (decrease) in cash and cash equivalents</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60,236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221,561</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(32,157)</w:t>
            </w:r>
          </w:p>
        </w:tc>
      </w:tr>
    </w:tbl>
    <w:p>
      <w:pPr>
        <w:spacing w:after="0" w:line="13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of December 31, 2017, we had $761.5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and certificates of deposit.</w:t>
      </w:r>
    </w:p>
    <w:p>
      <w:pPr>
        <w:spacing w:after="0" w:line="11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As of December 31, 2017, approximately $490.1 million of cash, cash equivalents and short-term and long-term marketable securities was held by our foreign subsidiaries. The TCJA enacted into law on December 22, 2017 included a one-time transition tax on the mandatory deemed repatriation of foreign earnings, and, as a result, we recorded a provisional amount of additional income tax expense of $73.9 million, which will be paid over the next eight years. We may repatriate cash and cash equivalents and marketable securities back to the U.S. to invest in market expansion opportunities, provide additional working capital, and have greater flexibility to fund our stock repurchase program (</w:t>
      </w:r>
      <w:r>
        <w:rPr>
          <w:rFonts w:ascii="Arial" w:cs="Arial" w:eastAsia="Arial" w:hAnsi="Arial"/>
          <w:sz w:val="12"/>
          <w:szCs w:val="12"/>
          <w:i w:val="1"/>
          <w:iCs w:val="1"/>
          <w:color w:val="auto"/>
        </w:rPr>
        <w:t>Refer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 13 "Income Taxes" of the Notes to Consolidated Financial Statements </w:t>
      </w:r>
      <w:r>
        <w:rPr>
          <w:rFonts w:ascii="Arial" w:cs="Arial" w:eastAsia="Arial" w:hAnsi="Arial"/>
          <w:sz w:val="12"/>
          <w:szCs w:val="12"/>
          <w:color w:val="auto"/>
        </w:rPr>
        <w:t>for details).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437" w:right="199" w:bottom="1440" w:gutter="0" w:footer="0" w:header="0"/>
        </w:sectPr>
      </w:pPr>
    </w:p>
    <w:bookmarkStart w:id="44" w:name="page45"/>
    <w:bookmarkEnd w:id="44"/>
    <w:p>
      <w:pPr>
        <w:ind w:left="140"/>
        <w:spacing w:after="0"/>
        <w:rPr>
          <w:sz w:val="20"/>
          <w:szCs w:val="20"/>
          <w:color w:val="auto"/>
        </w:rPr>
      </w:pPr>
      <w:r>
        <w:rPr>
          <w:rFonts w:ascii="Arial" w:cs="Arial" w:eastAsia="Arial" w:hAnsi="Arial"/>
          <w:sz w:val="12"/>
          <w:szCs w:val="12"/>
          <w:b w:val="1"/>
          <w:bCs w:val="1"/>
          <w:color w:val="auto"/>
        </w:rPr>
        <w:t>Operating Activities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color w:val="auto"/>
        </w:rPr>
        <w:t>For the year ended December 31, 2017, cash flows from operations of $438.5 million resulted primarily from our net income of approximately $231.4 million as well as the following: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non-cash activities</w:t>
      </w:r>
    </w:p>
    <w:p>
      <w:pPr>
        <w:spacing w:after="0" w:line="78" w:lineRule="exact"/>
        <w:rPr>
          <w:sz w:val="20"/>
          <w:szCs w:val="20"/>
          <w:color w:val="auto"/>
        </w:rPr>
      </w:pPr>
    </w:p>
    <w:p>
      <w:pPr>
        <w:ind w:left="280" w:hanging="212"/>
        <w:spacing w:after="0"/>
        <w:tabs>
          <w:tab w:leader="none" w:pos="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Stock-based compensation was $58.9 million related to equity incentive compensation granted to employees and directors,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Depreciation and amortization of $37.7 million related to our fixed assets and acquired and purchased intangible assets, and</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Net change in deferred tax assets of $17.6 million.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Significant changes in working capital</w:t>
      </w:r>
    </w:p>
    <w:p>
      <w:pPr>
        <w:spacing w:after="0" w:line="78" w:lineRule="exact"/>
        <w:rPr>
          <w:sz w:val="20"/>
          <w:szCs w:val="20"/>
          <w:color w:val="auto"/>
        </w:rPr>
      </w:pPr>
    </w:p>
    <w:p>
      <w:pPr>
        <w:ind w:left="280" w:hanging="212"/>
        <w:spacing w:after="0"/>
        <w:tabs>
          <w:tab w:leader="none" w:pos="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$91.0 million in accounts receivable which is a result of the increase in net revenues,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$79.7 million in deferred revenues corresponding to the increases in case shipments,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$69.0 million in long-term income tax payable due to the new U.S.Tax Cut and Jobs Act enacted on December 22, 2017, and</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Increase of $24.2 million in accrued and other long-term liabilities due to timing of payments and activities.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For the year ended December 31, 2016, cash flows from operations of $247.7 million resulted primarily from our net income of approximately $189.7 million as well as the following: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non-cash activities</w:t>
      </w:r>
    </w:p>
    <w:p>
      <w:pPr>
        <w:spacing w:after="0" w:line="78" w:lineRule="exact"/>
        <w:rPr>
          <w:sz w:val="20"/>
          <w:szCs w:val="20"/>
          <w:color w:val="auto"/>
        </w:rPr>
      </w:pPr>
    </w:p>
    <w:p>
      <w:pPr>
        <w:ind w:left="280" w:hanging="212"/>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Stock-based compensation was $54.1 million related to equity incentive compensation granted to employees and directors,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Depreciation and amortization of $24.0 million related to our fixed assets and acquired and purchased intangible assets,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Excess tax benefits from our share-based compensation arrangements of $16.8 million,</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Net change in deferred tax assets of $16.4 million, and</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Net tax benefits from stock based compensation of $15.9 million.</w:t>
      </w:r>
    </w:p>
    <w:p>
      <w:pPr>
        <w:spacing w:after="0" w:line="294" w:lineRule="exact"/>
        <w:rPr>
          <w:sz w:val="20"/>
          <w:szCs w:val="20"/>
          <w:color w:val="auto"/>
        </w:rPr>
      </w:pPr>
    </w:p>
    <w:p>
      <w:pPr>
        <w:ind w:left="280" w:hanging="212"/>
        <w:spacing w:after="0"/>
        <w:tabs>
          <w:tab w:leader="none" w:pos="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Increase of $94.4 million in accounts receivable which is a result of the increase in net revenues,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Increase of $60.7 million in deferred revenues corresponding to the increases in case shipments and full year effect of our additional aligner product policy effective in July 2015, and</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Increase of $37.6 million in accrued and other long-term liabilities due to timing of payments and activities.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For the year ended December 31, 2015, cash flows from operations of $238.0 million resulted primarily from our net income of approximately $144.0 million as well as the following: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non-cash activities</w:t>
      </w:r>
    </w:p>
    <w:p>
      <w:pPr>
        <w:spacing w:after="0" w:line="78" w:lineRule="exact"/>
        <w:rPr>
          <w:sz w:val="20"/>
          <w:szCs w:val="20"/>
          <w:color w:val="auto"/>
        </w:rPr>
      </w:pPr>
    </w:p>
    <w:p>
      <w:pPr>
        <w:ind w:left="280" w:hanging="212"/>
        <w:spacing w:after="0"/>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Stock-based compensation was $52.9 million related to our equity incentive compensation granted to employees and directors,</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Depreciation and amortization of $18.0 million related to our fixed assets and acquired and purchased intangible assets, and</w:t>
      </w:r>
    </w:p>
    <w:p>
      <w:pPr>
        <w:spacing w:after="0" w:line="78" w:lineRule="exact"/>
        <w:rPr>
          <w:rFonts w:ascii="Arial" w:cs="Arial" w:eastAsia="Arial" w:hAnsi="Arial"/>
          <w:sz w:val="12"/>
          <w:szCs w:val="12"/>
          <w:color w:val="auto"/>
        </w:rPr>
      </w:pPr>
    </w:p>
    <w:p>
      <w:pPr>
        <w:ind w:left="280" w:hanging="212"/>
        <w:spacing w:after="0"/>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Excess tax benefits from our share-based compensation arrangements of $10.4 million.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Significant changes in working capital</w:t>
      </w:r>
    </w:p>
    <w:p>
      <w:pPr>
        <w:spacing w:after="0" w:line="78" w:lineRule="exact"/>
        <w:rPr>
          <w:sz w:val="20"/>
          <w:szCs w:val="20"/>
          <w:color w:val="auto"/>
        </w:rPr>
      </w:pPr>
    </w:p>
    <w:p>
      <w:pPr>
        <w:ind w:left="280" w:hanging="212"/>
        <w:spacing w:after="0"/>
        <w:tabs>
          <w:tab w:leader="none" w:pos="280" w:val="left"/>
        </w:tabs>
        <w:numPr>
          <w:ilvl w:val="0"/>
          <w:numId w:val="34"/>
        </w:numPr>
        <w:rPr>
          <w:rFonts w:ascii="Arial" w:cs="Arial" w:eastAsia="Arial" w:hAnsi="Arial"/>
          <w:sz w:val="10"/>
          <w:szCs w:val="10"/>
          <w:color w:val="auto"/>
        </w:rPr>
      </w:pPr>
      <w:r>
        <w:rPr>
          <w:rFonts w:ascii="Arial" w:cs="Arial" w:eastAsia="Arial" w:hAnsi="Arial"/>
          <w:sz w:val="10"/>
          <w:szCs w:val="10"/>
          <w:color w:val="auto"/>
        </w:rPr>
        <w:t>Increase of $41.9 million in deferred revenues corresponding to higher product sales along with the increased deferrals as a result of the change to our new additional aligner product policy in July 2015,</w:t>
      </w:r>
    </w:p>
    <w:p>
      <w:pPr>
        <w:spacing w:after="0" w:line="101" w:lineRule="exact"/>
        <w:rPr>
          <w:rFonts w:ascii="Arial" w:cs="Arial" w:eastAsia="Arial" w:hAnsi="Arial"/>
          <w:sz w:val="10"/>
          <w:szCs w:val="10"/>
          <w:color w:val="auto"/>
        </w:rPr>
      </w:pPr>
    </w:p>
    <w:p>
      <w:pPr>
        <w:ind w:left="280" w:hanging="212"/>
        <w:spacing w:after="0"/>
        <w:tabs>
          <w:tab w:leader="none" w:pos="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Increase of $40.8 million in accounts receivable which is a result of the increase in net revenues, and</w:t>
      </w:r>
    </w:p>
    <w:p>
      <w:pPr>
        <w:spacing w:after="0" w:line="1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099"/>
          </w:cols>
          <w:pgMar w:left="360" w:top="433" w:right="1440" w:bottom="1440" w:gutter="0" w:footer="0" w:header="0"/>
        </w:sectPr>
      </w:pPr>
    </w:p>
    <w:bookmarkStart w:id="45" w:name="page46"/>
    <w:bookmarkEnd w:id="45"/>
    <w:p>
      <w:pPr>
        <w:ind w:left="420" w:hanging="212"/>
        <w:spacing w:after="0"/>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Increase of $19.5 million in accrued and other long-term liabilities primarily due to an increase in income tax payable along with other accruals due to timing of payment.</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Investing Activities</w:t>
      </w:r>
    </w:p>
    <w:p>
      <w:pPr>
        <w:spacing w:after="0" w:line="1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in investing activities was $248.3 million for the year ended December 31, 2017, which primarily consisted of purchases of marketable securities of $390.2 million, property, plant and equipment purchases of $195.7 million for additional manufacturing capacity and to purchase our new headquarters, $30.0 million of loan advances to equity investee, net of repayments and $12.8 million related to our equity interest investment in SmileDirectClub, LLC ("SDC"). These outflows were partially offset by maturities and sales of marketable securities of $388.8 million.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For 2018, we expect to invest $200.0 million to $230.0 million on capital expenditures primarily related to operational expansion and ongoing growth of the business.</w:t>
      </w:r>
    </w:p>
    <w:p>
      <w:pPr>
        <w:spacing w:after="0" w:line="150"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Net cash provided by investing activities was $72.8 million for the year ended December 31, 2016, which primarily consisted of maturities and sales of our marketable securities of $604.0 million. These inflows were partially offset by purchases of marketable securities of $405.6 million, property, plant and equipment purchases of $70.6 million including the implementation of our new ERP system and $46.7 million related to our equity interest investment in SDC.</w:t>
      </w:r>
    </w:p>
    <w:p>
      <w:pPr>
        <w:spacing w:after="0" w:line="92"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in investing activities was $166.4 million for the year ended December 31, 2015, which primarily consisted of purchases of marketable securities of $447.1 million and property, plant and equipment purchases of $53.5 million for additional manufacturing capacity and infrastructure including the project to implement a new ERP system which we started in late 2014. These uses were partially offset by $334.1 million of maturities and sales of our marketable securities.</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Financing Activities</w:t>
      </w:r>
    </w:p>
    <w:p>
      <w:pPr>
        <w:spacing w:after="0" w:line="1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by financing activities was $135.5 million for the year ended December 31, 2017 primarily resulting from common stock repurchases of $103.8 million (</w:t>
      </w:r>
      <w:r>
        <w:rPr>
          <w:rFonts w:ascii="Arial" w:cs="Arial" w:eastAsia="Arial" w:hAnsi="Arial"/>
          <w:sz w:val="12"/>
          <w:szCs w:val="12"/>
          <w:i w:val="1"/>
          <w:iCs w:val="1"/>
          <w:color w:val="auto"/>
        </w:rPr>
        <w:t>Refer to Note 11 "Common Stock Repurchase Program"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to Consolidated Financial Statements </w:t>
      </w:r>
      <w:r>
        <w:rPr>
          <w:rFonts w:ascii="Arial" w:cs="Arial" w:eastAsia="Arial" w:hAnsi="Arial"/>
          <w:sz w:val="12"/>
          <w:szCs w:val="12"/>
          <w:color w:val="auto"/>
        </w:rPr>
        <w:t>for details on the stock repurchase program) and payroll taxes paid for vesting of restricted stock units ("RSUs") through share withholdings of $46.2 million. These outflows were offset in part</w:t>
      </w:r>
      <w:r>
        <w:rPr>
          <w:rFonts w:ascii="Arial" w:cs="Arial" w:eastAsia="Arial" w:hAnsi="Arial"/>
          <w:sz w:val="12"/>
          <w:szCs w:val="12"/>
          <w:i w:val="1"/>
          <w:iCs w:val="1"/>
          <w:color w:val="auto"/>
        </w:rPr>
        <w:t xml:space="preserve"> </w:t>
      </w:r>
      <w:r>
        <w:rPr>
          <w:rFonts w:ascii="Arial" w:cs="Arial" w:eastAsia="Arial" w:hAnsi="Arial"/>
          <w:sz w:val="12"/>
          <w:szCs w:val="12"/>
          <w:color w:val="auto"/>
        </w:rPr>
        <w:t>by $14.5 million from proceeds from the issuance of common stock.</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Net cash used by financing activities was $95.5 million for the year ended December 31, 2016 primarily resulting from common stock repurchases of $96.2 million (</w:t>
      </w:r>
      <w:r>
        <w:rPr>
          <w:rFonts w:ascii="Arial" w:cs="Arial" w:eastAsia="Arial" w:hAnsi="Arial"/>
          <w:sz w:val="12"/>
          <w:szCs w:val="12"/>
          <w:i w:val="1"/>
          <w:iCs w:val="1"/>
          <w:color w:val="auto"/>
        </w:rPr>
        <w:t>Refer to Note 11 "Common Stock Repurchase Program" of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to Consolidated Financial Statements </w:t>
      </w:r>
      <w:r>
        <w:rPr>
          <w:rFonts w:ascii="Arial" w:cs="Arial" w:eastAsia="Arial" w:hAnsi="Arial"/>
          <w:sz w:val="12"/>
          <w:szCs w:val="12"/>
          <w:color w:val="auto"/>
        </w:rPr>
        <w:t>for details on the stock repurchase program) and $29.9 million of payroll taxes paid for vesting of RSUs through share withholdings, partially offset by excess tax benefit from our share-based</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arrangements of $16.8 million and proceeds from issuance of common stock of $13.8 million.</w:t>
      </w:r>
    </w:p>
    <w:p>
      <w:pPr>
        <w:spacing w:after="0" w:line="123"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Net cash used by financing activities was $100.8 million for the year ended December 31, 2015 resulting from repurchases of our common stock of $101.8 million and $20.7 million of payroll taxes paid for our employees' vesting of RSUs through share withholdings, partially off-set by proceeds from issuance of common stock of $11.3 million and $10.4 million from excess tax benefit from our share-based compensation arrangements.</w:t>
      </w:r>
    </w:p>
    <w:p>
      <w:pPr>
        <w:spacing w:after="0" w:line="92"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restricted stock units are taxable to the individuals when they vest, the number of shares we issue to each of our employees will be net of applicable withholding taxes which will be paid by us on their behalf. During 2017, 2016 and 2015, we paid $46.2 million, $29.9 million and $20.7 million, respectively, for taxes related to RSUs that vested during the periods.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509" w:right="199" w:bottom="1440" w:gutter="0" w:footer="0" w:header="0"/>
        </w:sectPr>
      </w:pPr>
    </w:p>
    <w:bookmarkStart w:id="46" w:name="page47"/>
    <w:bookmarkEnd w:id="46"/>
    <w:p>
      <w:pPr>
        <w:ind w:left="168"/>
        <w:spacing w:after="0"/>
        <w:rPr>
          <w:sz w:val="20"/>
          <w:szCs w:val="20"/>
          <w:color w:val="auto"/>
        </w:rPr>
      </w:pPr>
      <w:r>
        <w:rPr>
          <w:rFonts w:ascii="Arial" w:cs="Arial" w:eastAsia="Arial" w:hAnsi="Arial"/>
          <w:sz w:val="12"/>
          <w:szCs w:val="12"/>
          <w:b w:val="1"/>
          <w:bCs w:val="1"/>
          <w:i w:val="1"/>
          <w:iCs w:val="1"/>
          <w:color w:val="auto"/>
        </w:rPr>
        <w:t>Stock Repurchases</w:t>
      </w:r>
    </w:p>
    <w:p>
      <w:pPr>
        <w:spacing w:after="0" w:line="150" w:lineRule="exact"/>
        <w:rPr>
          <w:sz w:val="20"/>
          <w:szCs w:val="20"/>
          <w:color w:val="auto"/>
        </w:rPr>
      </w:pPr>
    </w:p>
    <w:p>
      <w:pPr>
        <w:ind w:left="168"/>
        <w:spacing w:after="0"/>
        <w:rPr>
          <w:sz w:val="20"/>
          <w:szCs w:val="20"/>
          <w:color w:val="auto"/>
        </w:rPr>
      </w:pPr>
      <w:r>
        <w:rPr>
          <w:rFonts w:ascii="Arial" w:cs="Arial" w:eastAsia="Arial" w:hAnsi="Arial"/>
          <w:sz w:val="12"/>
          <w:szCs w:val="12"/>
          <w:i w:val="1"/>
          <w:iCs w:val="1"/>
          <w:color w:val="auto"/>
        </w:rPr>
        <w:t xml:space="preserve">Refer to Note 11"Common Stock Repurchase Program" of the Notes to Consolidated Financial Statements </w:t>
      </w:r>
      <w:r>
        <w:rPr>
          <w:rFonts w:ascii="Arial" w:cs="Arial" w:eastAsia="Arial" w:hAnsi="Arial"/>
          <w:sz w:val="12"/>
          <w:szCs w:val="12"/>
          <w:color w:val="auto"/>
        </w:rPr>
        <w:t>for details on stock repurchase program.</w:t>
      </w:r>
    </w:p>
    <w:p>
      <w:pPr>
        <w:spacing w:after="0" w:line="15" w:lineRule="exact"/>
        <w:rPr>
          <w:sz w:val="20"/>
          <w:szCs w:val="20"/>
          <w:color w:val="auto"/>
        </w:rPr>
      </w:pPr>
    </w:p>
    <w:p>
      <w:pPr>
        <w:ind w:left="428" w:hanging="212"/>
        <w:spacing w:after="0"/>
        <w:tabs>
          <w:tab w:leader="none" w:pos="428"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April 2014 Repurchase Program. </w:t>
      </w:r>
      <w:r>
        <w:rPr>
          <w:rFonts w:ascii="Arial" w:cs="Arial" w:eastAsia="Arial" w:hAnsi="Arial"/>
          <w:sz w:val="11"/>
          <w:szCs w:val="11"/>
          <w:color w:val="auto"/>
        </w:rPr>
        <w:t>In 2017, we repurchased shares of our common stock on the open market for an aggregate purchase price of approximately $3.8 million, completing the April 2014 Repurchase Program.</w:t>
      </w:r>
    </w:p>
    <w:p>
      <w:pPr>
        <w:spacing w:after="0" w:line="152" w:lineRule="exact"/>
        <w:rPr>
          <w:rFonts w:ascii="Arial" w:cs="Arial" w:eastAsia="Arial" w:hAnsi="Arial"/>
          <w:sz w:val="11"/>
          <w:szCs w:val="11"/>
          <w:color w:val="auto"/>
        </w:rPr>
      </w:pPr>
    </w:p>
    <w:p>
      <w:pPr>
        <w:ind w:left="428" w:hanging="212"/>
        <w:spacing w:after="0"/>
        <w:tabs>
          <w:tab w:leader="none" w:pos="428"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April 2016 Repurchase Program. </w:t>
      </w:r>
      <w:r>
        <w:rPr>
          <w:rFonts w:ascii="Arial" w:cs="Arial" w:eastAsia="Arial" w:hAnsi="Arial"/>
          <w:sz w:val="12"/>
          <w:szCs w:val="12"/>
          <w:color w:val="auto"/>
        </w:rPr>
        <w:t>In 2017, we repurchased, $50.0 million of our common stock through an accelerated stock repurchase agreement and $50.0 million on the open market.</w:t>
      </w:r>
    </w:p>
    <w:p>
      <w:pPr>
        <w:spacing w:after="0" w:line="150" w:lineRule="exact"/>
        <w:rPr>
          <w:rFonts w:ascii="Arial" w:cs="Arial" w:eastAsia="Arial" w:hAnsi="Arial"/>
          <w:sz w:val="12"/>
          <w:szCs w:val="12"/>
          <w:color w:val="auto"/>
        </w:rPr>
      </w:pPr>
    </w:p>
    <w:p>
      <w:pPr>
        <w:jc w:val="both"/>
        <w:ind w:left="428" w:hanging="212"/>
        <w:spacing w:after="0" w:line="263" w:lineRule="auto"/>
        <w:tabs>
          <w:tab w:leader="none" w:pos="428"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Remaining Available Repurchases. </w:t>
      </w:r>
      <w:r>
        <w:rPr>
          <w:rFonts w:ascii="Arial" w:cs="Arial" w:eastAsia="Arial" w:hAnsi="Arial"/>
          <w:sz w:val="12"/>
          <w:szCs w:val="12"/>
          <w:color w:val="auto"/>
        </w:rPr>
        <w:t>As of December 31, 2017, we have $200.0 million remaining under the April 2016 Repurchase Program. In February 2018, we repurchased approximately 0.4 million shares on the open market</w:t>
      </w:r>
      <w:r>
        <w:rPr>
          <w:rFonts w:ascii="Arial" w:cs="Arial" w:eastAsia="Arial" w:hAnsi="Arial"/>
          <w:sz w:val="12"/>
          <w:szCs w:val="12"/>
          <w:i w:val="1"/>
          <w:iCs w:val="1"/>
          <w:color w:val="auto"/>
        </w:rPr>
        <w:t xml:space="preserve"> </w:t>
      </w:r>
      <w:r>
        <w:rPr>
          <w:rFonts w:ascii="Arial" w:cs="Arial" w:eastAsia="Arial" w:hAnsi="Arial"/>
          <w:sz w:val="12"/>
          <w:szCs w:val="12"/>
          <w:color w:val="auto"/>
        </w:rPr>
        <w:t>for an aggregate purchase price of $100 million, at an average share price of $252.24 (</w:t>
      </w:r>
      <w:r>
        <w:rPr>
          <w:rFonts w:ascii="Arial" w:cs="Arial" w:eastAsia="Arial" w:hAnsi="Arial"/>
          <w:sz w:val="12"/>
          <w:szCs w:val="12"/>
          <w:i w:val="1"/>
          <w:iCs w:val="1"/>
          <w:color w:val="auto"/>
        </w:rPr>
        <w:t>Refer to Note 10 "Common Stock Repurchase Program" of the Notes to Consolidated Financial Statements</w:t>
      </w:r>
      <w:r>
        <w:rPr>
          <w:rFonts w:ascii="Arial" w:cs="Arial" w:eastAsia="Arial" w:hAnsi="Arial"/>
          <w:sz w:val="12"/>
          <w:szCs w:val="12"/>
          <w:color w:val="auto"/>
        </w:rPr>
        <w:t xml:space="preserve"> for details on stock repurchase program).</w:t>
      </w:r>
    </w:p>
    <w:p>
      <w:pPr>
        <w:spacing w:after="0" w:line="123" w:lineRule="exact"/>
        <w:rPr>
          <w:sz w:val="20"/>
          <w:szCs w:val="20"/>
          <w:color w:val="auto"/>
        </w:rPr>
      </w:pPr>
    </w:p>
    <w:p>
      <w:pPr>
        <w:jc w:val="both"/>
        <w:ind w:left="8" w:firstLine="216"/>
        <w:spacing w:after="0" w:line="286" w:lineRule="auto"/>
        <w:rPr>
          <w:sz w:val="20"/>
          <w:szCs w:val="20"/>
          <w:color w:val="auto"/>
        </w:rPr>
      </w:pPr>
      <w:r>
        <w:rPr>
          <w:rFonts w:ascii="Arial" w:cs="Arial" w:eastAsia="Arial" w:hAnsi="Arial"/>
          <w:sz w:val="11"/>
          <w:szCs w:val="11"/>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utilize our credit facility,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29" w:lineRule="exact"/>
        <w:rPr>
          <w:sz w:val="20"/>
          <w:szCs w:val="20"/>
          <w:color w:val="auto"/>
        </w:rPr>
      </w:pPr>
    </w:p>
    <w:p>
      <w:pPr>
        <w:ind w:left="148"/>
        <w:spacing w:after="0"/>
        <w:rPr>
          <w:sz w:val="20"/>
          <w:szCs w:val="20"/>
          <w:color w:val="auto"/>
        </w:rPr>
      </w:pPr>
      <w:r>
        <w:rPr>
          <w:rFonts w:ascii="Arial" w:cs="Arial" w:eastAsia="Arial" w:hAnsi="Arial"/>
          <w:sz w:val="12"/>
          <w:szCs w:val="12"/>
          <w:b w:val="1"/>
          <w:bCs w:val="1"/>
          <w:i w:val="1"/>
          <w:iCs w:val="1"/>
          <w:color w:val="auto"/>
        </w:rPr>
        <w:t>Credit Facility</w:t>
      </w:r>
    </w:p>
    <w:p>
      <w:pPr>
        <w:spacing w:after="0" w:line="150"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On March 22, 2013, we entered into a credit facility for a $50.0 million revolving line of credit, with a $10.0 million letter of credit, and a maturity date of March 22, 2018. On February 27, 2018, we entered into a new credit facility for a $200.0 million revolving line of credit, with a $50.0 million letter of credit, and a maturity date of February 27, 2021, replacing existing credit facility (</w:t>
      </w:r>
      <w:r>
        <w:rPr>
          <w:rFonts w:ascii="Arial" w:cs="Arial" w:eastAsia="Arial" w:hAnsi="Arial"/>
          <w:sz w:val="12"/>
          <w:szCs w:val="12"/>
          <w:i w:val="1"/>
          <w:iCs w:val="1"/>
          <w:color w:val="auto"/>
        </w:rPr>
        <w:t>Refer to Note 7 "Credit Facility" of the Notes to Consolidated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Statements </w:t>
      </w:r>
      <w:r>
        <w:rPr>
          <w:rFonts w:ascii="Arial" w:cs="Arial" w:eastAsia="Arial" w:hAnsi="Arial"/>
          <w:sz w:val="12"/>
          <w:szCs w:val="12"/>
          <w:color w:val="auto"/>
        </w:rPr>
        <w:t>for details of the credit facility)</w:t>
      </w:r>
      <w:r>
        <w:rPr>
          <w:rFonts w:ascii="Arial" w:cs="Arial" w:eastAsia="Arial" w:hAnsi="Arial"/>
          <w:sz w:val="12"/>
          <w:szCs w:val="12"/>
          <w:i w:val="1"/>
          <w:iCs w:val="1"/>
          <w:color w:val="auto"/>
        </w:rPr>
        <w:t>.</w:t>
      </w:r>
    </w:p>
    <w:p>
      <w:pPr>
        <w:spacing w:after="0" w:line="123" w:lineRule="exact"/>
        <w:rPr>
          <w:sz w:val="20"/>
          <w:szCs w:val="20"/>
          <w:color w:val="auto"/>
        </w:rPr>
      </w:pPr>
    </w:p>
    <w:p>
      <w:pPr>
        <w:ind w:left="168"/>
        <w:spacing w:after="0"/>
        <w:rPr>
          <w:sz w:val="20"/>
          <w:szCs w:val="20"/>
          <w:color w:val="auto"/>
        </w:rPr>
      </w:pPr>
      <w:r>
        <w:rPr>
          <w:rFonts w:ascii="Arial" w:cs="Arial" w:eastAsia="Arial" w:hAnsi="Arial"/>
          <w:sz w:val="12"/>
          <w:szCs w:val="12"/>
          <w:b w:val="1"/>
          <w:bCs w:val="1"/>
          <w:i w:val="1"/>
          <w:iCs w:val="1"/>
          <w:color w:val="auto"/>
        </w:rPr>
        <w:t>Contractual Obligations/Off Balance Sheet Arrangements</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impact that our contractual obligations as of December 31, 2017 are expected to have on our liquidity and cash flows in future periods is as follows (in thousands):</w:t>
      </w:r>
    </w:p>
    <w:p>
      <w:pPr>
        <w:spacing w:after="0" w:line="154" w:lineRule="exact"/>
        <w:rPr>
          <w:sz w:val="20"/>
          <w:szCs w:val="20"/>
          <w:color w:val="auto"/>
        </w:rPr>
      </w:pPr>
    </w:p>
    <w:p>
      <w:pPr>
        <w:ind w:left="8068"/>
        <w:spacing w:after="0"/>
        <w:rPr>
          <w:sz w:val="20"/>
          <w:szCs w:val="20"/>
          <w:color w:val="auto"/>
        </w:rPr>
      </w:pPr>
      <w:r>
        <w:rPr>
          <w:rFonts w:ascii="Arial" w:cs="Arial" w:eastAsia="Arial" w:hAnsi="Arial"/>
          <w:sz w:val="10"/>
          <w:szCs w:val="10"/>
          <w:b w:val="1"/>
          <w:bCs w:val="1"/>
          <w:color w:val="auto"/>
        </w:rPr>
        <w:t>Payments Due by Period</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00"/>
        </w:trPr>
        <w:tc>
          <w:tcPr>
            <w:tcW w:w="414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gridSpan w:val="2"/>
            <w:shd w:val="clear" w:color="auto" w:fill="CCEEFF"/>
          </w:tcPr>
          <w:p>
            <w:pPr>
              <w:jc w:val="center"/>
              <w:ind w:right="400"/>
              <w:spacing w:after="0" w:line="100" w:lineRule="exact"/>
              <w:rPr>
                <w:sz w:val="20"/>
                <w:szCs w:val="20"/>
                <w:color w:val="auto"/>
              </w:rPr>
            </w:pPr>
            <w:r>
              <w:rPr>
                <w:rFonts w:ascii="Arial" w:cs="Arial" w:eastAsia="Arial" w:hAnsi="Arial"/>
                <w:sz w:val="10"/>
                <w:szCs w:val="10"/>
                <w:b w:val="1"/>
                <w:bCs w:val="1"/>
                <w:color w:val="auto"/>
                <w:w w:val="81"/>
              </w:rPr>
              <w:t>Less than</w:t>
            </w:r>
          </w:p>
        </w:tc>
        <w:tc>
          <w:tcPr>
            <w:tcW w:w="34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jc w:val="right"/>
              <w:ind w:right="585"/>
              <w:spacing w:after="0" w:line="100" w:lineRule="exact"/>
              <w:rPr>
                <w:sz w:val="20"/>
                <w:szCs w:val="20"/>
                <w:color w:val="auto"/>
              </w:rPr>
            </w:pPr>
            <w:r>
              <w:rPr>
                <w:rFonts w:ascii="Arial" w:cs="Arial" w:eastAsia="Arial" w:hAnsi="Arial"/>
                <w:sz w:val="10"/>
                <w:szCs w:val="10"/>
                <w:b w:val="1"/>
                <w:bCs w:val="1"/>
                <w:color w:val="auto"/>
              </w:rPr>
              <w:t>1-3</w:t>
            </w: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ind w:right="545"/>
              <w:spacing w:after="0" w:line="100" w:lineRule="exact"/>
              <w:rPr>
                <w:sz w:val="20"/>
                <w:szCs w:val="20"/>
                <w:color w:val="auto"/>
              </w:rPr>
            </w:pPr>
            <w:r>
              <w:rPr>
                <w:rFonts w:ascii="Arial" w:cs="Arial" w:eastAsia="Arial" w:hAnsi="Arial"/>
                <w:sz w:val="10"/>
                <w:szCs w:val="10"/>
                <w:b w:val="1"/>
                <w:bCs w:val="1"/>
                <w:color w:val="auto"/>
              </w:rPr>
              <w:t>3-5</w:t>
            </w:r>
          </w:p>
        </w:tc>
        <w:tc>
          <w:tcPr>
            <w:tcW w:w="1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right"/>
              <w:ind w:right="405"/>
              <w:spacing w:after="0" w:line="100" w:lineRule="exact"/>
              <w:rPr>
                <w:sz w:val="20"/>
                <w:szCs w:val="20"/>
                <w:color w:val="auto"/>
              </w:rPr>
            </w:pPr>
            <w:r>
              <w:rPr>
                <w:rFonts w:ascii="Arial" w:cs="Arial" w:eastAsia="Arial" w:hAnsi="Arial"/>
                <w:sz w:val="10"/>
                <w:szCs w:val="10"/>
                <w:b w:val="1"/>
                <w:bCs w:val="1"/>
                <w:color w:val="auto"/>
              </w:rPr>
              <w:t>More than</w:t>
            </w:r>
          </w:p>
        </w:tc>
      </w:tr>
      <w:tr>
        <w:trPr>
          <w:trHeight w:val="132"/>
        </w:trPr>
        <w:tc>
          <w:tcPr>
            <w:tcW w:w="4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Total</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400"/>
              <w:spacing w:after="0"/>
              <w:rPr>
                <w:sz w:val="20"/>
                <w:szCs w:val="20"/>
                <w:color w:val="auto"/>
              </w:rPr>
            </w:pPr>
            <w:r>
              <w:rPr>
                <w:rFonts w:ascii="Arial" w:cs="Arial" w:eastAsia="Arial" w:hAnsi="Arial"/>
                <w:sz w:val="10"/>
                <w:szCs w:val="10"/>
                <w:b w:val="1"/>
                <w:bCs w:val="1"/>
                <w:color w:val="auto"/>
                <w:w w:val="86"/>
              </w:rPr>
              <w:t>1 Year</w:t>
            </w: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0"/>
                <w:szCs w:val="10"/>
                <w:b w:val="1"/>
                <w:bCs w:val="1"/>
                <w:color w:val="auto"/>
              </w:rPr>
              <w:t>Years</w:t>
            </w:r>
          </w:p>
        </w:tc>
        <w:tc>
          <w:tcPr>
            <w:tcW w:w="3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0"/>
                <w:szCs w:val="10"/>
                <w:b w:val="1"/>
                <w:bCs w:val="1"/>
                <w:color w:val="auto"/>
              </w:rPr>
              <w:t>Years</w:t>
            </w: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85"/>
              <w:spacing w:after="0"/>
              <w:rPr>
                <w:sz w:val="20"/>
                <w:szCs w:val="20"/>
                <w:color w:val="auto"/>
              </w:rPr>
            </w:pPr>
            <w:r>
              <w:rPr>
                <w:rFonts w:ascii="Arial" w:cs="Arial" w:eastAsia="Arial" w:hAnsi="Arial"/>
                <w:sz w:val="10"/>
                <w:szCs w:val="10"/>
                <w:b w:val="1"/>
                <w:bCs w:val="1"/>
                <w:color w:val="auto"/>
              </w:rPr>
              <w:t>5 Years</w:t>
            </w:r>
          </w:p>
        </w:tc>
      </w:tr>
      <w:tr>
        <w:trPr>
          <w:trHeight w:val="169"/>
        </w:trPr>
        <w:tc>
          <w:tcPr>
            <w:tcW w:w="4140" w:type="dxa"/>
            <w:vAlign w:val="bottom"/>
          </w:tcPr>
          <w:p>
            <w:pPr>
              <w:ind w:left="20"/>
              <w:spacing w:after="0" w:line="169" w:lineRule="exact"/>
              <w:rPr>
                <w:sz w:val="20"/>
                <w:szCs w:val="20"/>
                <w:color w:val="auto"/>
              </w:rPr>
            </w:pPr>
            <w:r>
              <w:rPr>
                <w:rFonts w:ascii="Arial" w:cs="Arial" w:eastAsia="Arial" w:hAnsi="Arial"/>
                <w:sz w:val="12"/>
                <w:szCs w:val="12"/>
                <w:color w:val="auto"/>
              </w:rPr>
              <w:t xml:space="preserve">Operating lease obligations </w:t>
            </w:r>
            <w:r>
              <w:rPr>
                <w:rFonts w:ascii="Arial" w:cs="Arial" w:eastAsia="Arial" w:hAnsi="Arial"/>
                <w:sz w:val="16"/>
                <w:szCs w:val="16"/>
                <w:color w:val="auto"/>
                <w:vertAlign w:val="superscript"/>
              </w:rPr>
              <w:t>(1)</w:t>
            </w:r>
          </w:p>
        </w:tc>
        <w:tc>
          <w:tcPr>
            <w:tcW w:w="840" w:type="dxa"/>
            <w:vAlign w:val="bottom"/>
            <w:tcBorders>
              <w:top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61,555</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5"/>
              <w:spacing w:after="0"/>
              <w:rPr>
                <w:sz w:val="20"/>
                <w:szCs w:val="20"/>
                <w:color w:val="auto"/>
              </w:rPr>
            </w:pPr>
            <w:r>
              <w:rPr>
                <w:rFonts w:ascii="Arial" w:cs="Arial" w:eastAsia="Arial" w:hAnsi="Arial"/>
                <w:sz w:val="12"/>
                <w:szCs w:val="12"/>
                <w:color w:val="auto"/>
              </w:rPr>
              <w:t>14,799</w:t>
            </w: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ind w:right="65"/>
              <w:spacing w:after="0"/>
              <w:rPr>
                <w:sz w:val="20"/>
                <w:szCs w:val="20"/>
                <w:color w:val="auto"/>
              </w:rPr>
            </w:pPr>
            <w:r>
              <w:rPr>
                <w:rFonts w:ascii="Arial" w:cs="Arial" w:eastAsia="Arial" w:hAnsi="Arial"/>
                <w:sz w:val="12"/>
                <w:szCs w:val="12"/>
                <w:color w:val="auto"/>
              </w:rPr>
              <w:t>23,019</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2"/>
                <w:szCs w:val="12"/>
                <w:color w:val="auto"/>
              </w:rPr>
              <w:t>14,164</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ind w:right="65"/>
              <w:spacing w:after="0"/>
              <w:rPr>
                <w:sz w:val="20"/>
                <w:szCs w:val="20"/>
                <w:color w:val="auto"/>
              </w:rPr>
            </w:pPr>
            <w:r>
              <w:rPr>
                <w:rFonts w:ascii="Arial" w:cs="Arial" w:eastAsia="Arial" w:hAnsi="Arial"/>
                <w:sz w:val="12"/>
                <w:szCs w:val="12"/>
                <w:color w:val="auto"/>
              </w:rPr>
              <w:t>9,573</w:t>
            </w: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Unconditional purchase obligations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683,242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414,726</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173,663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94,853</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2"/>
                <w:szCs w:val="12"/>
                <w:color w:val="auto"/>
              </w:rPr>
              <w:t>—</w:t>
            </w:r>
          </w:p>
        </w:tc>
      </w:tr>
      <w:tr>
        <w:trPr>
          <w:trHeight w:val="176"/>
        </w:trPr>
        <w:tc>
          <w:tcPr>
            <w:tcW w:w="4140" w:type="dxa"/>
            <w:vAlign w:val="bottom"/>
          </w:tcPr>
          <w:p>
            <w:pPr>
              <w:ind w:left="20"/>
              <w:spacing w:after="0"/>
              <w:rPr>
                <w:sz w:val="20"/>
                <w:szCs w:val="20"/>
                <w:color w:val="auto"/>
              </w:rPr>
            </w:pPr>
            <w:r>
              <w:rPr>
                <w:rFonts w:ascii="Arial" w:cs="Arial" w:eastAsia="Arial" w:hAnsi="Arial"/>
                <w:sz w:val="12"/>
                <w:szCs w:val="12"/>
                <w:color w:val="auto"/>
              </w:rPr>
              <w:t>Total contractual cash obligations</w:t>
            </w:r>
          </w:p>
        </w:tc>
        <w:tc>
          <w:tcPr>
            <w:tcW w:w="840" w:type="dxa"/>
            <w:vAlign w:val="bottom"/>
            <w:tcBorders>
              <w:bottom w:val="single" w:sz="8" w:color="auto"/>
            </w:tcBorders>
          </w:tcPr>
          <w:p>
            <w:pPr>
              <w:jc w:val="right"/>
              <w:ind w:right="70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744,797</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429,525</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196,682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109,017</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9,573</w:t>
            </w:r>
          </w:p>
        </w:tc>
      </w:tr>
    </w:tbl>
    <w:p>
      <w:pPr>
        <w:spacing w:after="0" w:line="108" w:lineRule="exact"/>
        <w:rPr>
          <w:sz w:val="20"/>
          <w:szCs w:val="20"/>
          <w:color w:val="auto"/>
        </w:rPr>
      </w:pPr>
    </w:p>
    <w:p>
      <w:pPr>
        <w:ind w:left="108" w:hanging="108"/>
        <w:spacing w:after="0"/>
        <w:tabs>
          <w:tab w:leader="none" w:pos="108" w:val="left"/>
        </w:tabs>
        <w:numPr>
          <w:ilvl w:val="0"/>
          <w:numId w:val="37"/>
        </w:numPr>
        <w:rPr>
          <w:rFonts w:ascii="Arial" w:cs="Arial" w:eastAsia="Arial" w:hAnsi="Arial"/>
          <w:sz w:val="13"/>
          <w:szCs w:val="13"/>
          <w:color w:val="auto"/>
          <w:vertAlign w:val="superscript"/>
        </w:rPr>
      </w:pPr>
      <w:r>
        <w:rPr>
          <w:rFonts w:ascii="Arial" w:cs="Arial" w:eastAsia="Arial" w:hAnsi="Arial"/>
          <w:sz w:val="10"/>
          <w:szCs w:val="10"/>
          <w:color w:val="auto"/>
        </w:rPr>
        <w:t>Sublease income is not material and excluded from the table below.</w:t>
      </w:r>
    </w:p>
    <w:p>
      <w:pPr>
        <w:spacing w:after="0" w:line="130" w:lineRule="exact"/>
        <w:rPr>
          <w:sz w:val="20"/>
          <w:szCs w:val="20"/>
          <w:color w:val="auto"/>
        </w:rPr>
      </w:pPr>
    </w:p>
    <w:p>
      <w:pPr>
        <w:ind w:left="8" w:right="20" w:firstLine="288"/>
        <w:spacing w:after="0" w:line="276" w:lineRule="auto"/>
        <w:rPr>
          <w:sz w:val="20"/>
          <w:szCs w:val="20"/>
          <w:color w:val="auto"/>
        </w:rPr>
      </w:pPr>
      <w:r>
        <w:rPr>
          <w:rFonts w:ascii="Arial" w:cs="Arial" w:eastAsia="Arial" w:hAnsi="Arial"/>
          <w:sz w:val="12"/>
          <w:szCs w:val="12"/>
          <w:color w:val="auto"/>
        </w:rPr>
        <w:t>Our contractual obligations table above excludes approximately $38.1 million of non-current uncertain tax benefits which are included in other long-term obligations and deferred tax assets on our balance sheet as of December 31, 2017. We have not included this amount because we cannot make a reasonably reliable estimate regarding the timing of settlements with taxing authorities, if any.</w:t>
      </w:r>
    </w:p>
    <w:p>
      <w:pPr>
        <w:spacing w:after="0" w:line="115" w:lineRule="exact"/>
        <w:rPr>
          <w:sz w:val="20"/>
          <w:szCs w:val="20"/>
          <w:color w:val="auto"/>
        </w:rPr>
      </w:pPr>
    </w:p>
    <w:p>
      <w:pPr>
        <w:ind w:left="8" w:firstLine="288"/>
        <w:spacing w:after="0" w:line="276" w:lineRule="auto"/>
        <w:rPr>
          <w:sz w:val="20"/>
          <w:szCs w:val="20"/>
          <w:color w:val="auto"/>
        </w:rPr>
      </w:pPr>
      <w:r>
        <w:rPr>
          <w:rFonts w:ascii="Arial" w:cs="Arial" w:eastAsia="Arial" w:hAnsi="Arial"/>
          <w:sz w:val="12"/>
          <w:szCs w:val="12"/>
          <w:color w:val="auto"/>
        </w:rPr>
        <w:t xml:space="preserve">We had no material off-balance sheet arrangements as defined in Regulation S-K Item 303(a) (4) as of December 31, 2017 other than certain items disclosed in </w:t>
      </w:r>
      <w:r>
        <w:rPr>
          <w:rFonts w:ascii="Arial" w:cs="Arial" w:eastAsia="Arial" w:hAnsi="Arial"/>
          <w:sz w:val="12"/>
          <w:szCs w:val="12"/>
          <w:i w:val="1"/>
          <w:iCs w:val="1"/>
          <w:color w:val="auto"/>
        </w:rPr>
        <w:t>Note 9 "Commitments and Contingencies" of the 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Statements</w:t>
      </w:r>
      <w:r>
        <w:rPr>
          <w:rFonts w:ascii="Arial" w:cs="Arial" w:eastAsia="Arial" w:hAnsi="Arial"/>
          <w:sz w:val="12"/>
          <w:szCs w:val="12"/>
          <w:color w:val="auto"/>
        </w:rPr>
        <w:t>.</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8"/>
          </w:cols>
          <w:pgMar w:left="212" w:top="437" w:right="199" w:bottom="1440" w:gutter="0" w:footer="0" w:header="0"/>
        </w:sectPr>
      </w:pPr>
    </w:p>
    <w:bookmarkStart w:id="47" w:name="page48"/>
    <w:bookmarkEnd w:id="47"/>
    <w:p>
      <w:pPr>
        <w:ind w:left="160"/>
        <w:spacing w:after="0"/>
        <w:rPr>
          <w:sz w:val="20"/>
          <w:szCs w:val="20"/>
          <w:color w:val="auto"/>
        </w:rPr>
      </w:pPr>
      <w:r>
        <w:rPr>
          <w:rFonts w:ascii="Arial" w:cs="Arial" w:eastAsia="Arial" w:hAnsi="Arial"/>
          <w:sz w:val="12"/>
          <w:szCs w:val="12"/>
          <w:b w:val="1"/>
          <w:bCs w:val="1"/>
          <w:i w:val="1"/>
          <w:iCs w:val="1"/>
          <w:color w:val="auto"/>
        </w:rPr>
        <w:t>Indemnification Provisions</w:t>
      </w:r>
    </w:p>
    <w:p>
      <w:pPr>
        <w:spacing w:after="0" w:line="150" w:lineRule="exact"/>
        <w:rPr>
          <w:sz w:val="20"/>
          <w:szCs w:val="20"/>
          <w:color w:val="auto"/>
        </w:rPr>
      </w:pPr>
    </w:p>
    <w:p>
      <w:pPr>
        <w:jc w:val="both"/>
        <w:ind w:firstLine="288"/>
        <w:spacing w:after="0" w:line="340" w:lineRule="auto"/>
        <w:rPr>
          <w:sz w:val="20"/>
          <w:szCs w:val="20"/>
          <w:color w:val="auto"/>
        </w:rPr>
      </w:pPr>
      <w:r>
        <w:rPr>
          <w:rFonts w:ascii="Arial" w:cs="Arial" w:eastAsia="Arial" w:hAnsi="Arial"/>
          <w:sz w:val="10"/>
          <w:szCs w:val="10"/>
          <w:color w:val="auto"/>
        </w:rPr>
        <w:t>In the normal course of business to facilitate transactions in our services and products, we indemnify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88"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2017, we did not have any material indemnification claims that were probable or reasonably possible.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09"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 xml:space="preserve">We believe the following critical accounting policies and estimates affect our more significant judgments used in the preparation of our consolidated financial statements. For further information on all of our significant accounting policies, see </w:t>
      </w:r>
      <w:r>
        <w:rPr>
          <w:rFonts w:ascii="Arial" w:cs="Arial" w:eastAsia="Arial" w:hAnsi="Arial"/>
          <w:sz w:val="12"/>
          <w:szCs w:val="12"/>
          <w:i w:val="1"/>
          <w:iCs w:val="1"/>
          <w:color w:val="auto"/>
        </w:rPr>
        <w:t>Note 1 "Summary of Significant Accounting Policies" of the Notes to Consolidated Financial Statements</w:t>
      </w:r>
      <w:r>
        <w:rPr>
          <w:rFonts w:ascii="Arial" w:cs="Arial" w:eastAsia="Arial" w:hAnsi="Arial"/>
          <w:sz w:val="12"/>
          <w:szCs w:val="12"/>
          <w:color w:val="auto"/>
        </w:rPr>
        <w:t xml:space="preserve"> under Item 8.</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We enter into sales arrangements that may consist of multiple deliverables of our products and services where certain elements of the sales arrangement are not delivered in one reporting period. We measure and allocate revenue according to the accounting guidance for multiple-element revenue arrangements in Accounting Standards Codification (“ASC”) 605-25, "</w:t>
      </w:r>
      <w:r>
        <w:rPr>
          <w:rFonts w:ascii="Arial" w:cs="Arial" w:eastAsia="Arial" w:hAnsi="Arial"/>
          <w:sz w:val="12"/>
          <w:szCs w:val="12"/>
          <w:i w:val="1"/>
          <w:iCs w:val="1"/>
          <w:color w:val="auto"/>
        </w:rPr>
        <w:t>Revenue Recognition – Multiple-Element Arrangements</w:t>
      </w:r>
      <w:r>
        <w:rPr>
          <w:rFonts w:ascii="Arial" w:cs="Arial" w:eastAsia="Arial" w:hAnsi="Arial"/>
          <w:sz w:val="12"/>
          <w:szCs w:val="12"/>
          <w:color w:val="auto"/>
        </w:rPr>
        <w:t>."</w:t>
      </w:r>
    </w:p>
    <w:p>
      <w:pPr>
        <w:spacing w:after="0" w:line="115"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Each element within a multiple-element arrangement is accounted for as a separate unit of accounting provided the following criteria are met: the delivered products or services have value to the customer on a standalone basis; and for an arrangement that includes a general right of return relative to the delivered products or services, delivery or performance of the undelivered product or service is considered probable and is substantially controlled by us. We consider a deliverable to have standalone value if the product or service is sold separately by us or another vendor or could be resold by the customer. Further, our revenue arrangements generally do not include a general right of return relative to the delivered products. The arrangement consideration is allocated to each element, delivered or undelivered, at the inception of the arrangement based on the relative selling price of each unit of accounting. We use a hierarchy to determine the fair value to be used for allocating revenue to elements, based first on vendor-specific objective evidence (“VSOE”) if it exists, second on third-party evidence (“TPE”) if it exists, or on best estimated selling price (“BESP”) if neither VSOE nor TPE exist (a description as to how we determine VSOE, TPE and BESP is provided below).</w:t>
      </w:r>
    </w:p>
    <w:p>
      <w:pPr>
        <w:spacing w:after="0" w:line="114" w:lineRule="exact"/>
        <w:rPr>
          <w:sz w:val="20"/>
          <w:szCs w:val="20"/>
          <w:color w:val="auto"/>
        </w:rPr>
      </w:pPr>
    </w:p>
    <w:p>
      <w:pPr>
        <w:ind w:left="420" w:hanging="167"/>
        <w:spacing w:after="0" w:line="276" w:lineRule="auto"/>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VSOE - In most instances, this applies to products and services that are sold separately in stand-alone arrangements.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spacing w:after="0" w:line="114" w:lineRule="exact"/>
        <w:rPr>
          <w:rFonts w:ascii="Arial" w:cs="Arial" w:eastAsia="Arial" w:hAnsi="Arial"/>
          <w:sz w:val="12"/>
          <w:szCs w:val="12"/>
          <w:color w:val="auto"/>
        </w:rPr>
      </w:pPr>
    </w:p>
    <w:p>
      <w:pPr>
        <w:ind w:left="420" w:hanging="167"/>
        <w:spacing w:after="0" w:line="276" w:lineRule="auto"/>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437" w:right="199" w:bottom="1440" w:gutter="0" w:footer="0" w:header="0"/>
        </w:sectPr>
      </w:pPr>
    </w:p>
    <w:bookmarkStart w:id="48" w:name="page49"/>
    <w:bookmarkEnd w:id="48"/>
    <w:p>
      <w:pPr>
        <w:jc w:val="both"/>
        <w:ind w:left="420" w:hanging="167"/>
        <w:spacing w:after="0" w:line="263" w:lineRule="auto"/>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BESP - The best estimated selling price represents the price at which we would sell a product or service if it were sold on a stand-alone basis. When VSOE or TPE does not exist for all elements, we determine BESP for the arrangement element based on sales, cost and margin analysis, as well as other inputs based on our pricing practices. Adjustments for other market and company specific factors are made as deemed necessary in determining BESP. We regularly review our estimates of selling price and maintain internal controls over the establishment and update of these estimates.</w:t>
      </w:r>
    </w:p>
    <w:p>
      <w:pPr>
        <w:spacing w:after="0" w:line="123" w:lineRule="exact"/>
        <w:rPr>
          <w:sz w:val="20"/>
          <w:szCs w:val="20"/>
          <w:color w:val="auto"/>
        </w:rPr>
      </w:pPr>
    </w:p>
    <w:p>
      <w:pPr>
        <w:jc w:val="both"/>
        <w:ind w:right="20" w:firstLine="270"/>
        <w:spacing w:after="0" w:line="290" w:lineRule="auto"/>
        <w:rPr>
          <w:sz w:val="20"/>
          <w:szCs w:val="20"/>
          <w:color w:val="auto"/>
        </w:rPr>
      </w:pPr>
      <w:r>
        <w:rPr>
          <w:rFonts w:ascii="Arial" w:cs="Arial" w:eastAsia="Arial" w:hAnsi="Arial"/>
          <w:sz w:val="11"/>
          <w:szCs w:val="11"/>
          <w:color w:val="auto"/>
        </w:rPr>
        <w:t>Revenue recognition for multiple-element arrangements requires judgment to determine if multiple elements exist, whether elements can be accounted for as separate units of accounting, and if so, the fair value for each of the elements, and the manner in which revenue should be allocated among the accounting units. Our process for determining BESPs requires judgment and considers multiple factors that may vary over time depending upon the unique facts and circumstances related to each deliverable. Further, while changes in the allocation of the best estimated selling price between the accounting units will not affect the amount of total revenue recognized for a particular arrangement, any material changes in these allocations could impact the timing of revenue recognition, which could have a material effect on our financial position and results of operations.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enter into arrangements (“treatment plan(s)”) that involve multiple future product deliverables. Invisalign Full, Invisalign Teen, and Invisalign Assist products include optional additional aligners at no charge for a period of up to five years after initial shipment and Invisalign Go includes optional additional aligners at no charge for a period of up to two years after initial shipment. Invisalign Teen also includes up to six optional replacement aligners in the price of the product and may be ordered by the dental professional any time throughout treatment. Invisalign Lite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09"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We determined that our treatment plans, except Invisalign Assist with progress tracking, comprise the following deliverables which also represent separate units of accounting: initial aligners, additional aligners, case refinement, and replacement aligners. We allocate revenue for each treatment plan based on each unit's relative selling price based on BESP and recognize the revenue upon shipment of each unit in the treatment plan.</w:t>
      </w:r>
    </w:p>
    <w:p>
      <w:pPr>
        <w:spacing w:after="0" w:line="9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Invisalign Assist with the progress tracking feature, aligners and services are provided to the dental professional every nine stages (a "batch”). We are able to reliably estimate the number of batches which are expected to be shipped for each case based upon our historical experience. The amounts allocated to this deliverable are recognized on a prorated basis as each batch is shipped.</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Scanners and Services</w:t>
      </w:r>
    </w:p>
    <w:p>
      <w:pPr>
        <w:spacing w:after="0" w:line="150"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We sell intraoral scanners and CAD/CAM services through both our direct sales force and distribution partners. The intraoral scanner sales price includes one year of warranty, and unlimited scanning services. The customer may, for additional fees, also select extended warranty and unlimited scanning services for periods beyond the initial year. When intraoral scanners are sold with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50" w:lineRule="exact"/>
        <w:rPr>
          <w:sz w:val="20"/>
          <w:szCs w:val="20"/>
          <w:color w:val="auto"/>
        </w:rPr>
      </w:pPr>
    </w:p>
    <w:p>
      <w:pPr>
        <w:jc w:val="both"/>
        <w:ind w:firstLine="288"/>
        <w:spacing w:after="0" w:line="281" w:lineRule="auto"/>
        <w:rPr>
          <w:sz w:val="20"/>
          <w:szCs w:val="20"/>
          <w:color w:val="auto"/>
        </w:rPr>
      </w:pPr>
      <w:r>
        <w:rPr>
          <w:rFonts w:ascii="Arial" w:cs="Arial" w:eastAsia="Arial" w:hAnsi="Arial"/>
          <w:sz w:val="11"/>
          <w:szCs w:val="11"/>
          <w:color w:val="auto"/>
        </w:rPr>
        <w:t xml:space="preserve">We recognize stock-based compensation cost for only those shares ultimately expected to vest on a straight-line basis over the requisite service period of the award. We use the Black-Scholes option pricing model to determine the fair value of stock options and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w:t>
      </w:r>
      <w:r>
        <w:rPr>
          <w:rFonts w:ascii="Arial" w:cs="Arial" w:eastAsia="Arial" w:hAnsi="Arial"/>
          <w:sz w:val="11"/>
          <w:szCs w:val="11"/>
          <w:color w:val="252525"/>
        </w:rPr>
        <w:t>We adopted the ASU 2016-09</w:t>
      </w:r>
      <w:r>
        <w:rPr>
          <w:rFonts w:ascii="Arial" w:cs="Arial" w:eastAsia="Arial" w:hAnsi="Arial"/>
          <w:sz w:val="11"/>
          <w:szCs w:val="11"/>
          <w:color w:val="auto"/>
        </w:rPr>
        <w:t>, "</w:t>
      </w:r>
      <w:r>
        <w:rPr>
          <w:rFonts w:ascii="Arial" w:cs="Arial" w:eastAsia="Arial" w:hAnsi="Arial"/>
          <w:sz w:val="11"/>
          <w:szCs w:val="11"/>
          <w:i w:val="1"/>
          <w:iCs w:val="1"/>
          <w:color w:val="auto"/>
        </w:rPr>
        <w:t>Improvements to Employee Share-Based Payment Accounting</w:t>
      </w:r>
      <w:r>
        <w:rPr>
          <w:rFonts w:ascii="Arial" w:cs="Arial" w:eastAsia="Arial" w:hAnsi="Arial"/>
          <w:sz w:val="11"/>
          <w:szCs w:val="11"/>
          <w:color w:val="auto"/>
        </w:rPr>
        <w:t xml:space="preserve">" </w:t>
      </w:r>
      <w:r>
        <w:rPr>
          <w:rFonts w:ascii="Arial" w:cs="Arial" w:eastAsia="Arial" w:hAnsi="Arial"/>
          <w:sz w:val="11"/>
          <w:szCs w:val="11"/>
          <w:color w:val="252525"/>
        </w:rPr>
        <w:t>(Topic 718) in the first quarter of fiscal year 2017 and we elected to continue to estimate expected forfeitures rather than as they occur</w:t>
      </w:r>
      <w:r>
        <w:rPr>
          <w:rFonts w:ascii="Arial" w:cs="Arial" w:eastAsia="Arial" w:hAnsi="Arial"/>
          <w:sz w:val="11"/>
          <w:szCs w:val="11"/>
          <w:color w:val="auto"/>
        </w:rPr>
        <w:t xml:space="preserve"> </w:t>
      </w:r>
      <w:r>
        <w:rPr>
          <w:rFonts w:ascii="Arial" w:cs="Arial" w:eastAsia="Arial" w:hAnsi="Arial"/>
          <w:sz w:val="11"/>
          <w:szCs w:val="11"/>
          <w:color w:val="252525"/>
        </w:rPr>
        <w:t>to determine the amount of compensation cost to be recognized in each period.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437" w:right="199" w:bottom="1440" w:gutter="0" w:footer="0" w:header="0"/>
        </w:sectPr>
      </w:pPr>
    </w:p>
    <w:bookmarkStart w:id="49" w:name="page50"/>
    <w:bookmarkEnd w:id="49"/>
    <w:p>
      <w:pPr>
        <w:ind w:left="140"/>
        <w:spacing w:after="0"/>
        <w:rPr>
          <w:sz w:val="20"/>
          <w:szCs w:val="20"/>
          <w:color w:val="auto"/>
        </w:rPr>
      </w:pPr>
      <w:r>
        <w:rPr>
          <w:rFonts w:ascii="Arial" w:cs="Arial" w:eastAsia="Arial" w:hAnsi="Arial"/>
          <w:sz w:val="12"/>
          <w:szCs w:val="12"/>
          <w:b w:val="1"/>
          <w:bCs w:val="1"/>
          <w:i w:val="1"/>
          <w:iCs w:val="1"/>
          <w:color w:val="auto"/>
        </w:rPr>
        <w:t>Goodwill and Finite-Lived Acquired Intangible Assets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Goodwill represents the excess of the purchase price paid over the fair value of tangible and identifiable intangible net assets acquired in business combinations and is allocated to the respective reporting units based on relative synergies generated. For the year ended December 31, 2017 and 2016, all goodwill is attributed to our Clear Aligner reporting unit.</w:t>
      </w:r>
    </w:p>
    <w:p>
      <w:pPr>
        <w:spacing w:after="0" w:line="11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Our intangible assets primarily consist of intangible assets acquired as part of acquisitions and are amortized using the straight-line method over their estimated useful lives, reflecting the period in which the economic benefits of the assets are expected to be realized.</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Impairment of Goodwill, Finite-Lived Acquired Intangible Assets and Long-Lived assets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We evaluate goodwill for impairment at least annually on November 30th or more frequently if indicators are present, an event occurs or changes in circumstances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92"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 xml:space="preserve">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 Refer to </w:t>
      </w:r>
      <w:r>
        <w:rPr>
          <w:rFonts w:ascii="Arial" w:cs="Arial" w:eastAsia="Arial" w:hAnsi="Arial"/>
          <w:sz w:val="11"/>
          <w:szCs w:val="11"/>
          <w:i w:val="1"/>
          <w:iCs w:val="1"/>
          <w:color w:val="auto"/>
        </w:rPr>
        <w:t>Note 6 "Goodwill and Intangible Assets" of Notes to Consolidated Financial Statements</w:t>
      </w:r>
      <w:r>
        <w:rPr>
          <w:rFonts w:ascii="Arial" w:cs="Arial" w:eastAsia="Arial" w:hAnsi="Arial"/>
          <w:sz w:val="11"/>
          <w:szCs w:val="11"/>
          <w:color w:val="auto"/>
        </w:rPr>
        <w:t xml:space="preserve"> for details on intangible long-lived assets.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Finite-Lived Intangible Assets and Long-Lived Assets</w:t>
      </w:r>
    </w:p>
    <w:p>
      <w:pPr>
        <w:spacing w:after="0" w:line="150" w:lineRule="exact"/>
        <w:rPr>
          <w:sz w:val="20"/>
          <w:szCs w:val="20"/>
          <w:color w:val="auto"/>
        </w:rPr>
      </w:pPr>
    </w:p>
    <w:p>
      <w:pPr>
        <w:jc w:val="both"/>
        <w:ind w:firstLine="288"/>
        <w:spacing w:after="0" w:line="254" w:lineRule="auto"/>
        <w:rPr>
          <w:sz w:val="20"/>
          <w:szCs w:val="20"/>
          <w:color w:val="auto"/>
        </w:rPr>
      </w:pPr>
      <w:r>
        <w:rPr>
          <w:rFonts w:ascii="Arial" w:cs="Arial" w:eastAsia="Arial" w:hAnsi="Arial"/>
          <w:sz w:val="12"/>
          <w:szCs w:val="12"/>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The estimation of fair value utilizing a discounted cash 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Refer to </w:t>
      </w:r>
      <w:r>
        <w:rPr>
          <w:rFonts w:ascii="Arial" w:cs="Arial" w:eastAsia="Arial" w:hAnsi="Arial"/>
          <w:sz w:val="12"/>
          <w:szCs w:val="12"/>
          <w:i w:val="1"/>
          <w:iCs w:val="1"/>
          <w:color w:val="auto"/>
        </w:rPr>
        <w:t>Note 6 "Goodwill and Intangible Assets" of Notes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to Consolidated Financial Statements </w:t>
      </w:r>
      <w:r>
        <w:rPr>
          <w:rFonts w:ascii="Arial" w:cs="Arial" w:eastAsia="Arial" w:hAnsi="Arial"/>
          <w:sz w:val="12"/>
          <w:szCs w:val="12"/>
          <w:color w:val="auto"/>
        </w:rPr>
        <w:t>for details of the impairment analysis.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Accounting for Income Taxes</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437" w:right="199" w:bottom="1440" w:gutter="0" w:footer="0" w:header="0"/>
        </w:sectPr>
      </w:pPr>
    </w:p>
    <w:bookmarkStart w:id="50" w:name="page51"/>
    <w:bookmarkEnd w:id="50"/>
    <w:p>
      <w:pPr>
        <w:jc w:val="both"/>
        <w:ind w:firstLine="270"/>
        <w:spacing w:after="0" w:line="257" w:lineRule="auto"/>
        <w:rPr>
          <w:sz w:val="20"/>
          <w:szCs w:val="20"/>
          <w:color w:val="auto"/>
        </w:rPr>
      </w:pPr>
      <w:r>
        <w:rPr>
          <w:rFonts w:ascii="Arial" w:cs="Arial" w:eastAsia="Arial" w:hAnsi="Arial"/>
          <w:sz w:val="12"/>
          <w:szCs w:val="12"/>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 of Operations in the period in which such determination is made.</w:t>
      </w:r>
    </w:p>
    <w:p>
      <w:pPr>
        <w:spacing w:after="0" w:line="12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realized.</w:t>
      </w:r>
    </w:p>
    <w:p>
      <w:pPr>
        <w:spacing w:after="0" w:line="12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TCJA was enacted into law on December 22, 2017 and impacted our effective tax rate for the year ended December 31, 2017.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2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 xml:space="preserve">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TCJA. We recorded an additional income tax expense of $84.3 million in the fourth quarter of 2017, which represents the provisional amount of the impact of the TCJA. This provisional amount includes income tax expenses related to the remeasurement of certain deferred tax assets and liabilities of $10.4 million, and the one-time transition tax on the mandatory deemed repatriation of cumulative foreign earning in the amount of $73.9 million. Additional work is necessary for a more detailed analysis of our deferred tax assets and liabilities and our historical foreign earnings as well as potential correlative adjustments. Any subsequent adjustment to these amounts will be recorded to tax expense in 2018 when the analysis is complete. </w:t>
      </w:r>
      <w:r>
        <w:rPr>
          <w:rFonts w:ascii="Arial" w:cs="Arial" w:eastAsia="Arial" w:hAnsi="Arial"/>
          <w:sz w:val="12"/>
          <w:szCs w:val="12"/>
          <w:i w:val="1"/>
          <w:iCs w:val="1"/>
          <w:color w:val="auto"/>
        </w:rPr>
        <w:t>Refer to Note 13 "Income Taxes" of the Notes of Consolidated Financial Statements</w:t>
      </w:r>
      <w:r>
        <w:rPr>
          <w:rFonts w:ascii="Arial" w:cs="Arial" w:eastAsia="Arial" w:hAnsi="Arial"/>
          <w:sz w:val="12"/>
          <w:szCs w:val="12"/>
          <w:color w:val="auto"/>
        </w:rPr>
        <w:t xml:space="preserve"> for details on provision impact of the TCJA.</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1</w:t>
      </w:r>
      <w:r>
        <w:rPr>
          <w:rFonts w:ascii="Arial" w:cs="Arial" w:eastAsia="Arial" w:hAnsi="Arial"/>
          <w:sz w:val="12"/>
          <w:szCs w:val="12"/>
          <w:color w:val="auto"/>
        </w:rPr>
        <w:t xml:space="preserve"> “</w:t>
      </w:r>
      <w:r>
        <w:rPr>
          <w:rFonts w:ascii="Arial" w:cs="Arial" w:eastAsia="Arial" w:hAnsi="Arial"/>
          <w:sz w:val="12"/>
          <w:szCs w:val="12"/>
          <w:i w:val="1"/>
          <w:iCs w:val="1"/>
          <w:color w:val="auto"/>
        </w:rPr>
        <w:t>Summary of Significant Accounting Policies” in the Notes to Consolidated Financial Statements</w:t>
      </w:r>
      <w:r>
        <w:rPr>
          <w:rFonts w:ascii="Arial" w:cs="Arial" w:eastAsia="Arial" w:hAnsi="Arial"/>
          <w:sz w:val="12"/>
          <w:szCs w:val="12"/>
          <w:color w:val="auto"/>
        </w:rPr>
        <w:t xml:space="preserve"> in </w:t>
      </w:r>
      <w:r>
        <w:rPr>
          <w:rFonts w:ascii="Arial" w:cs="Arial" w:eastAsia="Arial" w:hAnsi="Arial"/>
          <w:sz w:val="12"/>
          <w:szCs w:val="12"/>
          <w:i w:val="1"/>
          <w:iCs w:val="1"/>
          <w:color w:val="auto"/>
        </w:rPr>
        <w:t>Item 8</w:t>
      </w:r>
      <w:r>
        <w:rPr>
          <w:rFonts w:ascii="Arial" w:cs="Arial" w:eastAsia="Arial" w:hAnsi="Arial"/>
          <w:sz w:val="12"/>
          <w:szCs w:val="12"/>
          <w:color w:val="auto"/>
        </w:rPr>
        <w:t xml:space="preserve"> for a full description of recent accounting pronouncements, including the expected dates of adoption and estimated effects on results of operations and financial condition, which is incorporated herein.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437" w:right="199" w:bottom="1440" w:gutter="0" w:footer="0" w:header="0"/>
        </w:sectPr>
      </w:pPr>
    </w:p>
    <w:bookmarkStart w:id="51" w:name="page52"/>
    <w:bookmarkEnd w:id="51"/>
    <w:p>
      <w:pPr>
        <w:spacing w:after="0"/>
        <w:tabs>
          <w:tab w:leader="none" w:pos="136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the normal course of business, we are exposed to foreign currency exchange rate and interest rate risks that could impact our financial position and results of operations.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2017, we had approximately $312.0 million invested in available-for-sale marketable securities. An immediate 10% change in interest rates would not have a material adverse impact on our future operating results and cash flows.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do not have interest bearing liabilities as of December 31, 2017, and, therefore, we are not subject to risks from immediate interest rate increases.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Currency Rate Risk</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As a result of our international business activities, including the impact of the change in our new international corporate structure in 2016,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 For the year ended December 31, 2017 and 2016, we had foreign currency net gains (losses) of $9.0 million and $(8.0) million, respectively.</w:t>
      </w:r>
    </w:p>
    <w:p>
      <w:pPr>
        <w:spacing w:after="0" w:line="10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We may enter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As of December 31, 2017, we did not have any outstanding foreign exchange forward contracts.</w:t>
      </w:r>
    </w:p>
    <w:p>
      <w:pPr>
        <w:spacing w:after="0" w:line="111"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451" w:right="1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7"/>
        </w:trPr>
        <w:tc>
          <w:tcPr>
            <w:tcW w:w="106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4600" w:type="dxa"/>
            <w:vAlign w:val="bottom"/>
            <w:gridSpan w:val="7"/>
          </w:tcPr>
          <w:p>
            <w:pPr>
              <w:jc w:val="right"/>
              <w:ind w:right="287"/>
              <w:spacing w:after="0"/>
              <w:rPr>
                <w:sz w:val="20"/>
                <w:szCs w:val="20"/>
                <w:color w:val="auto"/>
              </w:rPr>
            </w:pPr>
            <w:r>
              <w:rPr>
                <w:rFonts w:ascii="Arial" w:cs="Arial" w:eastAsia="Arial" w:hAnsi="Arial"/>
                <w:sz w:val="12"/>
                <w:szCs w:val="12"/>
                <w:b w:val="1"/>
                <w:bCs w:val="1"/>
                <w:color w:val="auto"/>
                <w:w w:val="99"/>
              </w:rPr>
              <w:t>CONSOLIDATED FINANCIAL STATEMENTS AND SUPPLEMENTARY DATA</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7"/>
        </w:trPr>
        <w:tc>
          <w:tcPr>
            <w:tcW w:w="2100" w:type="dxa"/>
            <w:vAlign w:val="bottom"/>
            <w:gridSpan w:val="3"/>
          </w:tcPr>
          <w:p>
            <w:pPr>
              <w:ind w:left="140"/>
              <w:spacing w:after="0"/>
              <w:rPr>
                <w:sz w:val="20"/>
                <w:szCs w:val="20"/>
                <w:color w:val="auto"/>
              </w:rPr>
            </w:pPr>
            <w:r>
              <w:rPr>
                <w:rFonts w:ascii="Arial" w:cs="Arial" w:eastAsia="Arial" w:hAnsi="Arial"/>
                <w:sz w:val="12"/>
                <w:szCs w:val="12"/>
                <w:b w:val="1"/>
                <w:bCs w:val="1"/>
                <w:i w:val="1"/>
                <w:iCs w:val="1"/>
                <w:color w:val="auto"/>
              </w:rPr>
              <w:t>Quarterly Results of Operations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1"/>
        </w:trPr>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right="367"/>
              <w:spacing w:after="0"/>
              <w:rPr>
                <w:sz w:val="20"/>
                <w:szCs w:val="20"/>
                <w:color w:val="auto"/>
              </w:rPr>
            </w:pPr>
            <w:r>
              <w:rPr>
                <w:rFonts w:ascii="Arial" w:cs="Arial" w:eastAsia="Arial" w:hAnsi="Arial"/>
                <w:sz w:val="10"/>
                <w:szCs w:val="10"/>
                <w:b w:val="1"/>
                <w:bCs w:val="1"/>
                <w:color w:val="auto"/>
                <w:w w:val="88"/>
              </w:rPr>
              <w:t>Three Months Ended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69"/>
        </w:trPr>
        <w:tc>
          <w:tcPr>
            <w:tcW w:w="10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rPr>
              <w:t>2016</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r>
      <w:tr>
        <w:trPr>
          <w:trHeight w:val="169"/>
        </w:trPr>
        <w:tc>
          <w:tcPr>
            <w:tcW w:w="10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w w:val="93"/>
              </w:rPr>
              <w:t>December 31, 2017</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7"/>
              <w:spacing w:after="0"/>
              <w:rPr>
                <w:sz w:val="20"/>
                <w:szCs w:val="20"/>
                <w:color w:val="auto"/>
              </w:rPr>
            </w:pPr>
            <w:r>
              <w:rPr>
                <w:rFonts w:ascii="Arial" w:cs="Arial" w:eastAsia="Arial" w:hAnsi="Arial"/>
                <w:sz w:val="10"/>
                <w:szCs w:val="10"/>
                <w:b w:val="1"/>
                <w:bCs w:val="1"/>
                <w:color w:val="auto"/>
                <w:w w:val="92"/>
              </w:rPr>
              <w:t>September 30, 2017</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92"/>
              </w:rPr>
              <w:t>June 30, 2017</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March 31, 2017</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86"/>
              </w:rPr>
              <w:t>December 31, 2016</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w w:val="92"/>
              </w:rPr>
              <w:t>September 30, 2016</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w w:val="89"/>
              </w:rPr>
              <w:t>June 30, 2016</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w w:val="95"/>
              </w:rPr>
              <w:t>March 31, 2016</w:t>
            </w:r>
          </w:p>
        </w:tc>
      </w:tr>
      <w:tr>
        <w:trPr>
          <w:trHeight w:val="96"/>
        </w:trPr>
        <w:tc>
          <w:tcPr>
            <w:tcW w:w="10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100" w:type="dxa"/>
            <w:vAlign w:val="bottom"/>
            <w:gridSpan w:val="4"/>
            <w:shd w:val="clear" w:color="auto" w:fill="CCEEFF"/>
          </w:tcPr>
          <w:p>
            <w:pPr>
              <w:jc w:val="center"/>
              <w:ind w:right="367"/>
              <w:spacing w:after="0" w:line="96" w:lineRule="exact"/>
              <w:rPr>
                <w:sz w:val="20"/>
                <w:szCs w:val="20"/>
                <w:color w:val="auto"/>
              </w:rPr>
            </w:pPr>
            <w:r>
              <w:rPr>
                <w:rFonts w:ascii="Arial" w:cs="Arial" w:eastAsia="Arial" w:hAnsi="Arial"/>
                <w:sz w:val="10"/>
                <w:szCs w:val="10"/>
                <w:b w:val="1"/>
                <w:bCs w:val="1"/>
                <w:color w:val="auto"/>
                <w:w w:val="85"/>
              </w:rPr>
              <w:t>(in thousands, except per share data)</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132"/>
        </w:trPr>
        <w:tc>
          <w:tcPr>
            <w:tcW w:w="10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center"/>
              <w:ind w:left="528"/>
              <w:spacing w:after="0"/>
              <w:rPr>
                <w:sz w:val="20"/>
                <w:szCs w:val="20"/>
                <w:color w:val="auto"/>
              </w:rPr>
            </w:pPr>
            <w:r>
              <w:rPr>
                <w:rFonts w:ascii="Arial" w:cs="Arial" w:eastAsia="Arial" w:hAnsi="Arial"/>
                <w:sz w:val="10"/>
                <w:szCs w:val="10"/>
                <w:b w:val="1"/>
                <w:bCs w:val="1"/>
                <w:color w:val="auto"/>
                <w:w w:val="90"/>
              </w:rPr>
              <w:t>(unaudited )</w:t>
            </w: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rPr>
              <w:t>Net revenues</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421,323</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385,267</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356,482</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310,341</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293,203</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278,589</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269,362</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238,720</w:t>
            </w:r>
          </w:p>
        </w:tc>
      </w:tr>
      <w:tr>
        <w:trPr>
          <w:trHeight w:val="22"/>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8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317,917</w:t>
            </w:r>
          </w:p>
        </w:tc>
        <w:tc>
          <w:tcPr>
            <w:tcW w:w="2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292,488</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270,917</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235,625</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220,249</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209,202</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205,216</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180,627</w:t>
            </w: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w w:val="88"/>
              </w:rPr>
              <w:t>Income from operations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109,606</w:t>
            </w:r>
          </w:p>
        </w:tc>
        <w:tc>
          <w:tcPr>
            <w:tcW w:w="260" w:type="dxa"/>
            <w:vAlign w:val="bottom"/>
          </w:tcPr>
          <w:p>
            <w:pPr>
              <w:spacing w:after="0"/>
              <w:rPr>
                <w:sz w:val="13"/>
                <w:szCs w:val="13"/>
                <w:color w:val="auto"/>
              </w:rPr>
            </w:pP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98,763</w:t>
            </w:r>
          </w:p>
        </w:tc>
        <w:tc>
          <w:tcPr>
            <w:tcW w:w="220" w:type="dxa"/>
            <w:vAlign w:val="bottom"/>
          </w:tcPr>
          <w:p>
            <w:pPr>
              <w:spacing w:after="0"/>
              <w:rPr>
                <w:sz w:val="13"/>
                <w:szCs w:val="13"/>
                <w:color w:val="auto"/>
              </w:rPr>
            </w:pP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83,569</w:t>
            </w:r>
          </w:p>
        </w:tc>
        <w:tc>
          <w:tcPr>
            <w:tcW w:w="220" w:type="dxa"/>
            <w:vAlign w:val="bottom"/>
          </w:tcPr>
          <w:p>
            <w:pPr>
              <w:spacing w:after="0"/>
              <w:rPr>
                <w:sz w:val="13"/>
                <w:szCs w:val="13"/>
                <w:color w:val="auto"/>
              </w:rPr>
            </w:pP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61,673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68,372</w:t>
            </w:r>
          </w:p>
        </w:tc>
        <w:tc>
          <w:tcPr>
            <w:tcW w:w="2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62,079</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65,136</w:t>
            </w:r>
          </w:p>
        </w:tc>
        <w:tc>
          <w:tcPr>
            <w:tcW w:w="220" w:type="dxa"/>
            <w:vAlign w:val="bottom"/>
          </w:tcPr>
          <w:p>
            <w:pPr>
              <w:spacing w:after="0"/>
              <w:rPr>
                <w:sz w:val="13"/>
                <w:szCs w:val="13"/>
                <w:color w:val="auto"/>
              </w:rPr>
            </w:pP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53,334</w:t>
            </w:r>
          </w:p>
        </w:tc>
      </w:tr>
      <w:tr>
        <w:trPr>
          <w:trHeight w:val="22"/>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10,264</w:t>
            </w:r>
          </w:p>
        </w:tc>
        <w:tc>
          <w:tcPr>
            <w:tcW w:w="2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82,555</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69,179</w:t>
            </w: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69,420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47,621</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51,367</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50,148</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40,546</w:t>
            </w:r>
          </w:p>
        </w:tc>
      </w:tr>
      <w:tr>
        <w:trPr>
          <w:trHeight w:val="149"/>
        </w:trPr>
        <w:tc>
          <w:tcPr>
            <w:tcW w:w="1060" w:type="dxa"/>
            <w:vAlign w:val="bottom"/>
          </w:tcPr>
          <w:p>
            <w:pPr>
              <w:ind w:left="20"/>
              <w:spacing w:after="0"/>
              <w:rPr>
                <w:sz w:val="20"/>
                <w:szCs w:val="20"/>
                <w:color w:val="auto"/>
              </w:rPr>
            </w:pPr>
            <w:r>
              <w:rPr>
                <w:rFonts w:ascii="Arial" w:cs="Arial" w:eastAsia="Arial" w:hAnsi="Arial"/>
                <w:sz w:val="11"/>
                <w:szCs w:val="11"/>
                <w:color w:val="auto"/>
                <w:w w:val="94"/>
              </w:rPr>
              <w:t>Net income per share: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1"/>
        </w:trPr>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Basic</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0.13</w:t>
            </w: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1.03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0.87</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0.60</w:t>
            </w:r>
          </w:p>
        </w:tc>
        <w:tc>
          <w:tcPr>
            <w:tcW w:w="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0.64</w:t>
            </w: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0.51</w:t>
            </w: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rPr>
              <w:t>Diluted</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0.13</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1.01</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0.85</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0.85</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0.59</w:t>
            </w:r>
          </w:p>
        </w:tc>
        <w:tc>
          <w:tcPr>
            <w:tcW w:w="2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0.63</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0.62</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0.50</w:t>
            </w:r>
          </w:p>
        </w:tc>
      </w:tr>
      <w:tr>
        <w:trPr>
          <w:trHeight w:val="22"/>
        </w:trPr>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8"/>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Shares used in computing net income per</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38"/>
        </w:trPr>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w:t>
            </w:r>
          </w:p>
        </w:tc>
        <w:tc>
          <w:tcPr>
            <w:tcW w:w="8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r>
      <w:tr>
        <w:trPr>
          <w:trHeight w:val="158"/>
        </w:trPr>
        <w:tc>
          <w:tcPr>
            <w:tcW w:w="1060" w:type="dxa"/>
            <w:vAlign w:val="bottom"/>
          </w:tcPr>
          <w:p>
            <w:pPr>
              <w:ind w:left="2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80,080</w:t>
            </w:r>
          </w:p>
        </w:tc>
        <w:tc>
          <w:tcPr>
            <w:tcW w:w="260" w:type="dxa"/>
            <w:vAlign w:val="bottom"/>
          </w:tcPr>
          <w:p>
            <w:pPr>
              <w:spacing w:after="0"/>
              <w:rPr>
                <w:sz w:val="13"/>
                <w:szCs w:val="13"/>
                <w:color w:val="auto"/>
              </w:rPr>
            </w:pPr>
          </w:p>
        </w:tc>
        <w:tc>
          <w:tcPr>
            <w:tcW w:w="1140" w:type="dxa"/>
            <w:vAlign w:val="bottom"/>
          </w:tcPr>
          <w:p>
            <w:pPr>
              <w:jc w:val="right"/>
              <w:ind w:right="87"/>
              <w:spacing w:after="0"/>
              <w:rPr>
                <w:sz w:val="20"/>
                <w:szCs w:val="20"/>
                <w:color w:val="auto"/>
              </w:rPr>
            </w:pPr>
            <w:r>
              <w:rPr>
                <w:rFonts w:ascii="Arial" w:cs="Arial" w:eastAsia="Arial" w:hAnsi="Arial"/>
                <w:sz w:val="11"/>
                <w:szCs w:val="11"/>
                <w:color w:val="auto"/>
              </w:rPr>
              <w:t>80,163</w:t>
            </w:r>
          </w:p>
        </w:tc>
        <w:tc>
          <w:tcPr>
            <w:tcW w:w="220" w:type="dxa"/>
            <w:vAlign w:val="bottom"/>
          </w:tcPr>
          <w:p>
            <w:pPr>
              <w:spacing w:after="0"/>
              <w:rPr>
                <w:sz w:val="13"/>
                <w:szCs w:val="13"/>
                <w:color w:val="auto"/>
              </w:rPr>
            </w:pPr>
          </w:p>
        </w:tc>
        <w:tc>
          <w:tcPr>
            <w:tcW w:w="820" w:type="dxa"/>
            <w:vAlign w:val="bottom"/>
          </w:tcPr>
          <w:p>
            <w:pPr>
              <w:jc w:val="right"/>
              <w:ind w:right="67"/>
              <w:spacing w:after="0"/>
              <w:rPr>
                <w:sz w:val="20"/>
                <w:szCs w:val="20"/>
                <w:color w:val="auto"/>
              </w:rPr>
            </w:pPr>
            <w:r>
              <w:rPr>
                <w:rFonts w:ascii="Arial" w:cs="Arial" w:eastAsia="Arial" w:hAnsi="Arial"/>
                <w:sz w:val="11"/>
                <w:szCs w:val="11"/>
                <w:color w:val="auto"/>
              </w:rPr>
              <w:t>80,188</w:t>
            </w:r>
          </w:p>
        </w:tc>
        <w:tc>
          <w:tcPr>
            <w:tcW w:w="220" w:type="dxa"/>
            <w:vAlign w:val="bottom"/>
          </w:tcPr>
          <w:p>
            <w:pPr>
              <w:spacing w:after="0"/>
              <w:rPr>
                <w:sz w:val="13"/>
                <w:szCs w:val="13"/>
                <w:color w:val="auto"/>
              </w:rPr>
            </w:pPr>
          </w:p>
        </w:tc>
        <w:tc>
          <w:tcPr>
            <w:tcW w:w="820" w:type="dxa"/>
            <w:vAlign w:val="bottom"/>
          </w:tcPr>
          <w:p>
            <w:pPr>
              <w:jc w:val="right"/>
              <w:ind w:right="68"/>
              <w:spacing w:after="0"/>
              <w:rPr>
                <w:sz w:val="20"/>
                <w:szCs w:val="20"/>
                <w:color w:val="auto"/>
              </w:rPr>
            </w:pPr>
            <w:r>
              <w:rPr>
                <w:rFonts w:ascii="Arial" w:cs="Arial" w:eastAsia="Arial" w:hAnsi="Arial"/>
                <w:sz w:val="11"/>
                <w:szCs w:val="11"/>
                <w:color w:val="auto"/>
              </w:rPr>
              <w:t>79,904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1"/>
                <w:szCs w:val="11"/>
                <w:color w:val="auto"/>
              </w:rPr>
              <w:t>79,667</w:t>
            </w:r>
          </w:p>
        </w:tc>
        <w:tc>
          <w:tcPr>
            <w:tcW w:w="260" w:type="dxa"/>
            <w:vAlign w:val="bottom"/>
          </w:tcPr>
          <w:p>
            <w:pPr>
              <w:spacing w:after="0"/>
              <w:rPr>
                <w:sz w:val="13"/>
                <w:szCs w:val="13"/>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auto"/>
              </w:rPr>
              <w:t>79,977</w:t>
            </w:r>
          </w:p>
        </w:tc>
        <w:tc>
          <w:tcPr>
            <w:tcW w:w="22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79,951</w:t>
            </w:r>
          </w:p>
        </w:tc>
        <w:tc>
          <w:tcPr>
            <w:tcW w:w="220" w:type="dxa"/>
            <w:vAlign w:val="bottom"/>
          </w:tcPr>
          <w:p>
            <w:pPr>
              <w:spacing w:after="0"/>
              <w:rPr>
                <w:sz w:val="13"/>
                <w:szCs w:val="13"/>
                <w:color w:val="auto"/>
              </w:rPr>
            </w:pPr>
          </w:p>
        </w:tc>
        <w:tc>
          <w:tcPr>
            <w:tcW w:w="900" w:type="dxa"/>
            <w:vAlign w:val="bottom"/>
          </w:tcPr>
          <w:p>
            <w:pPr>
              <w:jc w:val="right"/>
              <w:ind w:right="67"/>
              <w:spacing w:after="0"/>
              <w:rPr>
                <w:sz w:val="20"/>
                <w:szCs w:val="20"/>
                <w:color w:val="auto"/>
              </w:rPr>
            </w:pPr>
            <w:r>
              <w:rPr>
                <w:rFonts w:ascii="Arial" w:cs="Arial" w:eastAsia="Arial" w:hAnsi="Arial"/>
                <w:sz w:val="11"/>
                <w:szCs w:val="11"/>
                <w:color w:val="auto"/>
              </w:rPr>
              <w:t>79,831</w:t>
            </w:r>
          </w:p>
        </w:tc>
      </w:tr>
      <w:tr>
        <w:trPr>
          <w:trHeight w:val="22"/>
        </w:trPr>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8"/>
        </w:trPr>
        <w:tc>
          <w:tcPr>
            <w:tcW w:w="1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81,863</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81,789</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81,631</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81,534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81,248</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81,466</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81,281</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81,320</w:t>
            </w:r>
          </w:p>
        </w:tc>
      </w:tr>
      <w:tr>
        <w:trPr>
          <w:trHeight w:val="22"/>
        </w:trPr>
        <w:tc>
          <w:tcPr>
            <w:tcW w:w="10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451" w:right="199" w:bottom="1440" w:gutter="0" w:footer="0" w:header="0"/>
        </w:sectPr>
      </w:pPr>
    </w:p>
    <w:bookmarkStart w:id="53" w:name="page54"/>
    <w:bookmarkEnd w:id="53"/>
    <w:p>
      <w:pPr>
        <w:ind w:left="4520"/>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4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04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rPr>
              <w:t>Page</w:t>
            </w:r>
          </w:p>
        </w:tc>
      </w:tr>
      <w:tr>
        <w:trPr>
          <w:trHeight w:val="132"/>
        </w:trPr>
        <w:tc>
          <w:tcPr>
            <w:tcW w:w="5400" w:type="dxa"/>
            <w:vAlign w:val="bottom"/>
          </w:tcPr>
          <w:p>
            <w:pPr>
              <w:spacing w:after="0" w:line="132" w:lineRule="exact"/>
              <w:rPr>
                <w:sz w:val="20"/>
                <w:szCs w:val="20"/>
                <w:color w:val="auto"/>
              </w:rPr>
            </w:pPr>
            <w:r>
              <w:rPr>
                <w:rFonts w:ascii="Arial" w:cs="Arial" w:eastAsia="Arial" w:hAnsi="Arial"/>
                <w:sz w:val="12"/>
                <w:szCs w:val="12"/>
                <w:color w:val="auto"/>
              </w:rPr>
              <w:t>Report of Management on Internal Control over Financial Reporting</w:t>
            </w:r>
          </w:p>
        </w:tc>
        <w:tc>
          <w:tcPr>
            <w:tcW w:w="6040" w:type="dxa"/>
            <w:vAlign w:val="bottom"/>
            <w:gridSpan w:val="3"/>
          </w:tcPr>
          <w:p>
            <w:pPr>
              <w:jc w:val="right"/>
              <w:spacing w:after="0" w:line="132" w:lineRule="exact"/>
              <w:rPr>
                <w:rFonts w:ascii="Arial" w:cs="Arial" w:eastAsia="Arial" w:hAnsi="Arial"/>
                <w:sz w:val="12"/>
                <w:szCs w:val="12"/>
                <w:color w:val="0000EE"/>
              </w:rPr>
            </w:pPr>
            <w:hyperlink w:anchor="page55">
              <w:r>
                <w:rPr>
                  <w:rFonts w:ascii="Arial" w:cs="Arial" w:eastAsia="Arial" w:hAnsi="Arial"/>
                  <w:sz w:val="12"/>
                  <w:szCs w:val="12"/>
                  <w:color w:val="0000EE"/>
                </w:rPr>
                <w:t>55</w:t>
              </w:r>
            </w:hyperlink>
          </w:p>
        </w:tc>
        <w:tc>
          <w:tcPr>
            <w:tcW w:w="20" w:type="dxa"/>
            <w:vAlign w:val="bottom"/>
          </w:tcPr>
          <w:p>
            <w:pPr>
              <w:spacing w:after="0"/>
              <w:rPr>
                <w:sz w:val="11"/>
                <w:szCs w:val="11"/>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6040" w:type="dxa"/>
            <w:vAlign w:val="bottom"/>
            <w:gridSpan w:val="3"/>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56</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Consolidated Statements of Operations for the year ended December 31, 2017, 2016 and 2015</w:t>
            </w:r>
          </w:p>
        </w:tc>
        <w:tc>
          <w:tcPr>
            <w:tcW w:w="6040" w:type="dxa"/>
            <w:vAlign w:val="bottom"/>
            <w:gridSpan w:val="3"/>
          </w:tcPr>
          <w:p>
            <w:pPr>
              <w:jc w:val="right"/>
              <w:spacing w:after="0"/>
              <w:rPr>
                <w:rFonts w:ascii="Arial" w:cs="Arial" w:eastAsia="Arial" w:hAnsi="Arial"/>
                <w:sz w:val="12"/>
                <w:szCs w:val="12"/>
                <w:color w:val="0000EE"/>
              </w:rPr>
            </w:pPr>
            <w:hyperlink w:anchor="page58">
              <w:r>
                <w:rPr>
                  <w:rFonts w:ascii="Arial" w:cs="Arial" w:eastAsia="Arial" w:hAnsi="Arial"/>
                  <w:sz w:val="12"/>
                  <w:szCs w:val="12"/>
                  <w:color w:val="0000EE"/>
                </w:rPr>
                <w:t>58</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w w:val="93"/>
              </w:rPr>
              <w:t>Consolidated Statements of Comprehensive Income for the year ended December 31, 2017, 2016 and 2015</w:t>
            </w:r>
          </w:p>
        </w:tc>
        <w:tc>
          <w:tcPr>
            <w:tcW w:w="6040" w:type="dxa"/>
            <w:vAlign w:val="bottom"/>
            <w:gridSpan w:val="3"/>
          </w:tcPr>
          <w:p>
            <w:pPr>
              <w:jc w:val="right"/>
              <w:spacing w:after="0"/>
              <w:rPr>
                <w:rFonts w:ascii="Arial" w:cs="Arial" w:eastAsia="Arial" w:hAnsi="Arial"/>
                <w:sz w:val="12"/>
                <w:szCs w:val="12"/>
                <w:color w:val="0000EE"/>
              </w:rPr>
            </w:pPr>
            <w:hyperlink w:anchor="page59">
              <w:r>
                <w:rPr>
                  <w:rFonts w:ascii="Arial" w:cs="Arial" w:eastAsia="Arial" w:hAnsi="Arial"/>
                  <w:sz w:val="12"/>
                  <w:szCs w:val="12"/>
                  <w:color w:val="0000EE"/>
                </w:rPr>
                <w:t>59</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Consolidated Balance Sheets as of December 31, 2017 and 2016</w:t>
            </w:r>
          </w:p>
        </w:tc>
        <w:tc>
          <w:tcPr>
            <w:tcW w:w="6040" w:type="dxa"/>
            <w:vAlign w:val="bottom"/>
            <w:gridSpan w:val="3"/>
          </w:tcPr>
          <w:p>
            <w:pPr>
              <w:jc w:val="right"/>
              <w:spacing w:after="0"/>
              <w:rPr>
                <w:rFonts w:ascii="Arial" w:cs="Arial" w:eastAsia="Arial" w:hAnsi="Arial"/>
                <w:sz w:val="12"/>
                <w:szCs w:val="12"/>
                <w:color w:val="0000EE"/>
              </w:rPr>
            </w:pPr>
            <w:hyperlink w:anchor="page60">
              <w:r>
                <w:rPr>
                  <w:rFonts w:ascii="Arial" w:cs="Arial" w:eastAsia="Arial" w:hAnsi="Arial"/>
                  <w:sz w:val="12"/>
                  <w:szCs w:val="12"/>
                  <w:color w:val="0000EE"/>
                </w:rPr>
                <w:t>60</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w w:val="96"/>
              </w:rPr>
              <w:t>Consolidated Statements of Stockholders’ Equity for the year ended December 31, 2017, 2016 and 2015</w:t>
            </w:r>
          </w:p>
        </w:tc>
        <w:tc>
          <w:tcPr>
            <w:tcW w:w="6040" w:type="dxa"/>
            <w:vAlign w:val="bottom"/>
            <w:gridSpan w:val="3"/>
          </w:tcPr>
          <w:p>
            <w:pPr>
              <w:jc w:val="right"/>
              <w:spacing w:after="0"/>
              <w:rPr>
                <w:rFonts w:ascii="Arial" w:cs="Arial" w:eastAsia="Arial" w:hAnsi="Arial"/>
                <w:sz w:val="12"/>
                <w:szCs w:val="12"/>
                <w:color w:val="0000EE"/>
              </w:rPr>
            </w:pPr>
            <w:hyperlink w:anchor="page61">
              <w:r>
                <w:rPr>
                  <w:rFonts w:ascii="Arial" w:cs="Arial" w:eastAsia="Arial" w:hAnsi="Arial"/>
                  <w:sz w:val="12"/>
                  <w:szCs w:val="12"/>
                  <w:color w:val="0000EE"/>
                </w:rPr>
                <w:t>61</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Consolidated Statements of Cash Flows for the year ended December 31, 2017, 2016 and 2015</w:t>
            </w:r>
          </w:p>
        </w:tc>
        <w:tc>
          <w:tcPr>
            <w:tcW w:w="6040" w:type="dxa"/>
            <w:vAlign w:val="bottom"/>
            <w:gridSpan w:val="3"/>
          </w:tcPr>
          <w:p>
            <w:pPr>
              <w:jc w:val="right"/>
              <w:spacing w:after="0"/>
              <w:rPr>
                <w:rFonts w:ascii="Arial" w:cs="Arial" w:eastAsia="Arial" w:hAnsi="Arial"/>
                <w:sz w:val="12"/>
                <w:szCs w:val="12"/>
                <w:color w:val="0000EE"/>
              </w:rPr>
            </w:pPr>
            <w:hyperlink w:anchor="page62">
              <w:r>
                <w:rPr>
                  <w:rFonts w:ascii="Arial" w:cs="Arial" w:eastAsia="Arial" w:hAnsi="Arial"/>
                  <w:sz w:val="12"/>
                  <w:szCs w:val="12"/>
                  <w:color w:val="0000EE"/>
                </w:rPr>
                <w:t>62</w:t>
              </w:r>
            </w:hyperlink>
          </w:p>
        </w:tc>
        <w:tc>
          <w:tcPr>
            <w:tcW w:w="2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00" w:type="dxa"/>
            <w:vAlign w:val="bottom"/>
          </w:tcPr>
          <w:p>
            <w:pPr>
              <w:spacing w:after="0"/>
              <w:rPr>
                <w:sz w:val="20"/>
                <w:szCs w:val="20"/>
                <w:color w:val="auto"/>
              </w:rPr>
            </w:pPr>
            <w:r>
              <w:rPr>
                <w:rFonts w:ascii="Arial" w:cs="Arial" w:eastAsia="Arial" w:hAnsi="Arial"/>
                <w:sz w:val="12"/>
                <w:szCs w:val="12"/>
                <w:color w:val="auto"/>
              </w:rPr>
              <w:t>Notes to Consolidated Financial Statements</w:t>
            </w:r>
          </w:p>
        </w:tc>
        <w:tc>
          <w:tcPr>
            <w:tcW w:w="6040" w:type="dxa"/>
            <w:vAlign w:val="bottom"/>
            <w:gridSpan w:val="3"/>
          </w:tcPr>
          <w:p>
            <w:pPr>
              <w:jc w:val="right"/>
              <w:spacing w:after="0"/>
              <w:rPr>
                <w:rFonts w:ascii="Arial" w:cs="Arial" w:eastAsia="Arial" w:hAnsi="Arial"/>
                <w:sz w:val="12"/>
                <w:szCs w:val="12"/>
                <w:color w:val="0000EE"/>
              </w:rPr>
            </w:pPr>
            <w:hyperlink w:anchor="page63">
              <w:r>
                <w:rPr>
                  <w:rFonts w:ascii="Arial" w:cs="Arial" w:eastAsia="Arial" w:hAnsi="Arial"/>
                  <w:sz w:val="12"/>
                  <w:szCs w:val="12"/>
                  <w:color w:val="0000EE"/>
                </w:rPr>
                <w:t>63</w:t>
              </w:r>
            </w:hyperlink>
          </w:p>
        </w:tc>
        <w:tc>
          <w:tcPr>
            <w:tcW w:w="20" w:type="dxa"/>
            <w:vAlign w:val="bottom"/>
          </w:tcPr>
          <w:p>
            <w:pPr>
              <w:spacing w:after="0"/>
              <w:rPr>
                <w:sz w:val="13"/>
                <w:szCs w:val="13"/>
                <w:color w:val="auto"/>
              </w:rPr>
            </w:pPr>
          </w:p>
        </w:tc>
      </w:tr>
      <w:tr>
        <w:trPr>
          <w:trHeight w:val="331"/>
        </w:trPr>
        <w:tc>
          <w:tcPr>
            <w:tcW w:w="5400" w:type="dxa"/>
            <w:vAlign w:val="bottom"/>
          </w:tcPr>
          <w:p>
            <w:pPr>
              <w:spacing w:after="0"/>
              <w:rPr>
                <w:sz w:val="24"/>
                <w:szCs w:val="24"/>
                <w:color w:val="auto"/>
              </w:rPr>
            </w:pPr>
          </w:p>
        </w:tc>
        <w:tc>
          <w:tcPr>
            <w:tcW w:w="5020" w:type="dxa"/>
            <w:vAlign w:val="bottom"/>
          </w:tcPr>
          <w:p>
            <w:pPr>
              <w:jc w:val="right"/>
              <w:ind w:right="4580"/>
              <w:spacing w:after="0"/>
              <w:rPr>
                <w:sz w:val="20"/>
                <w:szCs w:val="20"/>
                <w:color w:val="auto"/>
              </w:rPr>
            </w:pPr>
            <w:r>
              <w:rPr>
                <w:rFonts w:ascii="Arial" w:cs="Arial" w:eastAsia="Arial" w:hAnsi="Arial"/>
                <w:sz w:val="12"/>
                <w:szCs w:val="12"/>
                <w:color w:val="auto"/>
              </w:rPr>
              <w:t>54</w:t>
            </w:r>
          </w:p>
        </w:tc>
        <w:tc>
          <w:tcPr>
            <w:tcW w:w="9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40" w:top="793" w:right="199" w:bottom="1440" w:gutter="0" w:footer="0" w:header="0"/>
        </w:sectPr>
      </w:pPr>
    </w:p>
    <w:bookmarkStart w:id="54" w:name="page55"/>
    <w:bookmarkEnd w:id="54"/>
    <w:p>
      <w:pPr>
        <w:jc w:val="center"/>
        <w:spacing w:after="0"/>
        <w:rPr>
          <w:sz w:val="20"/>
          <w:szCs w:val="20"/>
          <w:color w:val="auto"/>
        </w:rPr>
      </w:pPr>
      <w:r>
        <w:rPr>
          <w:rFonts w:ascii="Arial" w:cs="Arial" w:eastAsia="Arial" w:hAnsi="Arial"/>
          <w:sz w:val="12"/>
          <w:szCs w:val="12"/>
          <w:b w:val="1"/>
          <w:bCs w:val="1"/>
          <w:color w:val="auto"/>
        </w:rPr>
        <w:t>REPORT OF MANAGEMENT ON INTERNAL CONTROL OVER FINANCIAL REPORTING</w:t>
      </w:r>
    </w:p>
    <w:p>
      <w:pPr>
        <w:spacing w:after="0" w:line="15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Management of Align is responsible for establishing and maintaining adequate internal control over financial reporting as defined in Rules 13a-15(f) and 15d-15(f) under the Securities Exchange Act of 1934.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05"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Align;</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Align's assets that could have a material effect on the financial statements.</w:t>
      </w:r>
    </w:p>
    <w:p>
      <w:pPr>
        <w:spacing w:after="0" w:line="150"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 xml:space="preserve">Management assessed the effectiveness of our internal control over financial reporting as of December 31, 2017. In making this assessment, management used the criteria set forth in </w:t>
      </w:r>
      <w:r>
        <w:rPr>
          <w:rFonts w:ascii="Arial" w:cs="Arial" w:eastAsia="Arial" w:hAnsi="Arial"/>
          <w:sz w:val="12"/>
          <w:szCs w:val="12"/>
          <w:i w:val="1"/>
          <w:iCs w:val="1"/>
          <w:color w:val="auto"/>
        </w:rPr>
        <w:t>Internal Control-Integrated Framework (2013)</w:t>
      </w:r>
      <w:r>
        <w:rPr>
          <w:rFonts w:ascii="Arial" w:cs="Arial" w:eastAsia="Arial" w:hAnsi="Arial"/>
          <w:sz w:val="12"/>
          <w:szCs w:val="12"/>
          <w:color w:val="auto"/>
        </w:rPr>
        <w:t xml:space="preserve"> issued by the Committee of Sponsoring Organizations of the Treadway Commission (COSO).</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0"/>
          <w:szCs w:val="10"/>
          <w:color w:val="auto"/>
        </w:rPr>
        <w:t xml:space="preserve">Based on our assessment, management has concluded that, as of December 31, 2017, our internal control over financial reporting was effective based on criteria in </w:t>
      </w:r>
      <w:r>
        <w:rPr>
          <w:rFonts w:ascii="Arial" w:cs="Arial" w:eastAsia="Arial" w:hAnsi="Arial"/>
          <w:sz w:val="10"/>
          <w:szCs w:val="10"/>
          <w:i w:val="1"/>
          <w:iCs w:val="1"/>
          <w:color w:val="auto"/>
        </w:rPr>
        <w:t>Internal Control - Integrated Framework (2013) issued by the COSO</w:t>
      </w:r>
      <w:r>
        <w:rPr>
          <w:rFonts w:ascii="Arial" w:cs="Arial" w:eastAsia="Arial" w:hAnsi="Arial"/>
          <w:sz w:val="10"/>
          <w:szCs w:val="10"/>
          <w:color w:val="auto"/>
        </w:rPr>
        <w:t>.</w:t>
      </w:r>
    </w:p>
    <w:p>
      <w:pPr>
        <w:spacing w:after="0" w:line="173"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December 31, 2017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9500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0085" cy="57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Joseph M. Hogan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0"/>
          <w:szCs w:val="10"/>
          <w:b w:val="1"/>
          <w:bCs w:val="1"/>
          <w:i w:val="1"/>
          <w:iCs w:val="1"/>
          <w:color w:val="auto"/>
        </w:rPr>
        <w:t>President and Chief Executive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28, 2018</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9500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0085" cy="57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John F. Morici</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0"/>
          <w:szCs w:val="10"/>
          <w:b w:val="1"/>
          <w:bCs w:val="1"/>
          <w:i w:val="1"/>
          <w:iCs w:val="1"/>
          <w:color w:val="auto"/>
        </w:rPr>
        <w:t>Chief Financial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February 28,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433" w:right="199" w:bottom="1440" w:gutter="0" w:footer="0" w:header="0"/>
        </w:sectPr>
      </w:pPr>
    </w:p>
    <w:bookmarkStart w:id="55" w:name="page56"/>
    <w:bookmarkEnd w:id="55"/>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 Align Technology, Inc.</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 xml:space="preserve">We have audited the accompanying consolidated balance sheets of Align Technology, Inc. and its subsidiaries (the “Company”) as of December 31, 2017 and December 31, 2016, and the related consolidated statements of operations, comprehensive income, stockholders’ equity, and cash flows for each of the three years in the period ended December 31, 2017, including the related notes and financial statement schedule listed in the index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(2013) issued by the Committee of Sponsoring Organizations of the Treadway Commission (COSO).</w:t>
      </w:r>
    </w:p>
    <w:p>
      <w:pPr>
        <w:spacing w:after="0" w:line="125"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(2013) issued by the COSO.</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Change in Accounting Principle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discussed in Note 1 to the consolidated financial statements, the Company changed the manner in which it accounts for certain elements of its employee share-based payments in 2017.</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433" w:right="19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auto"/>
        </w:rPr>
        <w:t>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2018</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1997.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437" w:right="199" w:bottom="1440" w:gutter="0" w:footer="0" w:header="0"/>
        </w:sectPr>
      </w:pPr>
    </w:p>
    <w:bookmarkStart w:id="57" w:name="page58"/>
    <w:bookmarkEnd w:id="57"/>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6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Year Ended December 31,</w:t>
            </w:r>
          </w:p>
        </w:tc>
        <w:tc>
          <w:tcPr>
            <w:tcW w:w="5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73"/>
        </w:trPr>
        <w:tc>
          <w:tcPr>
            <w:tcW w:w="506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b w:val="1"/>
                <w:bCs w:val="1"/>
                <w:color w:val="auto"/>
              </w:rPr>
              <w:t>2017</w:t>
            </w: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0"/>
                <w:szCs w:val="10"/>
                <w:b w:val="1"/>
                <w:bCs w:val="1"/>
                <w:color w:val="auto"/>
              </w:rPr>
              <w:t>2015</w:t>
            </w:r>
          </w:p>
        </w:tc>
      </w:tr>
      <w:tr>
        <w:trPr>
          <w:trHeight w:val="160"/>
        </w:trPr>
        <w:tc>
          <w:tcPr>
            <w:tcW w:w="5060" w:type="dxa"/>
            <w:vAlign w:val="bottom"/>
          </w:tcPr>
          <w:p>
            <w:pPr>
              <w:ind w:left="20"/>
              <w:spacing w:after="0"/>
              <w:rPr>
                <w:sz w:val="20"/>
                <w:szCs w:val="20"/>
                <w:color w:val="auto"/>
              </w:rPr>
            </w:pPr>
            <w:r>
              <w:rPr>
                <w:rFonts w:ascii="Arial" w:cs="Arial" w:eastAsia="Arial" w:hAnsi="Arial"/>
                <w:sz w:val="12"/>
                <w:szCs w:val="12"/>
                <w:color w:val="auto"/>
              </w:rPr>
              <w:t>Net revenues</w:t>
            </w:r>
          </w:p>
        </w:tc>
        <w:tc>
          <w:tcPr>
            <w:tcW w:w="1300" w:type="dxa"/>
            <w:vAlign w:val="bottom"/>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1,473,413</w:t>
            </w:r>
          </w:p>
        </w:tc>
        <w:tc>
          <w:tcPr>
            <w:tcW w:w="12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1,079,874</w:t>
            </w:r>
          </w:p>
        </w:tc>
        <w:tc>
          <w:tcPr>
            <w:tcW w:w="10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845,486</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net revenues</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356,466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264,580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205,376</w:t>
            </w:r>
          </w:p>
        </w:tc>
      </w:tr>
      <w:tr>
        <w:trPr>
          <w:trHeight w:val="16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Gross profit</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1,116,947</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815,294</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640,110</w:t>
            </w:r>
          </w:p>
        </w:tc>
      </w:tr>
      <w:tr>
        <w:trPr>
          <w:trHeight w:val="15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1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r>
      <w:tr>
        <w:trPr>
          <w:trHeight w:val="171"/>
        </w:trPr>
        <w:tc>
          <w:tcPr>
            <w:tcW w:w="5060" w:type="dxa"/>
            <w:vAlign w:val="bottom"/>
          </w:tcPr>
          <w:p>
            <w:pPr>
              <w:ind w:left="240"/>
              <w:spacing w:after="0"/>
              <w:rPr>
                <w:sz w:val="20"/>
                <w:szCs w:val="20"/>
                <w:color w:val="auto"/>
              </w:rPr>
            </w:pPr>
            <w:r>
              <w:rPr>
                <w:rFonts w:ascii="Arial" w:cs="Arial" w:eastAsia="Arial" w:hAnsi="Arial"/>
                <w:sz w:val="12"/>
                <w:szCs w:val="12"/>
                <w:color w:val="auto"/>
              </w:rPr>
              <w:t>Selling, general and administrative</w:t>
            </w:r>
          </w:p>
        </w:tc>
        <w:tc>
          <w:tcPr>
            <w:tcW w:w="13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665,777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490,653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390,239</w:t>
            </w:r>
          </w:p>
        </w:tc>
      </w:tr>
      <w:tr>
        <w:trPr>
          <w:trHeight w:val="189"/>
        </w:trPr>
        <w:tc>
          <w:tcPr>
            <w:tcW w:w="5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97,559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75,720</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61,237</w:t>
            </w:r>
          </w:p>
        </w:tc>
      </w:tr>
      <w:tr>
        <w:trPr>
          <w:trHeight w:val="160"/>
        </w:trPr>
        <w:tc>
          <w:tcPr>
            <w:tcW w:w="50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operating expenses</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763,336</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566,373</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451,476</w:t>
            </w:r>
          </w:p>
        </w:tc>
      </w:tr>
      <w:tr>
        <w:trPr>
          <w:trHeight w:val="178"/>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353,611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248,921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188,634</w:t>
            </w:r>
          </w:p>
        </w:tc>
      </w:tr>
      <w:tr>
        <w:trPr>
          <w:trHeight w:val="171"/>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other income (expense), net</w:t>
            </w:r>
          </w:p>
        </w:tc>
        <w:tc>
          <w:tcPr>
            <w:tcW w:w="1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11,188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(6,355)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(2,533)</w:t>
            </w:r>
          </w:p>
        </w:tc>
      </w:tr>
      <w:tr>
        <w:trPr>
          <w:trHeight w:val="178"/>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before provision for income taxes and equity in losses of investee</w:t>
            </w: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364,799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242,566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186,101</w:t>
            </w: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130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130,162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ind w:right="61"/>
              <w:spacing w:after="0"/>
              <w:rPr>
                <w:sz w:val="20"/>
                <w:szCs w:val="20"/>
                <w:color w:val="auto"/>
              </w:rPr>
            </w:pPr>
            <w:r>
              <w:rPr>
                <w:rFonts w:ascii="Arial" w:cs="Arial" w:eastAsia="Arial" w:hAnsi="Arial"/>
                <w:sz w:val="12"/>
                <w:szCs w:val="12"/>
                <w:color w:val="auto"/>
              </w:rPr>
              <w:t>51,200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right"/>
              <w:ind w:right="61"/>
              <w:spacing w:after="0"/>
              <w:rPr>
                <w:sz w:val="20"/>
                <w:szCs w:val="20"/>
                <w:color w:val="auto"/>
              </w:rPr>
            </w:pPr>
            <w:r>
              <w:rPr>
                <w:rFonts w:ascii="Arial" w:cs="Arial" w:eastAsia="Arial" w:hAnsi="Arial"/>
                <w:sz w:val="12"/>
                <w:szCs w:val="12"/>
                <w:color w:val="auto"/>
              </w:rPr>
              <w:t>42,081</w:t>
            </w: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 losses of investee, net of tax</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3,219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1,684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1300" w:type="dxa"/>
            <w:vAlign w:val="bottom"/>
            <w:tcBorders>
              <w:bottom w:val="single" w:sz="8" w:color="auto"/>
            </w:tcBorders>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231,418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189,682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144,020</w:t>
            </w:r>
          </w:p>
        </w:tc>
      </w:tr>
      <w:tr>
        <w:trPr>
          <w:trHeight w:val="198"/>
        </w:trPr>
        <w:tc>
          <w:tcPr>
            <w:tcW w:w="5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71"/>
        </w:trPr>
        <w:tc>
          <w:tcPr>
            <w:tcW w:w="5060" w:type="dxa"/>
            <w:vAlign w:val="bottom"/>
          </w:tcPr>
          <w:p>
            <w:pPr>
              <w:ind w:left="20"/>
              <w:spacing w:after="0"/>
              <w:rPr>
                <w:sz w:val="20"/>
                <w:szCs w:val="20"/>
                <w:color w:val="auto"/>
              </w:rPr>
            </w:pPr>
            <w:r>
              <w:rPr>
                <w:rFonts w:ascii="Arial" w:cs="Arial" w:eastAsia="Arial" w:hAnsi="Arial"/>
                <w:sz w:val="12"/>
                <w:szCs w:val="12"/>
                <w:color w:val="auto"/>
              </w:rPr>
              <w:t>Net income per share:</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Basic</w:t>
            </w:r>
          </w:p>
        </w:tc>
        <w:tc>
          <w:tcPr>
            <w:tcW w:w="130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2.38</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1.80</w:t>
            </w:r>
          </w:p>
        </w:tc>
      </w:tr>
      <w:tr>
        <w:trPr>
          <w:trHeight w:val="183"/>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Diluted</w:t>
            </w:r>
          </w:p>
        </w:tc>
        <w:tc>
          <w:tcPr>
            <w:tcW w:w="1300" w:type="dxa"/>
            <w:vAlign w:val="bottom"/>
            <w:tcBorders>
              <w:bottom w:val="single" w:sz="8" w:color="auto"/>
            </w:tcBorders>
          </w:tcPr>
          <w:p>
            <w:pPr>
              <w:jc w:val="right"/>
              <w:ind w:right="116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1.77</w:t>
            </w:r>
          </w:p>
        </w:tc>
      </w:tr>
      <w:tr>
        <w:trPr>
          <w:trHeight w:val="16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Shares used in computing net income per share:</w:t>
            </w:r>
          </w:p>
        </w:tc>
        <w:tc>
          <w:tcPr>
            <w:tcW w:w="13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r>
      <w:tr>
        <w:trPr>
          <w:trHeight w:val="187"/>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Basic</w:t>
            </w:r>
          </w:p>
        </w:tc>
        <w:tc>
          <w:tcPr>
            <w:tcW w:w="1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80,085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79,856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79,998</w:t>
            </w:r>
          </w:p>
        </w:tc>
      </w:tr>
      <w:tr>
        <w:trPr>
          <w:trHeight w:val="187"/>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Diluted</w:t>
            </w:r>
          </w:p>
        </w:tc>
        <w:tc>
          <w:tcPr>
            <w:tcW w:w="1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81,832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81,484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81,521</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433" w:right="199" w:bottom="1440" w:gutter="0" w:footer="0" w:header="0"/>
        </w:sectPr>
      </w:pPr>
    </w:p>
    <w:bookmarkStart w:id="58" w:name="page59"/>
    <w:bookmarkEnd w:id="58"/>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60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b w:val="1"/>
                <w:bCs w:val="1"/>
                <w:color w:val="auto"/>
              </w:rPr>
              <w:t>2017</w:t>
            </w: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0"/>
                <w:szCs w:val="10"/>
                <w:b w:val="1"/>
                <w:bCs w:val="1"/>
                <w:color w:val="auto"/>
              </w:rPr>
              <w:t>2016</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0"/>
                <w:szCs w:val="10"/>
                <w:b w:val="1"/>
                <w:bCs w:val="1"/>
                <w:color w:val="auto"/>
              </w:rPr>
              <w:t>2015</w:t>
            </w:r>
          </w:p>
        </w:tc>
      </w:tr>
      <w:tr>
        <w:trPr>
          <w:trHeight w:val="16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tcBorders>
              <w:bottom w:val="single" w:sz="8" w:color="auto"/>
            </w:tcBorders>
          </w:tcPr>
          <w:p>
            <w:pPr>
              <w:jc w:val="right"/>
              <w:ind w:right="964"/>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231,418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189,682</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144,020</w:t>
            </w:r>
          </w:p>
        </w:tc>
      </w:tr>
      <w:tr>
        <w:trPr>
          <w:trHeight w:val="178"/>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change in foreign currency translation adjustment</w:t>
            </w: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(670)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(154)</w:t>
            </w:r>
          </w:p>
        </w:tc>
      </w:tr>
      <w:tr>
        <w:trPr>
          <w:trHeight w:val="171"/>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Change in unrealized gains (losses) on investments, net of tax</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712</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(686)</w:t>
            </w:r>
          </w:p>
        </w:tc>
      </w:tr>
      <w:tr>
        <w:trPr>
          <w:trHeight w:val="178"/>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w:t>
            </w:r>
          </w:p>
        </w:tc>
        <w:tc>
          <w:tcPr>
            <w:tcW w:w="1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1,509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(840)</w:t>
            </w:r>
          </w:p>
        </w:tc>
      </w:tr>
      <w:tr>
        <w:trPr>
          <w:trHeight w:val="176"/>
        </w:trPr>
        <w:tc>
          <w:tcPr>
            <w:tcW w:w="608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1100" w:type="dxa"/>
            <w:vAlign w:val="bottom"/>
            <w:tcBorders>
              <w:bottom w:val="single" w:sz="8" w:color="auto"/>
            </w:tcBorders>
          </w:tcPr>
          <w:p>
            <w:pPr>
              <w:jc w:val="right"/>
              <w:ind w:right="964"/>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232,927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189,724</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143,180</w:t>
            </w:r>
          </w:p>
        </w:tc>
      </w:tr>
    </w:tbl>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433" w:right="19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9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December 31,</w:t>
            </w:r>
          </w:p>
        </w:tc>
        <w:tc>
          <w:tcPr>
            <w:tcW w:w="1220" w:type="dxa"/>
            <w:vAlign w:val="bottom"/>
            <w:tcBorders>
              <w:bottom w:val="single" w:sz="8" w:color="auto"/>
            </w:tcBorders>
          </w:tcPr>
          <w:p>
            <w:pPr>
              <w:spacing w:after="0"/>
              <w:rPr>
                <w:sz w:val="11"/>
                <w:szCs w:val="11"/>
                <w:color w:val="auto"/>
              </w:rPr>
            </w:pPr>
          </w:p>
        </w:tc>
      </w:tr>
      <w:tr>
        <w:trPr>
          <w:trHeight w:val="173"/>
        </w:trPr>
        <w:tc>
          <w:tcPr>
            <w:tcW w:w="79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b w:val="1"/>
                <w:bCs w:val="1"/>
                <w:color w:val="auto"/>
              </w:rPr>
              <w:t>2017</w:t>
            </w: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0"/>
                <w:szCs w:val="10"/>
                <w:b w:val="1"/>
                <w:bCs w:val="1"/>
                <w:color w:val="auto"/>
              </w:rPr>
              <w:t>2016</w:t>
            </w:r>
          </w:p>
        </w:tc>
      </w:tr>
      <w:tr>
        <w:trPr>
          <w:trHeight w:val="142"/>
        </w:trPr>
        <w:tc>
          <w:tcPr>
            <w:tcW w:w="792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7"/>
        </w:trPr>
        <w:tc>
          <w:tcPr>
            <w:tcW w:w="7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0"/>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Cash and cash equivalents</w:t>
            </w:r>
          </w:p>
        </w:tc>
        <w:tc>
          <w:tcPr>
            <w:tcW w:w="1040" w:type="dxa"/>
            <w:vAlign w:val="bottom"/>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449,511</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389,275</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Marketable securities, short-term</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272,031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250,981</w:t>
            </w: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Accounts receivable, net of allowance for doubtful accounts and returns of $7,178 and $4,310, respectively</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322,825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247,415</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31,688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27,131</w:t>
            </w:r>
          </w:p>
        </w:tc>
      </w:tr>
      <w:tr>
        <w:trPr>
          <w:trHeight w:val="171"/>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80,948</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38,176</w:t>
            </w:r>
          </w:p>
        </w:tc>
      </w:tr>
      <w:tr>
        <w:trPr>
          <w:trHeight w:val="178"/>
        </w:trPr>
        <w:tc>
          <w:tcPr>
            <w:tcW w:w="79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Total current assets</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1,157,003</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952,978</w:t>
            </w:r>
          </w:p>
        </w:tc>
      </w:tr>
      <w:tr>
        <w:trPr>
          <w:trHeight w:val="160"/>
        </w:trPr>
        <w:tc>
          <w:tcPr>
            <w:tcW w:w="7920" w:type="dxa"/>
            <w:vAlign w:val="bottom"/>
          </w:tcPr>
          <w:p>
            <w:pPr>
              <w:ind w:left="20"/>
              <w:spacing w:after="0"/>
              <w:rPr>
                <w:sz w:val="20"/>
                <w:szCs w:val="20"/>
                <w:color w:val="auto"/>
              </w:rPr>
            </w:pPr>
            <w:r>
              <w:rPr>
                <w:rFonts w:ascii="Arial" w:cs="Arial" w:eastAsia="Arial" w:hAnsi="Arial"/>
                <w:sz w:val="12"/>
                <w:szCs w:val="12"/>
                <w:color w:val="auto"/>
              </w:rPr>
              <w:t>Marketable securities, long-term</w:t>
            </w:r>
          </w:p>
        </w:tc>
        <w:tc>
          <w:tcPr>
            <w:tcW w:w="1040" w:type="dxa"/>
            <w:vAlign w:val="bottom"/>
          </w:tcPr>
          <w:p>
            <w:pPr>
              <w:spacing w:after="0"/>
              <w:rPr>
                <w:sz w:val="13"/>
                <w:szCs w:val="13"/>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39,948</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59,783</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348,793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175,167</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Equity method investments</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54,606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45,061</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and intangible assets, net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89,068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81,998</w:t>
            </w: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50,059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67,844</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10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38,379</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13,320</w:t>
            </w:r>
          </w:p>
        </w:tc>
      </w:tr>
      <w:tr>
        <w:trPr>
          <w:trHeight w:val="176"/>
        </w:trPr>
        <w:tc>
          <w:tcPr>
            <w:tcW w:w="792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Total assets</w:t>
            </w:r>
          </w:p>
        </w:tc>
        <w:tc>
          <w:tcPr>
            <w:tcW w:w="1040" w:type="dxa"/>
            <w:vAlign w:val="bottom"/>
            <w:tcBorders>
              <w:bottom w:val="single" w:sz="8" w:color="auto"/>
            </w:tcBorders>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1,777,856</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1,396,151</w:t>
            </w:r>
          </w:p>
        </w:tc>
      </w:tr>
      <w:tr>
        <w:trPr>
          <w:trHeight w:val="189"/>
        </w:trPr>
        <w:tc>
          <w:tcPr>
            <w:tcW w:w="7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040" w:type="dxa"/>
            <w:vAlign w:val="bottom"/>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36,776</w:t>
            </w:r>
          </w:p>
        </w:tc>
        <w:tc>
          <w:tcPr>
            <w:tcW w:w="12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28,596</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liabilities</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194,198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134,332</w:t>
            </w:r>
          </w:p>
        </w:tc>
      </w:tr>
      <w:tr>
        <w:trPr>
          <w:trHeight w:val="171"/>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Deferred revenues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266,842</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191,407</w:t>
            </w:r>
          </w:p>
        </w:tc>
      </w:tr>
      <w:tr>
        <w:trPr>
          <w:trHeight w:val="178"/>
        </w:trPr>
        <w:tc>
          <w:tcPr>
            <w:tcW w:w="79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Total current liabilities</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497,816</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354,335</w:t>
            </w:r>
          </w:p>
        </w:tc>
      </w:tr>
      <w:tr>
        <w:trPr>
          <w:trHeight w:val="160"/>
        </w:trPr>
        <w:tc>
          <w:tcPr>
            <w:tcW w:w="7920" w:type="dxa"/>
            <w:vAlign w:val="bottom"/>
          </w:tcPr>
          <w:p>
            <w:pPr>
              <w:ind w:left="20"/>
              <w:spacing w:after="0"/>
              <w:rPr>
                <w:sz w:val="20"/>
                <w:szCs w:val="20"/>
                <w:color w:val="auto"/>
              </w:rPr>
            </w:pPr>
            <w:r>
              <w:rPr>
                <w:rFonts w:ascii="Arial" w:cs="Arial" w:eastAsia="Arial" w:hAnsi="Arial"/>
                <w:sz w:val="12"/>
                <w:szCs w:val="12"/>
                <w:color w:val="auto"/>
              </w:rPr>
              <w:t>Income tax payable</w:t>
            </w:r>
          </w:p>
        </w:tc>
        <w:tc>
          <w:tcPr>
            <w:tcW w:w="1040" w:type="dxa"/>
            <w:vAlign w:val="bottom"/>
          </w:tcPr>
          <w:p>
            <w:pPr>
              <w:spacing w:after="0"/>
              <w:rPr>
                <w:sz w:val="13"/>
                <w:szCs w:val="13"/>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114,091</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45,133</w:t>
            </w:r>
          </w:p>
        </w:tc>
      </w:tr>
      <w:tr>
        <w:trPr>
          <w:trHeight w:val="189"/>
        </w:trPr>
        <w:tc>
          <w:tcPr>
            <w:tcW w:w="7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15,579</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1,294</w:t>
            </w:r>
          </w:p>
        </w:tc>
      </w:tr>
      <w:tr>
        <w:trPr>
          <w:trHeight w:val="160"/>
        </w:trPr>
        <w:tc>
          <w:tcPr>
            <w:tcW w:w="792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Total liabilities</w:t>
            </w:r>
          </w:p>
        </w:tc>
        <w:tc>
          <w:tcPr>
            <w:tcW w:w="1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627,486</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400,762</w:t>
            </w:r>
          </w:p>
        </w:tc>
      </w:tr>
      <w:tr>
        <w:trPr>
          <w:trHeight w:val="15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Commitments and contingencies (</w:t>
            </w:r>
            <w:r>
              <w:rPr>
                <w:rFonts w:ascii="Arial" w:cs="Arial" w:eastAsia="Arial" w:hAnsi="Arial"/>
                <w:sz w:val="12"/>
                <w:szCs w:val="12"/>
                <w:i w:val="1"/>
                <w:iCs w:val="1"/>
                <w:color w:val="auto"/>
              </w:rPr>
              <w:t>Notes 8 and 9</w:t>
            </w: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71"/>
        </w:trPr>
        <w:tc>
          <w:tcPr>
            <w:tcW w:w="792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Preferred stock, $0.0001 par value (5,000 shares authorized; none issued)</w:t>
            </w:r>
          </w:p>
        </w:tc>
        <w:tc>
          <w:tcPr>
            <w:tcW w:w="10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Common stock, $0.0001 par value (200,000 shares authorized; 80,040 and 79,553 issued and outstanding, respectively)</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886,435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864,871</w:t>
            </w:r>
          </w:p>
        </w:tc>
      </w:tr>
      <w:tr>
        <w:trPr>
          <w:trHeight w:val="171"/>
        </w:trPr>
        <w:tc>
          <w:tcPr>
            <w:tcW w:w="7920" w:type="dxa"/>
            <w:vAlign w:val="bottom"/>
          </w:tcPr>
          <w:p>
            <w:pPr>
              <w:ind w:left="240"/>
              <w:spacing w:after="0"/>
              <w:rPr>
                <w:sz w:val="20"/>
                <w:szCs w:val="20"/>
                <w:color w:val="auto"/>
              </w:rPr>
            </w:pPr>
            <w:r>
              <w:rPr>
                <w:rFonts w:ascii="Arial" w:cs="Arial" w:eastAsia="Arial" w:hAnsi="Arial"/>
                <w:sz w:val="12"/>
                <w:szCs w:val="12"/>
                <w:color w:val="auto"/>
              </w:rPr>
              <w:t>Accumulated other comprehensive income (loss), net</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571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(938)</w:t>
            </w:r>
          </w:p>
        </w:tc>
      </w:tr>
      <w:tr>
        <w:trPr>
          <w:trHeight w:val="189"/>
        </w:trPr>
        <w:tc>
          <w:tcPr>
            <w:tcW w:w="7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Retained earnings</w:t>
            </w:r>
          </w:p>
        </w:tc>
        <w:tc>
          <w:tcPr>
            <w:tcW w:w="10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263,356</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131,448</w:t>
            </w:r>
          </w:p>
        </w:tc>
      </w:tr>
      <w:tr>
        <w:trPr>
          <w:trHeight w:val="160"/>
        </w:trPr>
        <w:tc>
          <w:tcPr>
            <w:tcW w:w="792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Total stockholders’ equity</w:t>
            </w:r>
          </w:p>
        </w:tc>
        <w:tc>
          <w:tcPr>
            <w:tcW w:w="1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1,150,370</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995,389</w:t>
            </w:r>
          </w:p>
        </w:tc>
      </w:tr>
      <w:tr>
        <w:trPr>
          <w:trHeight w:val="185"/>
        </w:trPr>
        <w:tc>
          <w:tcPr>
            <w:tcW w:w="7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Total liabilities and stockholders’ equity</w:t>
            </w:r>
          </w:p>
        </w:tc>
        <w:tc>
          <w:tcPr>
            <w:tcW w:w="104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1,777,856</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1,396,151</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433" w:right="199" w:bottom="1440" w:gutter="0" w:footer="0" w:header="0"/>
        </w:sectPr>
      </w:pPr>
    </w:p>
    <w:bookmarkStart w:id="60" w:name="page61"/>
    <w:bookmarkEnd w:id="60"/>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394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Accumulated</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34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9"/>
              </w:rPr>
              <w:t>Additional</w:t>
            </w:r>
          </w:p>
        </w:tc>
        <w:tc>
          <w:tcPr>
            <w:tcW w:w="200" w:type="dxa"/>
            <w:vAlign w:val="bottom"/>
          </w:tcPr>
          <w:p>
            <w:pPr>
              <w:spacing w:after="0"/>
              <w:rPr>
                <w:sz w:val="9"/>
                <w:szCs w:val="9"/>
                <w:color w:val="auto"/>
              </w:rPr>
            </w:pPr>
          </w:p>
        </w:tc>
        <w:tc>
          <w:tcPr>
            <w:tcW w:w="130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Paid-In</w:t>
            </w:r>
          </w:p>
        </w:tc>
        <w:tc>
          <w:tcPr>
            <w:tcW w:w="200" w:type="dxa"/>
            <w:vAlign w:val="bottom"/>
          </w:tcPr>
          <w:p>
            <w:pPr>
              <w:spacing w:after="0"/>
              <w:rPr>
                <w:sz w:val="6"/>
                <w:szCs w:val="6"/>
                <w:color w:val="auto"/>
              </w:rPr>
            </w:pPr>
          </w:p>
        </w:tc>
        <w:tc>
          <w:tcPr>
            <w:tcW w:w="130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Comprehensive</w:t>
            </w:r>
          </w:p>
        </w:tc>
        <w:tc>
          <w:tcPr>
            <w:tcW w:w="140" w:type="dxa"/>
            <w:vAlign w:val="bottom"/>
          </w:tcPr>
          <w:p>
            <w:pPr>
              <w:spacing w:after="0"/>
              <w:rPr>
                <w:sz w:val="6"/>
                <w:szCs w:val="6"/>
                <w:color w:val="auto"/>
              </w:rPr>
            </w:pPr>
          </w:p>
        </w:tc>
        <w:tc>
          <w:tcPr>
            <w:tcW w:w="110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Retained Earnings</w:t>
            </w: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1040" w:type="dxa"/>
            <w:vAlign w:val="bottom"/>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Capital</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Income (Loss), Net</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(Deficit)</w:t>
            </w:r>
          </w:p>
        </w:tc>
        <w:tc>
          <w:tcPr>
            <w:tcW w:w="300" w:type="dxa"/>
            <w:vAlign w:val="bottom"/>
          </w:tcPr>
          <w:p>
            <w:pPr>
              <w:spacing w:after="0"/>
              <w:rPr>
                <w:sz w:val="11"/>
                <w:szCs w:val="11"/>
                <w:color w:val="auto"/>
              </w:rPr>
            </w:pPr>
          </w:p>
        </w:tc>
        <w:tc>
          <w:tcPr>
            <w:tcW w:w="940" w:type="dxa"/>
            <w:vAlign w:val="bottom"/>
          </w:tcPr>
          <w:p>
            <w:pPr>
              <w:jc w:val="right"/>
              <w:ind w:right="4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7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at December 31, 2014</w:t>
            </w:r>
          </w:p>
        </w:tc>
        <w:tc>
          <w:tcPr>
            <w:tcW w:w="9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80,205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783,410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(140)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(30,507)</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752,771</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144,020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144,020</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unrealized gains (losses) from investments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162"/>
        </w:trPr>
        <w:tc>
          <w:tcPr>
            <w:tcW w:w="4340" w:type="dxa"/>
            <w:vAlign w:val="bottom"/>
          </w:tcPr>
          <w:p>
            <w:pPr>
              <w:ind w:left="20"/>
              <w:spacing w:after="0"/>
              <w:rPr>
                <w:sz w:val="20"/>
                <w:szCs w:val="20"/>
                <w:color w:val="auto"/>
              </w:rPr>
            </w:pPr>
            <w:r>
              <w:rPr>
                <w:rFonts w:ascii="Arial" w:cs="Arial" w:eastAsia="Arial" w:hAnsi="Arial"/>
                <w:sz w:val="12"/>
                <w:szCs w:val="12"/>
                <w:color w:val="auto"/>
              </w:rPr>
              <w:t>Net change in foreign currency translation adjustment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22"/>
              <w:spacing w:after="0"/>
              <w:rPr>
                <w:sz w:val="20"/>
                <w:szCs w:val="20"/>
                <w:color w:val="auto"/>
              </w:rPr>
            </w:pPr>
            <w:r>
              <w:rPr>
                <w:rFonts w:ascii="Arial" w:cs="Arial" w:eastAsia="Arial" w:hAnsi="Arial"/>
                <w:sz w:val="12"/>
                <w:szCs w:val="12"/>
                <w:color w:val="auto"/>
              </w:rPr>
              <w:t>(154)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relating to employee equity compensation plans</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11,325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11,325</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Tax withholdings related to net share settlements of restricted stock units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(20,716)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(20,716)</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repurchased and retired</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(1,696)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(15,669)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(86,122)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(101,791)</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tax benefits from stock-based awards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10,224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10,224</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52,943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52,943</w:t>
            </w:r>
          </w:p>
        </w:tc>
        <w:tc>
          <w:tcPr>
            <w:tcW w:w="0" w:type="dxa"/>
            <w:vAlign w:val="bottom"/>
          </w:tcPr>
          <w:p>
            <w:pPr>
              <w:spacing w:after="0"/>
              <w:rPr>
                <w:sz w:val="1"/>
                <w:szCs w:val="1"/>
                <w:color w:val="auto"/>
              </w:rPr>
            </w:pPr>
          </w:p>
        </w:tc>
      </w:tr>
      <w:tr>
        <w:trPr>
          <w:trHeight w:val="160"/>
        </w:trPr>
        <w:tc>
          <w:tcPr>
            <w:tcW w:w="4340" w:type="dxa"/>
            <w:vAlign w:val="bottom"/>
          </w:tcPr>
          <w:p>
            <w:pPr>
              <w:ind w:left="20"/>
              <w:spacing w:after="0"/>
              <w:rPr>
                <w:sz w:val="20"/>
                <w:szCs w:val="20"/>
                <w:color w:val="auto"/>
              </w:rPr>
            </w:pPr>
            <w:r>
              <w:rPr>
                <w:rFonts w:ascii="Arial" w:cs="Arial" w:eastAsia="Arial" w:hAnsi="Arial"/>
                <w:sz w:val="12"/>
                <w:szCs w:val="12"/>
                <w:color w:val="auto"/>
              </w:rPr>
              <w:t>Balances at December 31, 2015</w:t>
            </w:r>
          </w:p>
        </w:tc>
        <w:tc>
          <w:tcPr>
            <w:tcW w:w="9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79,500</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821,507</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(980)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27,391</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847,926</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189,682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189,682</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change in unrealized gains (losses) from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712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712</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foreign currency translation adjustment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(670)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Issuance of common stock relating to employee equity compensation plans</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1,163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13,778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13,778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withholdings related to net share settlements of restricted stock units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(29,857)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(29,857)</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Common stock repurchased and retired</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(1,110)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(10,593)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(85,625)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(96,218)</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tax benefits from stock-based awards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15,888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15,888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54,148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54,148</w:t>
            </w:r>
          </w:p>
        </w:tc>
        <w:tc>
          <w:tcPr>
            <w:tcW w:w="0" w:type="dxa"/>
            <w:vAlign w:val="bottom"/>
          </w:tcPr>
          <w:p>
            <w:pPr>
              <w:spacing w:after="0"/>
              <w:rPr>
                <w:sz w:val="1"/>
                <w:szCs w:val="1"/>
                <w:color w:val="auto"/>
              </w:rPr>
            </w:pPr>
          </w:p>
        </w:tc>
      </w:tr>
      <w:tr>
        <w:trPr>
          <w:trHeight w:val="178"/>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at December 31, 2016</w:t>
            </w:r>
          </w:p>
        </w:tc>
        <w:tc>
          <w:tcPr>
            <w:tcW w:w="9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79,553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864,871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(938)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131,448</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995,389</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Cumulative effect adjustment from adoption of ASU 2016-16</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(1,300)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231,418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231,418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Net change in unrealized gains (losses) from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ind w:right="22"/>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change in foreign currency translation adjustment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1,741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1,741</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Issuance of common stock relating to employee equity compensation plans</w:t>
            </w: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1,073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14,461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14,461</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withholdings related to net share settlements of restricted stock units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(46,168)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(46,168)</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Arial" w:cs="Arial" w:eastAsia="Arial" w:hAnsi="Arial"/>
                <w:sz w:val="12"/>
                <w:szCs w:val="12"/>
                <w:color w:val="auto"/>
              </w:rPr>
              <w:t>Common stock repurchased and retired</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(586)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2"/>
                <w:szCs w:val="12"/>
                <w:color w:val="auto"/>
              </w:rPr>
              <w:t>(5,583)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(98,210)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(103,793)</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58,854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58,854</w:t>
            </w:r>
          </w:p>
        </w:tc>
        <w:tc>
          <w:tcPr>
            <w:tcW w:w="0" w:type="dxa"/>
            <w:vAlign w:val="bottom"/>
          </w:tcPr>
          <w:p>
            <w:pPr>
              <w:spacing w:after="0"/>
              <w:rPr>
                <w:sz w:val="1"/>
                <w:szCs w:val="1"/>
                <w:color w:val="auto"/>
              </w:rPr>
            </w:pPr>
          </w:p>
        </w:tc>
      </w:tr>
      <w:tr>
        <w:trPr>
          <w:trHeight w:val="185"/>
        </w:trPr>
        <w:tc>
          <w:tcPr>
            <w:tcW w:w="4340" w:type="dxa"/>
            <w:vAlign w:val="bottom"/>
          </w:tcPr>
          <w:p>
            <w:pPr>
              <w:ind w:left="20"/>
              <w:spacing w:after="0"/>
              <w:rPr>
                <w:sz w:val="20"/>
                <w:szCs w:val="20"/>
                <w:color w:val="auto"/>
              </w:rPr>
            </w:pPr>
            <w:r>
              <w:rPr>
                <w:rFonts w:ascii="Arial" w:cs="Arial" w:eastAsia="Arial" w:hAnsi="Arial"/>
                <w:sz w:val="12"/>
                <w:szCs w:val="12"/>
                <w:color w:val="auto"/>
              </w:rPr>
              <w:t>Balances at December 31, 2017</w:t>
            </w:r>
          </w:p>
        </w:tc>
        <w:tc>
          <w:tcPr>
            <w:tcW w:w="9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80,040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886,435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571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263,356</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1,150,370</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40"/>
          </w:cols>
          <w:pgMar w:left="220" w:top="433" w:right="239" w:bottom="1440" w:gutter="0" w:footer="0" w:header="0"/>
        </w:sectPr>
      </w:pPr>
    </w:p>
    <w:bookmarkStart w:id="61" w:name="page62"/>
    <w:bookmarkEnd w:id="61"/>
    <w:p>
      <w:pPr>
        <w:ind w:left="4360"/>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7"/>
              </w:rPr>
              <w:t>Year Ended December 31,</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73"/>
        </w:trPr>
        <w:tc>
          <w:tcPr>
            <w:tcW w:w="78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0"/>
                <w:szCs w:val="10"/>
                <w:b w:val="1"/>
                <w:bCs w:val="1"/>
                <w:color w:val="auto"/>
              </w:rPr>
              <w:t>2015</w:t>
            </w:r>
          </w:p>
        </w:tc>
      </w:tr>
      <w:tr>
        <w:trPr>
          <w:trHeight w:val="142"/>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231,418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189,682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144,020</w:t>
            </w:r>
          </w:p>
        </w:tc>
      </w:tr>
      <w:tr>
        <w:trPr>
          <w:trHeight w:val="171"/>
        </w:trPr>
        <w:tc>
          <w:tcPr>
            <w:tcW w:w="7820" w:type="dxa"/>
            <w:vAlign w:val="bottom"/>
          </w:tcPr>
          <w:p>
            <w:pPr>
              <w:ind w:left="24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Deferred taxes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17,572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(16,401)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(11,424)</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37,739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24,002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18,004</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Stock-based compensation</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58,854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54,148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52,943</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Net tax benefits from stock-based awards</w:t>
            </w: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15,888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10,224</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Excess tax benefit from share-based payment arrangements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(16,773)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(10,396)</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Equity in losses of investee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3,219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1,684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non-cash operating activities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13,799</w:t>
            </w:r>
          </w:p>
        </w:tc>
      </w:tr>
      <w:tr>
        <w:trPr>
          <w:trHeight w:val="171"/>
        </w:trPr>
        <w:tc>
          <w:tcPr>
            <w:tcW w:w="7820" w:type="dxa"/>
            <w:vAlign w:val="bottom"/>
          </w:tcPr>
          <w:p>
            <w:pPr>
              <w:ind w:left="240"/>
              <w:spacing w:after="0"/>
              <w:rPr>
                <w:sz w:val="20"/>
                <w:szCs w:val="20"/>
                <w:color w:val="auto"/>
              </w:rPr>
            </w:pPr>
            <w:r>
              <w:rPr>
                <w:rFonts w:ascii="Arial" w:cs="Arial" w:eastAsia="Arial" w:hAnsi="Arial"/>
                <w:sz w:val="12"/>
                <w:szCs w:val="12"/>
                <w:color w:val="auto"/>
              </w:rPr>
              <w:t>Changes in assets and liabilities, net of effects of acquisitions: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Accounts receivable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(90,990)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(94,444)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(40,775)</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Inventories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(5,481)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(7,663)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(3,563)</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Prepaid expenses and other assets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(8,669)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(9,390)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(3,726)</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Accounts payable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8,175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(3,395)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7,575</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Accrued and other long-term liabilities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30,007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12,532</w:t>
            </w:r>
          </w:p>
        </w:tc>
      </w:tr>
      <w:tr>
        <w:trPr>
          <w:trHeight w:val="171"/>
        </w:trPr>
        <w:tc>
          <w:tcPr>
            <w:tcW w:w="7820" w:type="dxa"/>
            <w:vAlign w:val="bottom"/>
          </w:tcPr>
          <w:p>
            <w:pPr>
              <w:ind w:left="460"/>
              <w:spacing w:after="0"/>
              <w:rPr>
                <w:sz w:val="20"/>
                <w:szCs w:val="20"/>
                <w:color w:val="auto"/>
              </w:rPr>
            </w:pPr>
            <w:r>
              <w:rPr>
                <w:rFonts w:ascii="Arial" w:cs="Arial" w:eastAsia="Arial" w:hAnsi="Arial"/>
                <w:sz w:val="12"/>
                <w:szCs w:val="12"/>
                <w:color w:val="auto"/>
              </w:rPr>
              <w:t>Long-term income tax payable</w:t>
            </w: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68,958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7,622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6,930</w:t>
            </w:r>
          </w:p>
        </w:tc>
      </w:tr>
      <w:tr>
        <w:trPr>
          <w:trHeight w:val="189"/>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Deferred revenues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79,662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60,656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41,854</w:t>
            </w:r>
          </w:p>
        </w:tc>
      </w:tr>
      <w:tr>
        <w:trPr>
          <w:trHeight w:val="160"/>
        </w:trPr>
        <w:tc>
          <w:tcPr>
            <w:tcW w:w="782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Net cash provided by operating activities</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438,539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247,654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237,997</w:t>
            </w:r>
          </w:p>
        </w:tc>
      </w:tr>
      <w:tr>
        <w:trPr>
          <w:trHeight w:val="15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71"/>
        </w:trPr>
        <w:tc>
          <w:tcPr>
            <w:tcW w:w="7820" w:type="dxa"/>
            <w:vAlign w:val="bottom"/>
          </w:tcPr>
          <w:p>
            <w:pPr>
              <w:ind w:left="260"/>
              <w:spacing w:after="0"/>
              <w:rPr>
                <w:sz w:val="20"/>
                <w:szCs w:val="20"/>
                <w:color w:val="auto"/>
              </w:rPr>
            </w:pPr>
            <w:r>
              <w:rPr>
                <w:rFonts w:ascii="Arial" w:cs="Arial" w:eastAsia="Arial" w:hAnsi="Arial"/>
                <w:sz w:val="12"/>
                <w:szCs w:val="12"/>
                <w:color w:val="auto"/>
              </w:rPr>
              <w:t>Acquisition, net of cash acquired</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(8,953)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Purchase of property, plant and equipment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(195,695)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(70,576)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(53,451)</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Purchase of marketable securities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(390,244)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(405,612)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(447,092)</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maturities of marketable securities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349,240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387,873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304,125</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Purchase of equity method investments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(12,764)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(46,745)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sales of marketable securities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39,536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216,119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30,011</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Loan advances to equity investee</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Loan repayment from equity investee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Other investing activities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(8,211)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w:t>
            </w:r>
          </w:p>
        </w:tc>
      </w:tr>
      <w:tr>
        <w:trPr>
          <w:trHeight w:val="178"/>
        </w:trPr>
        <w:tc>
          <w:tcPr>
            <w:tcW w:w="78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Net cash provided by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(248,313)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72,848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(166,361)</w:t>
            </w:r>
          </w:p>
        </w:tc>
      </w:tr>
      <w:tr>
        <w:trPr>
          <w:trHeight w:val="142"/>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issuance of common stock</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11,325</w:t>
            </w:r>
          </w:p>
        </w:tc>
      </w:tr>
      <w:tr>
        <w:trPr>
          <w:trHeight w:val="171"/>
        </w:trPr>
        <w:tc>
          <w:tcPr>
            <w:tcW w:w="7820" w:type="dxa"/>
            <w:vAlign w:val="bottom"/>
          </w:tcPr>
          <w:p>
            <w:pPr>
              <w:ind w:left="280"/>
              <w:spacing w:after="0"/>
              <w:rPr>
                <w:sz w:val="20"/>
                <w:szCs w:val="20"/>
                <w:color w:val="auto"/>
              </w:rPr>
            </w:pPr>
            <w:r>
              <w:rPr>
                <w:rFonts w:ascii="Arial" w:cs="Arial" w:eastAsia="Arial" w:hAnsi="Arial"/>
                <w:sz w:val="12"/>
                <w:szCs w:val="12"/>
                <w:color w:val="auto"/>
              </w:rPr>
              <w:t>Common stock repurchases</w:t>
            </w: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(103,793)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(96,218)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(101,791)</w:t>
            </w:r>
          </w:p>
        </w:tc>
      </w:tr>
      <w:tr>
        <w:trPr>
          <w:trHeight w:val="189"/>
        </w:trPr>
        <w:tc>
          <w:tcPr>
            <w:tcW w:w="78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Excess tax benefit from share-based payment arrangements</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10,396</w:t>
            </w:r>
          </w:p>
        </w:tc>
      </w:tr>
      <w:tr>
        <w:trPr>
          <w:trHeight w:val="171"/>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Employees’ taxes paid upon the vesting of restricted stock units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(46,168)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(29,857)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(20,716)</w:t>
            </w:r>
          </w:p>
        </w:tc>
      </w:tr>
      <w:tr>
        <w:trPr>
          <w:trHeight w:val="178"/>
        </w:trPr>
        <w:tc>
          <w:tcPr>
            <w:tcW w:w="78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Net cash used in financing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(135,500)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(95,524)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(100,786)</w:t>
            </w:r>
          </w:p>
        </w:tc>
      </w:tr>
      <w:tr>
        <w:trPr>
          <w:trHeight w:val="160"/>
        </w:trPr>
        <w:tc>
          <w:tcPr>
            <w:tcW w:w="782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5,510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(3,417)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(3,007)</w:t>
            </w:r>
          </w:p>
        </w:tc>
      </w:tr>
      <w:tr>
        <w:trPr>
          <w:trHeight w:val="178"/>
        </w:trPr>
        <w:tc>
          <w:tcPr>
            <w:tcW w:w="78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Net increase (decrease) in cash and cash equivalents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60,236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221,561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(32,157)</w:t>
            </w:r>
          </w:p>
        </w:tc>
      </w:tr>
      <w:tr>
        <w:trPr>
          <w:trHeight w:val="171"/>
        </w:trPr>
        <w:tc>
          <w:tcPr>
            <w:tcW w:w="782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Cash and cash equivalents, beginning of year</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389,275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167,714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199,871</w:t>
            </w:r>
          </w:p>
        </w:tc>
      </w:tr>
      <w:tr>
        <w:trPr>
          <w:trHeight w:val="185"/>
        </w:trPr>
        <w:tc>
          <w:tcPr>
            <w:tcW w:w="7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Cash and cash equivalents, end of year</w:t>
            </w: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449,511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389,275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167,714</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 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433" w:right="199" w:bottom="1440" w:gutter="0" w:footer="0" w:header="0"/>
        </w:sectPr>
      </w:pPr>
    </w:p>
    <w:bookmarkStart w:id="62" w:name="page63"/>
    <w:bookmarkEnd w:id="62"/>
    <w:p>
      <w:pPr>
        <w:jc w:val="center"/>
        <w:spacing w:after="0"/>
        <w:rPr>
          <w:sz w:val="20"/>
          <w:szCs w:val="20"/>
          <w:color w:val="auto"/>
        </w:rPr>
      </w:pPr>
      <w:r>
        <w:rPr>
          <w:rFonts w:ascii="Arial" w:cs="Arial" w:eastAsia="Arial" w:hAnsi="Arial"/>
          <w:sz w:val="12"/>
          <w:szCs w:val="12"/>
          <w:b w:val="1"/>
          <w:bCs w:val="1"/>
          <w:color w:val="auto"/>
        </w:rPr>
        <w:t>ALIGN TECHNOLOGY, INC. AND SUBSIDIARIES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Summary of Significant Accounting Policies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Business Description</w:t>
      </w:r>
    </w:p>
    <w:p>
      <w:pPr>
        <w:spacing w:after="0" w:line="150"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Align Technology, Inc. (“We”, “Our”, or “Align”) was incorporated in April 1997 in Delaware. Align is a global medical device company engaged in the design, manufacture and marketing of Invisalign® clear aligners and iTero® intraoral scanners and services for orthodontics and restorative and aesthetic dentistry. Align’s products are intended primarily for the treatment of malocclusion or the misalignment of teeth and are designed to help dental professionals achieve the clinical outcomes that they expect. We are headquartered in San Jose, California with offices worldwide. Our European headquarters is located in Amsterdam, the Netherlands and our Asia Pacific headquarters is located in Singapore. We have two operating segments: (1) Clear Aligner, known as the Invisalign System, and (2) Scanners and Services ("Scanner"), known as the iTero intraoral scanner and OrthoCAD services.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Basis of Presentation and Preparation</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consolidated financial statements include the accounts of Align and our wholly-owned subsidiaries after elimination of intercompany transactions and balances.</w:t>
      </w:r>
    </w:p>
    <w:p>
      <w:pPr>
        <w:spacing w:after="0" w:line="150"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In connection with the preparation of the consolidated financial statements, we evaluated events subsequent to the balance sheet date through the financial statement issuance date and determined that all material transactions have been recorded and disclosed properly.</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jc w:val="both"/>
        <w:ind w:firstLine="270"/>
        <w:spacing w:after="0" w:line="327" w:lineRule="auto"/>
        <w:rPr>
          <w:sz w:val="20"/>
          <w:szCs w:val="20"/>
          <w:color w:val="auto"/>
        </w:rPr>
      </w:pPr>
      <w:r>
        <w:rPr>
          <w:rFonts w:ascii="Arial" w:cs="Arial" w:eastAsia="Arial" w:hAnsi="Arial"/>
          <w:sz w:val="10"/>
          <w:szCs w:val="10"/>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equity method investments,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measure our cash equivalents, marketable securities, Israeli fund and certain notes receivable at fair value.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(unadjusted) prices in active markets for identical assets or liabilities.</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or liabilities in active markets; quoted prices for identical or similar assets or liabilities in markets that are not active;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inputs that are observable or can be corroborated by observable market data for substantially the full term of the asset or liability.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Inputs that are generally unobservable and typically reflect management’s estimate of assumptions that market participants would use in pricing the asset or liability.</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consider currency on hand, demand deposits, time deposits, and all highly liquid investments with an original or remaining maturity of three months or less at the date of purchase to be cash and cash equivalents. Cash and cash equivalents are held in various financial institutions in the U.S. and internationally.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433" w:right="199" w:bottom="1440" w:gutter="0" w:footer="0" w:header="0"/>
        </w:sectPr>
      </w:pPr>
    </w:p>
    <w:bookmarkStart w:id="63" w:name="page64"/>
    <w:bookmarkEnd w:id="63"/>
    <w:p>
      <w:pPr>
        <w:ind w:left="140"/>
        <w:spacing w:after="0"/>
        <w:rPr>
          <w:sz w:val="20"/>
          <w:szCs w:val="20"/>
          <w:color w:val="auto"/>
        </w:rPr>
      </w:pPr>
      <w:r>
        <w:rPr>
          <w:rFonts w:ascii="Arial" w:cs="Arial" w:eastAsia="Arial" w:hAnsi="Arial"/>
          <w:sz w:val="12"/>
          <w:szCs w:val="12"/>
          <w:b w:val="1"/>
          <w:bCs w:val="1"/>
          <w:i w:val="1"/>
          <w:iCs w:val="1"/>
          <w:color w:val="auto"/>
        </w:rPr>
        <w:t>Restricted Cash</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Our restricted cash balance as of December 31, 2017 is not material. Our restricted cash balance as of December 31, 2016 was $3.7 million, of which $3.3 million was classified as a long-term asset and $0.4 million as a current asset.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restricted cash primarily consists of funds reserved for legal requirements.</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Marketable Securities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We invest primarily in money market funds, commercial paper, corporate bonds, U.S. government agency bonds, asset-backed securities, municipal securities, U.S. government treasury bonds and certificates of deposits.</w:t>
      </w:r>
    </w:p>
    <w:p>
      <w:pPr>
        <w:spacing w:after="0" w:line="162"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(loss), net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interest and other income (expense), net as incurred. We periodically evaluate these investments for other-than-temporary impairment.</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Variable Interest Entities</w:t>
      </w:r>
    </w:p>
    <w:p>
      <w:pPr>
        <w:spacing w:after="0" w:line="96"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We evaluate whether an entity in which we have made an investment is considered a variable interest entity (“VIE”). If we determine we are the primary beneficiary of a VIE, we would consolidate the VIE into our financial statements. In determining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a VIE require significant assumptions and judgments. We have concluded that we are not the primary beneficiary of our VIE investments; therefore, we do not consolidate their results into our consolidated financials.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Investments in Privately Held Companies</w:t>
      </w:r>
    </w:p>
    <w:p>
      <w:pPr>
        <w:spacing w:after="0" w:line="96"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Investments in privately held companies in which we can exercise significant influence but do not own a majority equity interest or otherwise control, are accounted for under the equity method of accounting. Equity method investments are reported on our balance sheet as a single amount, and we record our share of their operating results within equity in losses of investee, net of tax, in our Consolidated Statement of Operations.</w:t>
      </w:r>
    </w:p>
    <w:p>
      <w:pPr>
        <w:spacing w:after="0" w:line="9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Equity method investments are evaluated for impairment as events or circumstances indicate that there is an other-than-temporary loss in value. The decrease in value is recognized in the period the impairment occurs and recorded in interest and other income (expense), net in the Consolidated Statement of Operations.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We may enter into foreign currency forward contracts to minimize the short-term impact of foreign currency exchange rate fluctuations associated with certain assets and liabilities.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The net gain or loss from the settlement of these foreign currency forward contracts is recorded in interest and other income (expense), net in the Consolidated Statement of Operations.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0"/>
          </w:cols>
          <w:pgMar w:left="220" w:top="437" w:right="199" w:bottom="1440" w:gutter="0" w:footer="0" w:header="0"/>
        </w:sectPr>
      </w:pPr>
    </w:p>
    <w:bookmarkStart w:id="64" w:name="page65"/>
    <w:bookmarkEnd w:id="64"/>
    <w:p>
      <w:pPr>
        <w:ind w:left="140"/>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5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For our international subsidiaries, we analyze on an annual basis or more often if necessary, if a significant change in facts and circumstances indicate that the functional currency has changed. For international subsidiaries where the local currency is the functional currency, adjustments from translating financial statements from the local currency to the U.S. dollar reporting currency are recorded as a separate component of accumulated other comprehensive income (loss), net in the stockholders’ equity section of the Consolidated Balance Sheet. This foreign currency translation adjustment reflects the translation of the balance sheet at period end exchange rates, and the income statement at an average exchange rate in effect during the period. The foreign currency revaluation that are derived from monetary assets and liabilities stated in a currency other than functional currency are included in interest and other income (expense), net. For the year ended December 31, 2017, 2016 and 2015, we had foreign currency net gains (losses) of $9.0 million, $(8.0) million and $(4.0) million, respectively.</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Certain Risks and Uncertainties</w:t>
      </w:r>
    </w:p>
    <w:p>
      <w:pPr>
        <w:spacing w:after="0" w:line="150"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Our operating results depend to a significant extent on our ability to market and develop our products. The life cycles of our products are difficult to estimate due, in part, to the effect of future product enhancements and competition. Our inability to successfully develop and market our products as a result of competition or other factors would have a material adverse effect on our business, financial condition and results of operations.</w:t>
      </w:r>
    </w:p>
    <w:p>
      <w:pPr>
        <w:spacing w:after="0" w:line="56"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Our cash and investments are held primarily by three financial institutions. Financial instruments which potentially expose us to concentrations of credit risk consist primarily of cash equivalents and marketable securities. We invest excess cash primarily in money market funds, commercial paper, corporate bonds, U.S. government agency bonds, municipal securities, U.S. government treasury bonds, certificates of deposits and asset-backed securities. If the carrying value of our investments exceeds the fair value, and the decline in fair value is deemed to be other-than-temporary, we will be required to write down the value of our investments, which could adversely affect our results of operations and financial condition. Moreover, the performance of certain securities in our investment portfolio correlates with the credit condition of the U.S. economy.</w:t>
      </w:r>
    </w:p>
    <w:p>
      <w:pPr>
        <w:spacing w:after="0" w:line="10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provide credit to customers in the normal course of business. Collateral is not required for accounts receivable, but ongoing evaluations of customers’ credit worthiness are performed. We maintain reserves for potential credit losses and such losses have been within management’s expectations. No individual customer accounted for 10% or more of our accounts receivable at December 31, 2017 or 2016, or net revenues for the year ended December 31, 2017, 2016 or 2015.</w:t>
      </w:r>
    </w:p>
    <w:p>
      <w:pPr>
        <w:spacing w:after="0" w:line="12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In the U.S., the Food and Drug Administration (“FDA”) regulates the design, manufacture, distribution, pre-clinical and clinical study, clearance and approval of medical devices. Products developed by us may require approvals or clearances from the FDA or other international regulatory agencies prior to commercialized sales. There can be no assurance that our products will receive any of the required approvals or clearances. If we were denied approval or clearance or such approval was delayed, it may have a material adverse impact on us.</w:t>
      </w:r>
    </w:p>
    <w:p>
      <w:pPr>
        <w:spacing w:after="0" w:line="123"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We have manufacturing facilities located outside the U.S. In Juarez, Mexico, we manufacture our clear aligners, distribute and repair our scanners and perform our CAD/CAM services. In Or Yehuda, Israel, we produce our handheld intraoral scanner wand and perform the final assembly of our iTero scanner. Our digital treatment plans using a sophisticated, internally developed computer-modeling program are located in Costa Rica, China and Germany. Our reliance on international operations exposes us to related risks and uncertainties, including difficulties in staffing and managing international operations such as hiring and retaining qualified personnel; controlling production volume and quality of manufacture; political, social and economic instability, particularly as a result of increased levels of violence in Juarez, Mexico and Or Yehuda, Israel;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our international manufacturing operations, as well as our operating results, may be harmed.</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437" w:right="199" w:bottom="1440" w:gutter="0" w:footer="0" w:header="0"/>
        </w:sectPr>
      </w:pPr>
    </w:p>
    <w:bookmarkStart w:id="65" w:name="page66"/>
    <w:bookmarkEnd w:id="65"/>
    <w:p>
      <w:pPr>
        <w:ind w:left="14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Inventories are valued at the lower of cost or market, with cost computed using either standard cost, which approximates actual cost, or average cost on a first-in-first-out basis. Excess and obsolete inventories are determined primarily based on future demand forecasts, and write-downs of excess and obsolete inventories are recorded as a component of cost of net revenues.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Property, Plant and Equipment</w:t>
      </w:r>
    </w:p>
    <w:p>
      <w:pPr>
        <w:spacing w:after="0" w:line="15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Property, plant and equipment are stated at historical cost less accumulated depreciation and amortization. Depreciation and amortization are computed using the straight-line method over the estimated useful lives of the assets. Construction in progress ("CIP") is related to the construction or development of property (including land) and equipment that have not yet been placed in service for their intended use. Upon sale or retirement, the asset’s cost and related accumulated depreciation are removed from the balance sheet and any related gains or losses are reflected in operating expenses. Maintenance and repairs are expensed as incurred. </w:t>
      </w:r>
      <w:r>
        <w:rPr>
          <w:rFonts w:ascii="Arial" w:cs="Arial" w:eastAsia="Arial" w:hAnsi="Arial"/>
          <w:sz w:val="12"/>
          <w:szCs w:val="12"/>
          <w:i w:val="1"/>
          <w:iCs w:val="1"/>
          <w:color w:val="auto"/>
        </w:rPr>
        <w:t>Refer to Note 3 "Balance Sheet Components" of the Notes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of Consolidated Financial Statements </w:t>
      </w:r>
      <w:r>
        <w:rPr>
          <w:rFonts w:ascii="Arial" w:cs="Arial" w:eastAsia="Arial" w:hAnsi="Arial"/>
          <w:sz w:val="12"/>
          <w:szCs w:val="12"/>
          <w:color w:val="auto"/>
        </w:rPr>
        <w:t>for details on estimated useful lives</w:t>
      </w:r>
      <w:r>
        <w:rPr>
          <w:rFonts w:ascii="Arial" w:cs="Arial" w:eastAsia="Arial" w:hAnsi="Arial"/>
          <w:sz w:val="12"/>
          <w:szCs w:val="12"/>
          <w:i w:val="1"/>
          <w:iCs w:val="1"/>
          <w:color w:val="auto"/>
        </w:rPr>
        <w:t>.</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Goodwill and Finite-Lived Acquired Intangible Assets</w:t>
      </w:r>
    </w:p>
    <w:p>
      <w:pPr>
        <w:spacing w:after="0" w:line="20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Goodwill represents the excess of the purchase price paid over the fair value of tangible and identifiable intangible net assets acquired in business combinations and is allocated to the respective reporting units based on relative synergies generated. For the year ended December 31, 2017 and 2016, all goodwill is attributed to our Clear Aligner reporting unit.</w:t>
      </w:r>
    </w:p>
    <w:p>
      <w:pPr>
        <w:spacing w:after="0" w:line="7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Our intangible assets primarily consist of intangible assets acquired as part of our acquisition of Cadent Holdings, Inc. on April 11, 2011. These assets are amortized using the straight-line method over their estimated useful lives ranging from one to fifteen years, reflecting the period in which the economic benefits of the assets are expected to be realized.</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Impairment of Goodwill and Long-Lived Assets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We evaluate goodwill for impairment at least annually on November 30th or more frequently if indicators are present, an event occurs or changes in circumstances suggest an impairment may exist and that it would more likely than not reduce the fair value of a reporting unit below its carrying amount. The allocation of goodwill to the respective reporting units is based on relative synergies generated as a result of an acquisition.</w:t>
      </w:r>
    </w:p>
    <w:p>
      <w:pPr>
        <w:spacing w:after="0" w:line="92"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29"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 xml:space="preserve">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w:t>
      </w:r>
      <w:r>
        <w:rPr>
          <w:rFonts w:ascii="Arial" w:cs="Arial" w:eastAsia="Arial" w:hAnsi="Arial"/>
          <w:sz w:val="11"/>
          <w:szCs w:val="11"/>
          <w:i w:val="1"/>
          <w:iCs w:val="1"/>
          <w:color w:val="auto"/>
        </w:rPr>
        <w:t>Note 2 "Marketable Securities and Fair Value Measurements" of the Notes of Consolidated Financial</w:t>
      </w:r>
      <w:r>
        <w:rPr>
          <w:rFonts w:ascii="Arial" w:cs="Arial" w:eastAsia="Arial" w:hAnsi="Arial"/>
          <w:sz w:val="11"/>
          <w:szCs w:val="11"/>
          <w:color w:val="auto"/>
        </w:rPr>
        <w:t xml:space="preserve"> </w:t>
      </w:r>
      <w:r>
        <w:rPr>
          <w:rFonts w:ascii="Arial" w:cs="Arial" w:eastAsia="Arial" w:hAnsi="Arial"/>
          <w:sz w:val="11"/>
          <w:szCs w:val="11"/>
          <w:i w:val="1"/>
          <w:iCs w:val="1"/>
          <w:color w:val="auto"/>
        </w:rPr>
        <w:t>Statements</w:t>
      </w:r>
      <w:r>
        <w:rPr>
          <w:rFonts w:ascii="Arial" w:cs="Arial" w:eastAsia="Arial" w:hAnsi="Arial"/>
          <w:sz w:val="11"/>
          <w:szCs w:val="11"/>
          <w:color w:val="auto"/>
        </w:rPr>
        <w:t>. If the carrying amount of the reporting unit is in excess of its fair value, step two requires the comparison of the implied fair value of the reporting unit’s goodwill against the carrying amount of the reporting unit’s</w:t>
      </w:r>
      <w:r>
        <w:rPr>
          <w:rFonts w:ascii="Arial" w:cs="Arial" w:eastAsia="Arial" w:hAnsi="Arial"/>
          <w:sz w:val="11"/>
          <w:szCs w:val="11"/>
          <w:i w:val="1"/>
          <w:iCs w:val="1"/>
          <w:color w:val="auto"/>
        </w:rPr>
        <w:t xml:space="preserve"> </w:t>
      </w:r>
      <w:r>
        <w:rPr>
          <w:rFonts w:ascii="Arial" w:cs="Arial" w:eastAsia="Arial" w:hAnsi="Arial"/>
          <w:sz w:val="11"/>
          <w:szCs w:val="11"/>
          <w:color w:val="auto"/>
        </w:rPr>
        <w:t>goodwill. Any excess of the carrying value of the reporting unit’s goodwill over the implied fair value of the reporting unit’s goodwill is recorded as an impairment loss in the Consolidated Statements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437" w:right="199" w:bottom="1440" w:gutter="0" w:footer="0" w:header="0"/>
        </w:sectPr>
      </w:pPr>
    </w:p>
    <w:bookmarkStart w:id="66" w:name="page67"/>
    <w:bookmarkEnd w:id="66"/>
    <w:p>
      <w:pPr>
        <w:ind w:left="280"/>
        <w:spacing w:after="0"/>
        <w:rPr>
          <w:sz w:val="20"/>
          <w:szCs w:val="20"/>
          <w:color w:val="auto"/>
        </w:rPr>
      </w:pPr>
      <w:r>
        <w:rPr>
          <w:rFonts w:ascii="Arial" w:cs="Arial" w:eastAsia="Arial" w:hAnsi="Arial"/>
          <w:sz w:val="12"/>
          <w:szCs w:val="12"/>
          <w:i w:val="1"/>
          <w:iCs w:val="1"/>
          <w:color w:val="auto"/>
        </w:rPr>
        <w:t>Finite-Lived Intangible Assets and Long-Lived Assets</w:t>
      </w:r>
    </w:p>
    <w:p>
      <w:pPr>
        <w:spacing w:after="0" w:line="150" w:lineRule="exact"/>
        <w:rPr>
          <w:sz w:val="20"/>
          <w:szCs w:val="20"/>
          <w:color w:val="auto"/>
        </w:rPr>
      </w:pPr>
    </w:p>
    <w:p>
      <w:pPr>
        <w:jc w:val="both"/>
        <w:ind w:firstLine="288"/>
        <w:spacing w:after="0" w:line="281" w:lineRule="auto"/>
        <w:rPr>
          <w:sz w:val="20"/>
          <w:szCs w:val="20"/>
          <w:color w:val="auto"/>
        </w:rPr>
      </w:pPr>
      <w:r>
        <w:rPr>
          <w:rFonts w:ascii="Arial" w:cs="Arial" w:eastAsia="Arial" w:hAnsi="Arial"/>
          <w:sz w:val="11"/>
          <w:szCs w:val="11"/>
          <w:color w:val="auto"/>
        </w:rPr>
        <w:t xml:space="preserve">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that the asset or asset group is expected to generate. Factors we consider important which could trigger an impairment review include significant negative industry or economic trends, significant loss of customers and changes in the competitive environment.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assumptions. The estimation of fair value utilizing a discounted cash flow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w:t>
      </w:r>
      <w:r>
        <w:rPr>
          <w:rFonts w:ascii="Arial" w:cs="Arial" w:eastAsia="Arial" w:hAnsi="Arial"/>
          <w:sz w:val="11"/>
          <w:szCs w:val="11"/>
          <w:i w:val="1"/>
          <w:iCs w:val="1"/>
          <w:color w:val="auto"/>
        </w:rPr>
        <w:t>Refer to Note 6 "Goodwill and Intangible Assets" of the Notes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of Consolidated Financial Statements </w:t>
      </w:r>
      <w:r>
        <w:rPr>
          <w:rFonts w:ascii="Arial" w:cs="Arial" w:eastAsia="Arial" w:hAnsi="Arial"/>
          <w:sz w:val="11"/>
          <w:szCs w:val="11"/>
          <w:color w:val="auto"/>
        </w:rPr>
        <w:t>for details on intangible long-lived assets</w:t>
      </w:r>
      <w:r>
        <w:rPr>
          <w:rFonts w:ascii="Arial" w:cs="Arial" w:eastAsia="Arial" w:hAnsi="Arial"/>
          <w:sz w:val="11"/>
          <w:szCs w:val="11"/>
          <w:i w:val="1"/>
          <w:iCs w:val="1"/>
          <w:color w:val="auto"/>
        </w:rPr>
        <w:t>.</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were no triggering events in 2017 that would cause an impairment of our goodwill or long-lived assets.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Development Costs for Internal Use Software</w:t>
      </w:r>
    </w:p>
    <w:p>
      <w:pPr>
        <w:spacing w:after="0" w:line="15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Internally developed software includes enterprise-level business software that we customize to meet our specific operational needs. Such capitalized costs include external direct costs utilized in developing or obtaining the applications and payroll and payroll-related costs for employees, who are directly associated with the development of the applications. Internally developed software costs capitalized during the year ended December 31, 2017 was not material. During the year ended December 31, 2016, we capitalized approximately $13.2 million related to our enterprise resource planning ("ERP") project which we placed into production during 2016 and amortize over its useful life of 10 years.</w:t>
      </w:r>
    </w:p>
    <w:p>
      <w:pPr>
        <w:spacing w:after="0" w:line="1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Statements of Operations.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Product Warranty</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6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warrant our Invisalign products against material defects until the treatment plan is complete. We warrant SmileDirectClub, LLC (“SDC”) products against material defects for one year. We accrue for warranty costs in cost of net revenues upon shipment of products. The estimated warranty costs liability is primarily based on historical experience as to product failures as well as current information on replacement costs. Actual warranty costs could differ materially from the estimated amounts. We regularly review the warranty liability and update these balances based on historical warranty cost trends.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Scanners and Services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0"/>
          <w:szCs w:val="10"/>
          <w:color w:val="auto"/>
        </w:rPr>
        <w:t>We warrant our intraoral scanners for a period of one year, which include materials and labor. We accrue for these warranty costs based on average historical repair costs. An extended warranty may be purchased for additional fees.</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Allowances for Doubtful Accounts and Sales Returns</w:t>
      </w:r>
    </w:p>
    <w:p>
      <w:pPr>
        <w:spacing w:after="0" w:line="150"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We maintain allowances for doubtful accounts for customers that are not able to make payments and allowances for sales returns. We periodically review these allowances, including an analysis of the customers’ payment history and information regarding the customers’ creditworthiness, as well as historical sales returns as a percentage of revenue. Actual write-offs have not materially differed from the estimated allowances.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581" w:right="199" w:bottom="1440" w:gutter="0" w:footer="0" w:header="0"/>
        </w:sectPr>
      </w:pPr>
    </w:p>
    <w:bookmarkStart w:id="67" w:name="page68"/>
    <w:bookmarkEnd w:id="67"/>
    <w:p>
      <w:pPr>
        <w:ind w:left="14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We measure and allocate revenue according to the accounting guidance for multiple-deliverable revenue arrangements in Accounting Standards Codification (“ASC”) 605-25, "</w:t>
      </w:r>
      <w:r>
        <w:rPr>
          <w:rFonts w:ascii="Arial" w:cs="Arial" w:eastAsia="Arial" w:hAnsi="Arial"/>
          <w:sz w:val="12"/>
          <w:szCs w:val="12"/>
          <w:i w:val="1"/>
          <w:iCs w:val="1"/>
          <w:color w:val="auto"/>
        </w:rPr>
        <w:t>Revenue Recognition – Multiple-Element</w:t>
      </w:r>
      <w:r>
        <w:rPr>
          <w:rFonts w:ascii="Arial" w:cs="Arial" w:eastAsia="Arial" w:hAnsi="Arial"/>
          <w:sz w:val="12"/>
          <w:szCs w:val="12"/>
          <w:color w:val="auto"/>
        </w:rPr>
        <w:t xml:space="preserve"> </w:t>
      </w:r>
      <w:r>
        <w:rPr>
          <w:rFonts w:ascii="Arial" w:cs="Arial" w:eastAsia="Arial" w:hAnsi="Arial"/>
          <w:sz w:val="12"/>
          <w:szCs w:val="12"/>
          <w:i w:val="1"/>
          <w:iCs w:val="1"/>
          <w:color w:val="auto"/>
        </w:rPr>
        <w:t>Arrangements</w:t>
      </w:r>
      <w:r>
        <w:rPr>
          <w:rFonts w:ascii="Arial" w:cs="Arial" w:eastAsia="Arial" w:hAnsi="Arial"/>
          <w:sz w:val="12"/>
          <w:szCs w:val="12"/>
          <w:color w:val="auto"/>
        </w:rPr>
        <w:t>."</w:t>
      </w:r>
    </w:p>
    <w:p>
      <w:pPr>
        <w:spacing w:after="0" w:line="11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i w:val="1"/>
          <w:iCs w:val="1"/>
          <w:color w:val="auto"/>
        </w:rPr>
        <w:t xml:space="preserve">Multiple-Element Arrangements (“MEAs”): </w:t>
      </w:r>
      <w:r>
        <w:rPr>
          <w:rFonts w:ascii="Arial" w:cs="Arial" w:eastAsia="Arial" w:hAnsi="Arial"/>
          <w:sz w:val="12"/>
          <w:szCs w:val="12"/>
          <w:color w:val="auto"/>
        </w:rPr>
        <w:t>Arrangements with customers may include multiple deliverables, including any combination of products/equipment and services. The deliverables included in the MEAs are separated into</w:t>
      </w:r>
      <w:r>
        <w:rPr>
          <w:rFonts w:ascii="Arial" w:cs="Arial" w:eastAsia="Arial" w:hAnsi="Arial"/>
          <w:sz w:val="12"/>
          <w:szCs w:val="12"/>
          <w:i w:val="1"/>
          <w:iCs w:val="1"/>
          <w:color w:val="auto"/>
        </w:rPr>
        <w:t xml:space="preserve"> </w:t>
      </w:r>
      <w:r>
        <w:rPr>
          <w:rFonts w:ascii="Arial" w:cs="Arial" w:eastAsia="Arial" w:hAnsi="Arial"/>
          <w:sz w:val="12"/>
          <w:szCs w:val="12"/>
          <w:color w:val="auto"/>
        </w:rPr>
        <w:t>more than one unit of accounting when (i) the delivered product/equipment has value to the customer on a stand-alone basis, and (ii) delivery of the undelivered service element(s) is probable and substantially in our control. Arrangement consideration is then allocated to each unit, delivered or undelivered, at the inception of the arrangement based on the relative selling price of each unit of accounting based first on vendor-specific objective evidence (“VSOE”) if it exists, second on third-party evidence (“TPE”) if it exists, or on best estimated selling price (“BESP”) if neither VSOE or TPE exist.</w:t>
      </w:r>
    </w:p>
    <w:p>
      <w:pPr>
        <w:spacing w:after="0" w:line="125" w:lineRule="exact"/>
        <w:rPr>
          <w:sz w:val="20"/>
          <w:szCs w:val="20"/>
          <w:color w:val="auto"/>
        </w:rPr>
      </w:pPr>
    </w:p>
    <w:p>
      <w:pPr>
        <w:ind w:left="420" w:right="20" w:hanging="167"/>
        <w:spacing w:after="0" w:line="276" w:lineRule="auto"/>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VSOE - In most instances, this applies to products and services that are sold separately in stand-alone arrangements.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spacing w:after="0" w:line="114" w:lineRule="exact"/>
        <w:rPr>
          <w:rFonts w:ascii="Arial" w:cs="Arial" w:eastAsia="Arial" w:hAnsi="Arial"/>
          <w:sz w:val="12"/>
          <w:szCs w:val="12"/>
          <w:color w:val="auto"/>
        </w:rPr>
      </w:pPr>
    </w:p>
    <w:p>
      <w:pPr>
        <w:ind w:left="420" w:hanging="167"/>
        <w:spacing w:after="0" w:line="276" w:lineRule="auto"/>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114" w:lineRule="exact"/>
        <w:rPr>
          <w:rFonts w:ascii="Arial" w:cs="Arial" w:eastAsia="Arial" w:hAnsi="Arial"/>
          <w:sz w:val="12"/>
          <w:szCs w:val="12"/>
          <w:color w:val="auto"/>
        </w:rPr>
      </w:pPr>
    </w:p>
    <w:p>
      <w:pPr>
        <w:jc w:val="both"/>
        <w:ind w:left="420" w:hanging="167"/>
        <w:spacing w:after="0" w:line="263" w:lineRule="auto"/>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BESP - The best estimated selling price represents the price at which we would sell a product or service if it were sold on a stand-alone basis. When VSOE or TPE does not exist for all elements, we determine BESP for the arrangement element based on sales, cost and margin analysis, as well as other inputs based on our pricing practices. Adjustments for other market and company specific factors are made as deemed necessary in determining BESP. We regularly review our estimates of selling price and maintain internal controls over the establishment and update of these estimates.</w:t>
      </w:r>
    </w:p>
    <w:p>
      <w:pPr>
        <w:spacing w:after="0" w:line="123" w:lineRule="exact"/>
        <w:rPr>
          <w:sz w:val="20"/>
          <w:szCs w:val="20"/>
          <w:color w:val="auto"/>
        </w:rPr>
      </w:pPr>
    </w:p>
    <w:p>
      <w:pPr>
        <w:jc w:val="both"/>
        <w:ind w:right="20" w:firstLine="270"/>
        <w:spacing w:after="0" w:line="323" w:lineRule="auto"/>
        <w:rPr>
          <w:sz w:val="20"/>
          <w:szCs w:val="20"/>
          <w:color w:val="auto"/>
        </w:rPr>
      </w:pPr>
      <w:r>
        <w:rPr>
          <w:rFonts w:ascii="Arial" w:cs="Arial" w:eastAsia="Arial" w:hAnsi="Arial"/>
          <w:sz w:val="11"/>
          <w:szCs w:val="11"/>
          <w:color w:val="auto"/>
        </w:rPr>
        <w:t>Revenue is recognized when persuasive evidence of the arrangement exists, the price is fixed or determinable, collectability is reasonably assured, title and risk of loss have passed to customers based on the shipping terms, and allowances for discounts, returns, and customer incentives can be reliably estimated. Provisions for discounts and rebates to customers are provided for in the same period that the related product sales are recorded.</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Clear Aligner</w:t>
      </w:r>
    </w:p>
    <w:p>
      <w:pPr>
        <w:spacing w:after="0" w:line="15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enter into arrangements (“treatment plan(s)”) that involve multiple future product deliverables. Invisalign Full, Invisalign Teen, and Invisalign Assist products include optional additional aligners at no charge for a period of up to five years after initial shipment and Invisalign Go includes optional additional aligners at no charge for a period of up to two years after initial shipment. Invisalign Teen also includes up to six optional replacement aligners in the price of the product and may be ordered by the dental professional any time throughout treatment. Invisalign Lite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the treatment.</w:t>
      </w:r>
    </w:p>
    <w:p>
      <w:pPr>
        <w:spacing w:after="0" w:line="109" w:lineRule="exact"/>
        <w:rPr>
          <w:sz w:val="20"/>
          <w:szCs w:val="20"/>
          <w:color w:val="auto"/>
        </w:rPr>
      </w:pPr>
    </w:p>
    <w:p>
      <w:pPr>
        <w:jc w:val="both"/>
        <w:ind w:firstLine="270"/>
        <w:spacing w:after="0" w:line="323" w:lineRule="auto"/>
        <w:rPr>
          <w:sz w:val="20"/>
          <w:szCs w:val="20"/>
          <w:color w:val="auto"/>
        </w:rPr>
      </w:pPr>
      <w:r>
        <w:rPr>
          <w:rFonts w:ascii="Arial" w:cs="Arial" w:eastAsia="Arial" w:hAnsi="Arial"/>
          <w:sz w:val="11"/>
          <w:szCs w:val="11"/>
          <w:color w:val="auto"/>
        </w:rPr>
        <w:t>We determined that our treatment plans, except Invisalign Assist with progress tracking, comprise the following deliverables which also represent separate units of accounting: initial aligners, additional aligners, case refinement, and replacement aligners. We allocate revenue for each treatment plan based on each unit's relative selling price based on BESP and recognize the revenue upon shipment of each unit in the treatment plan.</w:t>
      </w:r>
    </w:p>
    <w:p>
      <w:pPr>
        <w:spacing w:after="0" w:line="92"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For Invisalign Assist with the progress tracking feature, aligners and services are provided to the dental professional every nine stages (a "batch”). We are able to reliably estimate the number of batches which are expected to be shipped for each case based upon our historical experience. The amounts allocated to this deliverable are recognized on a prorated basis as each batch is shipped.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437" w:right="199" w:bottom="1440" w:gutter="0" w:footer="0" w:header="0"/>
        </w:sectPr>
      </w:pPr>
    </w:p>
    <w:bookmarkStart w:id="68" w:name="page69"/>
    <w:bookmarkEnd w:id="68"/>
    <w:p>
      <w:pPr>
        <w:ind w:left="280"/>
        <w:spacing w:after="0"/>
        <w:rPr>
          <w:sz w:val="20"/>
          <w:szCs w:val="20"/>
          <w:color w:val="auto"/>
        </w:rPr>
      </w:pPr>
      <w:r>
        <w:rPr>
          <w:rFonts w:ascii="Arial" w:cs="Arial" w:eastAsia="Arial" w:hAnsi="Arial"/>
          <w:sz w:val="12"/>
          <w:szCs w:val="12"/>
          <w:i w:val="1"/>
          <w:iCs w:val="1"/>
          <w:color w:val="auto"/>
        </w:rPr>
        <w:t>Scanners and Services</w:t>
      </w:r>
    </w:p>
    <w:p>
      <w:pPr>
        <w:spacing w:after="0" w:line="150" w:lineRule="exact"/>
        <w:rPr>
          <w:sz w:val="20"/>
          <w:szCs w:val="20"/>
          <w:color w:val="auto"/>
        </w:rPr>
      </w:pPr>
    </w:p>
    <w:p>
      <w:pPr>
        <w:jc w:val="both"/>
        <w:ind w:firstLine="270"/>
        <w:spacing w:after="0" w:line="327" w:lineRule="auto"/>
        <w:rPr>
          <w:sz w:val="20"/>
          <w:szCs w:val="20"/>
          <w:color w:val="auto"/>
        </w:rPr>
      </w:pPr>
      <w:r>
        <w:rPr>
          <w:rFonts w:ascii="Arial" w:cs="Arial" w:eastAsia="Arial" w:hAnsi="Arial"/>
          <w:sz w:val="10"/>
          <w:szCs w:val="10"/>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w:t>
      </w:r>
    </w:p>
    <w:p>
      <w:pPr>
        <w:spacing w:after="0" w:line="9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Scanner revenue, net of related discounts and allowances, is recognized when products have been shipped and no significant obligations for installation or training remain. For certain distributors who provide installation and training to the customer, we recognize scanner revenue when the intraoral scanner is shipped to the distributor assuming all of the other revenue recognition criteria have been met. Discounts are deducted from revenue at the time of sale. Returns of products, excluding warranty related returns, are infrequent and insignificant.</w:t>
      </w:r>
    </w:p>
    <w:p>
      <w:pPr>
        <w:spacing w:after="0" w:line="123"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11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Shipping and Handling Costs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Shipping and handling charges to customers are included in net revenues, and the associated costs incurred are recorded in cost of net revenues.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Legal Proceedings and Litigations</w:t>
      </w:r>
    </w:p>
    <w:p>
      <w:pPr>
        <w:spacing w:after="0" w:line="20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are involved in legal proceedings on an ongoing basis. If we believe that a loss arising from such matters is probable and can be reasonably estimated, we accrue the estimated loss in our consolidated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0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Research and development expense is expensed as incurred and includes the costs associated with the research and development of new products and enhancements to existing products. These costs primarily include personnel-related costs, including stock-based compensation, outside consulting expenses and allocations of corporate overhead expenses including facilities and IT.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cost of advertising and media is expensed as incurred. For the year ended December 31, 2017, 2016 and 2015, we incurred advertising costs of $70.0 million, $36.0 million and $23.4 million, respectively.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Common Stock Repurchase</w:t>
      </w:r>
    </w:p>
    <w:p>
      <w:pPr>
        <w:spacing w:after="0" w:line="20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We repurchase our own common stock from time to time in the open market when our Board of Directors approve a stock repurchase program. We account for these repurchases under the accounting guidance for equity where we allocate the total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563" w:right="19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repurchase value that is in excess over par value between additional paid-in capital and retained earnings. All shares repurchased are retired.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0"/>
          <w:szCs w:val="10"/>
          <w:color w:val="auto"/>
        </w:rPr>
        <w:t>We lease office spaces, vehicles and equipment under operating leases with original lease periods of up to 9 years. Certain of these leases have free or escalating rent payment provisions and lease incentives provided by the landlord.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recognize rent expense under such leases on a straight-line basis over the term of the lease.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w:t>
      </w:r>
    </w:p>
    <w:p>
      <w:pPr>
        <w:spacing w:after="0" w:line="12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 of Operation in the period in which such determination is made.</w:t>
      </w:r>
    </w:p>
    <w:p>
      <w:pPr>
        <w:spacing w:after="0" w:line="12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realizable. The available positive evidence at December 31, 2017 included historical operating profits and a projection of future income sufficient to realize most of our remaining deferred tax assets. As of December 31, 2017, it was considered more likely than not that our deferred tax assets would be realized with the exception of certain foreign loss carryovers as we are unable to forecast sufficient future profits to realize the deferred tax assets.</w:t>
      </w:r>
    </w:p>
    <w:p>
      <w:pPr>
        <w:spacing w:after="0" w:line="12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U.S. Tax Cuts and Jobs Act (the “TCJA”) was enacted into law on December 22, 2017 and impacted our effective tax rate for the year ended December 31, 2017.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2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TCJA. We recorded an additional income tax expense of $84.3 million in the fourth quarter of 2017, which represents the provisional amount of the impact of the TCJA. This provisional amount includes income tax expenses related to the remeasurement of certain deferred tax assets and liabilities of $10.4 million, and the one-time transition tax on the mandatory deemed repatriation of cumulative foreign earning in the amount of $73.9 million. Additional work is necessary for a more detailed analysis of our deferred tax assets and liabilities and our historical foreign earnings as well as potential correlative adjustments. Any subsequent adjustment to these amounts will be recorded to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491" w:right="19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auto"/>
        </w:rPr>
        <w:t xml:space="preserve">provision for income taxes in 2018 when the analysis is complete. </w:t>
      </w:r>
      <w:r>
        <w:rPr>
          <w:rFonts w:ascii="Arial" w:cs="Arial" w:eastAsia="Arial" w:hAnsi="Arial"/>
          <w:sz w:val="12"/>
          <w:szCs w:val="12"/>
          <w:i w:val="1"/>
          <w:iCs w:val="1"/>
          <w:color w:val="auto"/>
        </w:rPr>
        <w:t>Refer to Note 13 "Income Taxes" of the Notes of Consolidated Financial Statements</w:t>
      </w:r>
      <w:r>
        <w:rPr>
          <w:rFonts w:ascii="Arial" w:cs="Arial" w:eastAsia="Arial" w:hAnsi="Arial"/>
          <w:sz w:val="12"/>
          <w:szCs w:val="12"/>
          <w:color w:val="auto"/>
        </w:rPr>
        <w:t xml:space="preserve"> for details on provision impact of the TCJA.</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jc w:val="both"/>
        <w:ind w:firstLine="288"/>
        <w:spacing w:after="0" w:line="320" w:lineRule="auto"/>
        <w:rPr>
          <w:sz w:val="20"/>
          <w:szCs w:val="20"/>
          <w:color w:val="auto"/>
        </w:rPr>
      </w:pPr>
      <w:r>
        <w:rPr>
          <w:rFonts w:ascii="Arial" w:cs="Arial" w:eastAsia="Arial" w:hAnsi="Arial"/>
          <w:sz w:val="10"/>
          <w:szCs w:val="10"/>
          <w:color w:val="auto"/>
        </w:rPr>
        <w:t>We recognize stock-based compensation cost for shares expected to vest on a straight-line basis over the requisite service period of the award, net of estimated forfeitures. We use the Black-Scholes option pricing model to determine the fair value of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Comprehensive Income</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Comprehensive income includes all changes in equity during a period from non-owner sources. Comprehensive income, including unrealized gains and losses on investments and foreign currency translation adjustments, are reported net of their related tax effect.</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 New Accounting Updates Recently Adopted</w:t>
      </w:r>
    </w:p>
    <w:p>
      <w:pPr>
        <w:spacing w:after="0" w:line="150"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In January 2017, the Financial Accounting Standards Board ("FASB") issued ASU 2017-01, “</w:t>
      </w:r>
      <w:r>
        <w:rPr>
          <w:rFonts w:ascii="Arial" w:cs="Arial" w:eastAsia="Arial" w:hAnsi="Arial"/>
          <w:sz w:val="12"/>
          <w:szCs w:val="12"/>
          <w:i w:val="1"/>
          <w:iCs w:val="1"/>
          <w:color w:val="auto"/>
        </w:rPr>
        <w:t>Business Combinations (Topic 805): Clarifying the Definition of a Business,</w:t>
      </w:r>
      <w:r>
        <w:rPr>
          <w:rFonts w:ascii="Arial" w:cs="Arial" w:eastAsia="Arial" w:hAnsi="Arial"/>
          <w:sz w:val="12"/>
          <w:szCs w:val="12"/>
          <w:color w:val="auto"/>
        </w:rPr>
        <w:t xml:space="preserve">” to clarify the definition of a business when evaluating whether transactions should be accounted for as acquisitions of assets or businesses. </w:t>
      </w:r>
      <w:r>
        <w:rPr>
          <w:rFonts w:ascii="Arial" w:cs="Arial" w:eastAsia="Arial" w:hAnsi="Arial"/>
          <w:sz w:val="12"/>
          <w:szCs w:val="12"/>
          <w:color w:val="252525"/>
        </w:rPr>
        <w:t>We early adopted the standard in the fourth quarter of fiscal year 2017 on a prospective basis and our adoption did not have a material impact on our</w:t>
      </w:r>
      <w:r>
        <w:rPr>
          <w:rFonts w:ascii="Arial" w:cs="Arial" w:eastAsia="Arial" w:hAnsi="Arial"/>
          <w:sz w:val="12"/>
          <w:szCs w:val="12"/>
          <w:color w:val="auto"/>
        </w:rPr>
        <w:t xml:space="preserve"> </w:t>
      </w:r>
      <w:r>
        <w:rPr>
          <w:rFonts w:ascii="Arial" w:cs="Arial" w:eastAsia="Arial" w:hAnsi="Arial"/>
          <w:sz w:val="12"/>
          <w:szCs w:val="12"/>
          <w:color w:val="252525"/>
        </w:rPr>
        <w:t>consolidated financial statements and related disclosures.</w:t>
      </w:r>
    </w:p>
    <w:p>
      <w:pPr>
        <w:spacing w:after="0" w:line="123" w:lineRule="exact"/>
        <w:rPr>
          <w:sz w:val="20"/>
          <w:szCs w:val="20"/>
          <w:color w:val="auto"/>
        </w:rPr>
      </w:pPr>
    </w:p>
    <w:p>
      <w:pPr>
        <w:jc w:val="both"/>
        <w:ind w:firstLine="270"/>
        <w:spacing w:after="0" w:line="327" w:lineRule="auto"/>
        <w:rPr>
          <w:sz w:val="20"/>
          <w:szCs w:val="20"/>
          <w:color w:val="auto"/>
        </w:rPr>
      </w:pPr>
      <w:r>
        <w:rPr>
          <w:rFonts w:ascii="Arial" w:cs="Arial" w:eastAsia="Arial" w:hAnsi="Arial"/>
          <w:sz w:val="10"/>
          <w:szCs w:val="10"/>
          <w:color w:val="auto"/>
        </w:rPr>
        <w:t>In March 2016, the FASB issued Accounting Standards Update ("ASU") 2016-09, "</w:t>
      </w:r>
      <w:r>
        <w:rPr>
          <w:rFonts w:ascii="Arial" w:cs="Arial" w:eastAsia="Arial" w:hAnsi="Arial"/>
          <w:sz w:val="10"/>
          <w:szCs w:val="10"/>
          <w:i w:val="1"/>
          <w:iCs w:val="1"/>
          <w:color w:val="auto"/>
        </w:rPr>
        <w:t>Improvements to Employee Share-Based Payment Accounting</w:t>
      </w:r>
      <w:r>
        <w:rPr>
          <w:rFonts w:ascii="Arial" w:cs="Arial" w:eastAsia="Arial" w:hAnsi="Arial"/>
          <w:sz w:val="10"/>
          <w:szCs w:val="10"/>
          <w:color w:val="auto"/>
        </w:rPr>
        <w:t xml:space="preserve">" </w:t>
      </w:r>
      <w:r>
        <w:rPr>
          <w:rFonts w:ascii="Arial" w:cs="Arial" w:eastAsia="Arial" w:hAnsi="Arial"/>
          <w:sz w:val="10"/>
          <w:szCs w:val="10"/>
          <w:color w:val="252525"/>
        </w:rPr>
        <w:t>(Topic 718)</w:t>
      </w:r>
      <w:r>
        <w:rPr>
          <w:rFonts w:ascii="Arial" w:cs="Arial" w:eastAsia="Arial" w:hAnsi="Arial"/>
          <w:sz w:val="10"/>
          <w:szCs w:val="10"/>
          <w:i w:val="1"/>
          <w:iCs w:val="1"/>
          <w:color w:val="252525"/>
        </w:rPr>
        <w:t>.</w:t>
      </w:r>
      <w:r>
        <w:rPr>
          <w:rFonts w:ascii="Arial" w:cs="Arial" w:eastAsia="Arial" w:hAnsi="Arial"/>
          <w:sz w:val="10"/>
          <w:szCs w:val="10"/>
          <w:color w:val="auto"/>
        </w:rPr>
        <w:t xml:space="preserve"> </w:t>
      </w:r>
      <w:r>
        <w:rPr>
          <w:rFonts w:ascii="Arial" w:cs="Arial" w:eastAsia="Arial" w:hAnsi="Arial"/>
          <w:sz w:val="10"/>
          <w:szCs w:val="10"/>
          <w:color w:val="252525"/>
        </w:rPr>
        <w:t>We adopted the standard in the first quarter of fiscal year 2017. With this</w:t>
      </w:r>
      <w:r>
        <w:rPr>
          <w:rFonts w:ascii="Arial" w:cs="Arial" w:eastAsia="Arial" w:hAnsi="Arial"/>
          <w:sz w:val="10"/>
          <w:szCs w:val="10"/>
          <w:color w:val="auto"/>
        </w:rPr>
        <w:t xml:space="preserve"> </w:t>
      </w:r>
      <w:r>
        <w:rPr>
          <w:rFonts w:ascii="Arial" w:cs="Arial" w:eastAsia="Arial" w:hAnsi="Arial"/>
          <w:sz w:val="10"/>
          <w:szCs w:val="10"/>
          <w:color w:val="252525"/>
        </w:rPr>
        <w:t>adoption, excess tax benefits related to stock-based compensation expense are reflected in our consolidated statement of operations as a component of the provision for income taxes instead of additional paid-in capital in our consolidated balance sheet. In addition, we elected to continue to estimate expected forfeitures rather than as they occur to determine the amount of compensation cost to be recognized in each period. During the fiscal year ended December 31, 2017, we recognized excess tax benefits of $30.0 million in our provision for income taxes. Excess tax benefits from share-based payment arrangements are classified as an operating activity in our consolidated statement of cash flows.</w:t>
      </w:r>
    </w:p>
    <w:p>
      <w:pPr>
        <w:spacing w:after="0" w:line="9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In October 2016, the FASB issued ASU 2016-16, </w:t>
      </w:r>
      <w:r>
        <w:rPr>
          <w:rFonts w:ascii="Arial" w:cs="Arial" w:eastAsia="Arial" w:hAnsi="Arial"/>
          <w:sz w:val="12"/>
          <w:szCs w:val="12"/>
          <w:i w:val="1"/>
          <w:iCs w:val="1"/>
          <w:color w:val="auto"/>
        </w:rPr>
        <w:t>"Intra-Entity Transfers of Assets Other Than Inventory,"</w:t>
      </w:r>
      <w:r>
        <w:rPr>
          <w:rFonts w:ascii="Arial" w:cs="Arial" w:eastAsia="Arial" w:hAnsi="Arial"/>
          <w:sz w:val="12"/>
          <w:szCs w:val="12"/>
          <w:color w:val="auto"/>
        </w:rPr>
        <w:t xml:space="preserve"> (Topic 740) which requires entities to recognize the income tax consequences of an intra-entity transfer of an asset other than inventory when the transfer occurs. We early adopted the standard in the first quarter of fiscal year 2017 by applying the modified retrospective approach and recognized a $1.3 million decrease to retained earnings as a cumulative-effect adjustment.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(ii) Recent Accounting Updates Not Yet Effective</w:t>
      </w:r>
    </w:p>
    <w:p>
      <w:pPr>
        <w:spacing w:after="0" w:line="15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In May 2014, the FASB released ASU 2014-9,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disclosure of the nature, amount, timing, and uncertainty of revenue and cash flows arising from contracts with customers. We plan to adopt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437" w:right="199" w:bottom="1440" w:gutter="0" w:footer="0" w:header="0"/>
        </w:sectPr>
      </w:pPr>
    </w:p>
    <w:bookmarkStart w:id="71" w:name="page72"/>
    <w:bookmarkEnd w:id="71"/>
    <w:p>
      <w:pPr>
        <w:jc w:val="both"/>
        <w:spacing w:after="0" w:line="298" w:lineRule="auto"/>
        <w:rPr>
          <w:sz w:val="20"/>
          <w:szCs w:val="20"/>
          <w:color w:val="auto"/>
        </w:rPr>
      </w:pPr>
      <w:r>
        <w:rPr>
          <w:rFonts w:ascii="Arial" w:cs="Arial" w:eastAsia="Arial" w:hAnsi="Arial"/>
          <w:sz w:val="11"/>
          <w:szCs w:val="11"/>
          <w:color w:val="auto"/>
        </w:rPr>
        <w:t>the standard in the first quarter of fiscal year 2018 by applying the full retrospective method. Prior periods will be retrospectively adjusted and we will recognize the cumulative effect of adopting this guidance as an adjustment to our opening balance of retained earnings as of January 1, 2016. We have assessed the financial statement impact of adoption including, but not limited to, volume-based discount programs, sales commissions and the identification of performance obligations, and are continuing to evaluate the transition and disclosure requirements of the standard. We anticipate the adoption of Topic 606 will not have a material impact to our consolidated financial statements.</w:t>
      </w:r>
    </w:p>
    <w:p>
      <w:pPr>
        <w:spacing w:after="0" w:line="105" w:lineRule="exact"/>
        <w:rPr>
          <w:sz w:val="20"/>
          <w:szCs w:val="20"/>
          <w:color w:val="auto"/>
        </w:rPr>
      </w:pPr>
    </w:p>
    <w:p>
      <w:pPr>
        <w:jc w:val="both"/>
        <w:ind w:firstLine="270"/>
        <w:spacing w:after="0" w:line="380" w:lineRule="auto"/>
        <w:rPr>
          <w:sz w:val="20"/>
          <w:szCs w:val="20"/>
          <w:color w:val="auto"/>
        </w:rPr>
      </w:pPr>
      <w:r>
        <w:rPr>
          <w:rFonts w:ascii="Arial" w:cs="Arial" w:eastAsia="Arial" w:hAnsi="Arial"/>
          <w:sz w:val="10"/>
          <w:szCs w:val="10"/>
          <w:color w:val="auto"/>
        </w:rPr>
        <w:t xml:space="preserve">In April 2016, the FASB released </w:t>
      </w:r>
      <w:r>
        <w:rPr>
          <w:rFonts w:ascii="Arial" w:cs="Arial" w:eastAsia="Arial" w:hAnsi="Arial"/>
          <w:sz w:val="10"/>
          <w:szCs w:val="10"/>
          <w:color w:val="252525"/>
        </w:rPr>
        <w:t>ASU 2016-10,</w:t>
      </w:r>
      <w:r>
        <w:rPr>
          <w:rFonts w:ascii="Arial" w:cs="Arial" w:eastAsia="Arial" w:hAnsi="Arial"/>
          <w:sz w:val="10"/>
          <w:szCs w:val="10"/>
          <w:color w:val="auto"/>
        </w:rPr>
        <w:t xml:space="preserve"> "</w:t>
      </w:r>
      <w:r>
        <w:rPr>
          <w:rFonts w:ascii="Arial" w:cs="Arial" w:eastAsia="Arial" w:hAnsi="Arial"/>
          <w:sz w:val="10"/>
          <w:szCs w:val="10"/>
          <w:i w:val="1"/>
          <w:iCs w:val="1"/>
          <w:color w:val="auto"/>
        </w:rPr>
        <w:t>Revenue from Contracts with Customers,</w:t>
      </w:r>
      <w:r>
        <w:rPr>
          <w:rFonts w:ascii="Arial" w:cs="Arial" w:eastAsia="Arial" w:hAnsi="Arial"/>
          <w:sz w:val="10"/>
          <w:szCs w:val="10"/>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6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In May 2016, the FASB released </w:t>
      </w:r>
      <w:r>
        <w:rPr>
          <w:rFonts w:ascii="Arial" w:cs="Arial" w:eastAsia="Arial" w:hAnsi="Arial"/>
          <w:sz w:val="12"/>
          <w:szCs w:val="12"/>
          <w:color w:val="252525"/>
        </w:rPr>
        <w:t>ASU 2016-12,</w:t>
      </w:r>
      <w:r>
        <w:rPr>
          <w:rFonts w:ascii="Arial" w:cs="Arial" w:eastAsia="Arial" w:hAnsi="Arial"/>
          <w:sz w:val="12"/>
          <w:szCs w:val="12"/>
          <w:color w:val="auto"/>
        </w:rPr>
        <w:t xml:space="preserve">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to address certain issues in the Topic 606 guidance on assessing the collectability, presentation of sales taxes, non-cash consideration, and completed contracts and contract modifications at transition. The ASU provides narrow-scope improvements and practical expedients to the ASU 2014-9 issued in May 2014. The effective date and the transition requirement of the amendments in this update are the same as the effective date and transition requirements of Topic 606.</w:t>
      </w:r>
    </w:p>
    <w:p>
      <w:pPr>
        <w:spacing w:after="0" w:line="12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In December 2016, the FASB released </w:t>
      </w:r>
      <w:r>
        <w:rPr>
          <w:rFonts w:ascii="Arial" w:cs="Arial" w:eastAsia="Arial" w:hAnsi="Arial"/>
          <w:sz w:val="12"/>
          <w:szCs w:val="12"/>
          <w:color w:val="252525"/>
        </w:rPr>
        <w:t>ASU 2016-20,</w:t>
      </w:r>
      <w:r>
        <w:rPr>
          <w:rFonts w:ascii="Arial" w:cs="Arial" w:eastAsia="Arial" w:hAnsi="Arial"/>
          <w:sz w:val="12"/>
          <w:szCs w:val="12"/>
          <w:color w:val="auto"/>
        </w:rPr>
        <w:t xml:space="preserve"> "</w:t>
      </w:r>
      <w:r>
        <w:rPr>
          <w:rFonts w:ascii="Arial" w:cs="Arial" w:eastAsia="Arial" w:hAnsi="Arial"/>
          <w:sz w:val="12"/>
          <w:szCs w:val="12"/>
          <w:i w:val="1"/>
          <w:iCs w:val="1"/>
          <w:color w:val="auto"/>
        </w:rPr>
        <w:t>Technical Corrections and Improvements to Topic 606, Revenue from Contracts with Customers,</w:t>
      </w:r>
      <w:r>
        <w:rPr>
          <w:rFonts w:ascii="Arial" w:cs="Arial" w:eastAsia="Arial" w:hAnsi="Arial"/>
          <w:sz w:val="12"/>
          <w:szCs w:val="12"/>
          <w:color w:val="auto"/>
        </w:rPr>
        <w:t>" to clarify certain aspects of guidance in the Topic 606 including its scope, disclosure requirements and contract cost accounting,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2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In February 2016, the FASB issued ASU 2016-02, “</w:t>
      </w:r>
      <w:r>
        <w:rPr>
          <w:rFonts w:ascii="Arial" w:cs="Arial" w:eastAsia="Arial" w:hAnsi="Arial"/>
          <w:sz w:val="12"/>
          <w:szCs w:val="12"/>
          <w:i w:val="1"/>
          <w:iCs w:val="1"/>
          <w:color w:val="auto"/>
        </w:rPr>
        <w:t>Leases</w:t>
      </w:r>
      <w:r>
        <w:rPr>
          <w:rFonts w:ascii="Arial" w:cs="Arial" w:eastAsia="Arial" w:hAnsi="Arial"/>
          <w:sz w:val="12"/>
          <w:szCs w:val="12"/>
          <w:color w:val="auto"/>
        </w:rPr>
        <w:t>” (Topic 842)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standard is permitted. We plan to adopt the standard in the first quarter of fiscal year 2019 by electing practical expedients available in the standard. While we are currently evaluating the impact of the adoption of this guidance on our consolidated financial statements, we expect the adoption will have a material increase to the assets and liabilities of our consolidated balance sheet.</w:t>
      </w:r>
    </w:p>
    <w:p>
      <w:pPr>
        <w:spacing w:after="0" w:line="125"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252525"/>
        </w:rPr>
        <w:t>In June 2016, the FASB issued ASU 2016-13, “</w:t>
      </w:r>
      <w:r>
        <w:rPr>
          <w:rFonts w:ascii="Arial" w:cs="Arial" w:eastAsia="Arial" w:hAnsi="Arial"/>
          <w:sz w:val="12"/>
          <w:szCs w:val="12"/>
          <w:i w:val="1"/>
          <w:iCs w:val="1"/>
          <w:color w:val="252525"/>
        </w:rPr>
        <w:t>Financial Instruments - Credit Losses</w:t>
      </w:r>
      <w:r>
        <w:rPr>
          <w:rFonts w:ascii="Arial" w:cs="Arial" w:eastAsia="Arial" w:hAnsi="Arial"/>
          <w:sz w:val="12"/>
          <w:szCs w:val="12"/>
          <w:color w:val="252525"/>
        </w:rPr>
        <w:t>” (Topic 326)</w:t>
      </w:r>
      <w:r>
        <w:rPr>
          <w:rFonts w:ascii="Arial" w:cs="Arial" w:eastAsia="Arial" w:hAnsi="Arial"/>
          <w:sz w:val="12"/>
          <w:szCs w:val="12"/>
          <w:i w:val="1"/>
          <w:iCs w:val="1"/>
          <w:color w:val="252525"/>
        </w:rPr>
        <w:t>.</w:t>
      </w:r>
      <w:r>
        <w:rPr>
          <w:rFonts w:ascii="Arial" w:cs="Arial" w:eastAsia="Arial" w:hAnsi="Arial"/>
          <w:sz w:val="12"/>
          <w:szCs w:val="12"/>
          <w:color w:val="252525"/>
        </w:rPr>
        <w:t xml:space="preserve"> </w:t>
      </w:r>
      <w:r>
        <w:rPr>
          <w:rFonts w:ascii="Arial" w:cs="Arial" w:eastAsia="Arial" w:hAnsi="Arial"/>
          <w:sz w:val="12"/>
          <w:szCs w:val="12"/>
          <w:color w:val="000000"/>
        </w:rPr>
        <w:t>The FASB issued this update to provide financial statement users with more decision-useful information about the expected credit</w:t>
      </w:r>
      <w:r>
        <w:rPr>
          <w:rFonts w:ascii="Arial" w:cs="Arial" w:eastAsia="Arial" w:hAnsi="Arial"/>
          <w:sz w:val="12"/>
          <w:szCs w:val="12"/>
          <w:color w:val="252525"/>
        </w:rPr>
        <w:t xml:space="preserve"> </w:t>
      </w:r>
      <w:r>
        <w:rPr>
          <w:rFonts w:ascii="Arial" w:cs="Arial" w:eastAsia="Arial" w:hAnsi="Arial"/>
          <w:sz w:val="12"/>
          <w:szCs w:val="12"/>
          <w:color w:val="000000"/>
        </w:rPr>
        <w:t xml:space="preserve">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2"/>
          <w:szCs w:val="12"/>
          <w:color w:val="252525"/>
        </w:rPr>
        <w:t>The updated guidance is effective for annual periods beginning after</w:t>
      </w:r>
      <w:r>
        <w:rPr>
          <w:rFonts w:ascii="Arial" w:cs="Arial" w:eastAsia="Arial" w:hAnsi="Arial"/>
          <w:sz w:val="12"/>
          <w:szCs w:val="12"/>
          <w:color w:val="000000"/>
        </w:rPr>
        <w:t xml:space="preserve"> </w:t>
      </w:r>
      <w:r>
        <w:rPr>
          <w:rFonts w:ascii="Arial" w:cs="Arial" w:eastAsia="Arial" w:hAnsi="Arial"/>
          <w:sz w:val="12"/>
          <w:szCs w:val="12"/>
          <w:color w:val="252525"/>
        </w:rPr>
        <w:t xml:space="preserve">December 15, 2019, including interim periods within those fiscal years. Early adoption of the update is permitted in fiscal years beginning after December 15, 2018, including interim periods within those fiscal years. </w:t>
      </w:r>
      <w:r>
        <w:rPr>
          <w:rFonts w:ascii="Arial" w:cs="Arial" w:eastAsia="Arial" w:hAnsi="Arial"/>
          <w:sz w:val="12"/>
          <w:szCs w:val="12"/>
          <w:color w:val="000000"/>
        </w:rPr>
        <w:t>We are currently</w:t>
      </w:r>
      <w:r>
        <w:rPr>
          <w:rFonts w:ascii="Arial" w:cs="Arial" w:eastAsia="Arial" w:hAnsi="Arial"/>
          <w:sz w:val="12"/>
          <w:szCs w:val="12"/>
          <w:color w:val="252525"/>
        </w:rPr>
        <w:t xml:space="preserve"> </w:t>
      </w:r>
      <w:r>
        <w:rPr>
          <w:rFonts w:ascii="Arial" w:cs="Arial" w:eastAsia="Arial" w:hAnsi="Arial"/>
          <w:sz w:val="12"/>
          <w:szCs w:val="12"/>
          <w:color w:val="000000"/>
        </w:rPr>
        <w:t>evaluating the impact of this guidance on our consolidated financial statements and related disclosures.</w:t>
      </w:r>
    </w:p>
    <w:p>
      <w:pPr>
        <w:spacing w:after="0" w:line="126"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In August 2016, the FASB issued ASU 2016-15, </w:t>
      </w:r>
      <w:r>
        <w:rPr>
          <w:rFonts w:ascii="Arial" w:cs="Arial" w:eastAsia="Arial" w:hAnsi="Arial"/>
          <w:sz w:val="12"/>
          <w:szCs w:val="12"/>
          <w:i w:val="1"/>
          <w:iCs w:val="1"/>
          <w:color w:val="auto"/>
        </w:rPr>
        <w:t>"Classification of Certain Cash Receipts and Cash Payments"</w:t>
      </w:r>
      <w:r>
        <w:rPr>
          <w:rFonts w:ascii="Arial" w:cs="Arial" w:eastAsia="Arial" w:hAnsi="Arial"/>
          <w:sz w:val="12"/>
          <w:szCs w:val="12"/>
          <w:color w:val="auto"/>
        </w:rPr>
        <w:t xml:space="preserve"> (Topic 230). This FASB clarifies the presentation and classification of certain cash receipts and cash payments in the statements of cash flows. The amendments are effective for fiscal years and interim periods within those years beginning after December 15, 2017. We plan to adopt the guidance in the first quarter of fiscal year 2018 and we do not expect that the guidance will have a material impact on our consolidated statements of cash flows.</w:t>
      </w:r>
    </w:p>
    <w:p>
      <w:pPr>
        <w:spacing w:after="0" w:line="12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 xml:space="preserve">In November 2016, the FASB issued ASU 2016-18, </w:t>
      </w:r>
      <w:r>
        <w:rPr>
          <w:rFonts w:ascii="Arial" w:cs="Arial" w:eastAsia="Arial" w:hAnsi="Arial"/>
          <w:sz w:val="12"/>
          <w:szCs w:val="12"/>
          <w:i w:val="1"/>
          <w:iCs w:val="1"/>
          <w:color w:val="auto"/>
        </w:rPr>
        <w:t>"Statement of Cash Flows - Restricted Cash,"</w:t>
      </w:r>
      <w:r>
        <w:rPr>
          <w:rFonts w:ascii="Arial" w:cs="Arial" w:eastAsia="Arial" w:hAnsi="Arial"/>
          <w:sz w:val="12"/>
          <w:szCs w:val="12"/>
          <w:color w:val="auto"/>
        </w:rPr>
        <w:t xml:space="preserve"> </w:t>
      </w:r>
      <w:r>
        <w:rPr>
          <w:rFonts w:ascii="Arial" w:cs="Arial" w:eastAsia="Arial" w:hAnsi="Arial"/>
          <w:sz w:val="12"/>
          <w:szCs w:val="12"/>
          <w:color w:val="252525"/>
        </w:rPr>
        <w:t>which provides guidance to address the classification and presentation of changes in restricted cash in the statements of cash flows</w:t>
      </w:r>
      <w:r>
        <w:rPr>
          <w:rFonts w:ascii="Arial" w:cs="Arial" w:eastAsia="Arial" w:hAnsi="Arial"/>
          <w:sz w:val="12"/>
          <w:szCs w:val="12"/>
          <w:color w:val="auto"/>
        </w:rPr>
        <w:t>. The amendments are effective for fiscal years and interim periods within those years beginning after December 15, 2017 on a retrospective basis. We plan to adopt the guidance in the first quarter of fiscal year 2018 and we do not expect that the guidance will have a material impact on our consolidated statements of cash flows.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437" w:right="199" w:bottom="1440" w:gutter="0" w:footer="0" w:header="0"/>
        </w:sectPr>
      </w:pPr>
    </w:p>
    <w:bookmarkStart w:id="72" w:name="page73"/>
    <w:bookmarkEnd w:id="72"/>
    <w:p>
      <w:pPr>
        <w:jc w:val="both"/>
        <w:ind w:firstLine="270"/>
        <w:spacing w:after="0" w:line="298" w:lineRule="auto"/>
        <w:rPr>
          <w:sz w:val="20"/>
          <w:szCs w:val="20"/>
          <w:color w:val="auto"/>
        </w:rPr>
      </w:pPr>
      <w:r>
        <w:rPr>
          <w:rFonts w:ascii="Arial" w:cs="Arial" w:eastAsia="Arial" w:hAnsi="Arial"/>
          <w:sz w:val="11"/>
          <w:szCs w:val="11"/>
          <w:color w:val="auto"/>
        </w:rPr>
        <w:t xml:space="preserve">In January 2017, the FASB issued ASU 2017-04, </w:t>
      </w:r>
      <w:r>
        <w:rPr>
          <w:rFonts w:ascii="Arial" w:cs="Arial" w:eastAsia="Arial" w:hAnsi="Arial"/>
          <w:sz w:val="11"/>
          <w:szCs w:val="11"/>
          <w:i w:val="1"/>
          <w:iCs w:val="1"/>
          <w:color w:val="auto"/>
        </w:rPr>
        <w:t>“Intangibles—Goodwill and Other (Topic 350): Simplifying the Test for Goodwill Impairment,"</w:t>
      </w:r>
      <w:r>
        <w:rPr>
          <w:rFonts w:ascii="Arial" w:cs="Arial" w:eastAsia="Arial" w:hAnsi="Arial"/>
          <w:sz w:val="11"/>
          <w:szCs w:val="11"/>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0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252525"/>
        </w:rPr>
        <w:t>In May 2017, the FASB issued ASU 2017-09, "</w:t>
      </w:r>
      <w:r>
        <w:rPr>
          <w:rFonts w:ascii="Arial" w:cs="Arial" w:eastAsia="Arial" w:hAnsi="Arial"/>
          <w:sz w:val="12"/>
          <w:szCs w:val="12"/>
          <w:i w:val="1"/>
          <w:iCs w:val="1"/>
          <w:color w:val="252525"/>
        </w:rPr>
        <w:t>Compensation</w:t>
      </w:r>
      <w:r>
        <w:rPr>
          <w:rFonts w:ascii="Arial" w:cs="Arial" w:eastAsia="Arial" w:hAnsi="Arial"/>
          <w:sz w:val="12"/>
          <w:szCs w:val="12"/>
          <w:i w:val="1"/>
          <w:iCs w:val="1"/>
          <w:color w:val="000000"/>
        </w:rPr>
        <w:t>—</w:t>
      </w:r>
      <w:r>
        <w:rPr>
          <w:rFonts w:ascii="Arial" w:cs="Arial" w:eastAsia="Arial" w:hAnsi="Arial"/>
          <w:sz w:val="12"/>
          <w:szCs w:val="12"/>
          <w:i w:val="1"/>
          <w:iCs w:val="1"/>
          <w:color w:val="252525"/>
        </w:rPr>
        <w:t>Stock Compensation (Topic 718): Scope of Modification Accounting,"</w:t>
      </w:r>
      <w:r>
        <w:rPr>
          <w:rFonts w:ascii="Arial" w:cs="Arial" w:eastAsia="Arial" w:hAnsi="Arial"/>
          <w:sz w:val="12"/>
          <w:szCs w:val="12"/>
          <w:color w:val="252525"/>
        </w:rPr>
        <w:t xml:space="preserve"> to clarify when to account for a change to the terms or conditions of a share-based payment award as a modification. </w:t>
      </w:r>
      <w:r>
        <w:rPr>
          <w:rFonts w:ascii="Arial" w:cs="Arial" w:eastAsia="Arial" w:hAnsi="Arial"/>
          <w:sz w:val="12"/>
          <w:szCs w:val="12"/>
          <w:color w:val="000000"/>
        </w:rPr>
        <w:t>The amendments are effective for fiscal years and interim periods within those years beginning after December 15, 2017 on a prospective basis. We are plan to adopt the guidance in the first quarter of fiscal year 2018 and</w:t>
      </w:r>
      <w:r>
        <w:rPr>
          <w:rFonts w:ascii="Arial" w:cs="Arial" w:eastAsia="Arial" w:hAnsi="Arial"/>
          <w:sz w:val="12"/>
          <w:szCs w:val="12"/>
          <w:color w:val="252525"/>
        </w:rPr>
        <w:t xml:space="preserve"> </w:t>
      </w:r>
      <w:r>
        <w:rPr>
          <w:rFonts w:ascii="Arial" w:cs="Arial" w:eastAsia="Arial" w:hAnsi="Arial"/>
          <w:sz w:val="12"/>
          <w:szCs w:val="12"/>
          <w:color w:val="000000"/>
        </w:rPr>
        <w:t>we do not expect that the guidance will have a material impact on our consolidated financial statements and related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Marketable Securities and Fair Value Measurements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and 2016, the estimated fair value of our short-term and long-term marketable securities, classified as available for sale, is as follows (in thousands):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Short-term</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left="287"/>
              <w:spacing w:after="0"/>
              <w:rPr>
                <w:sz w:val="20"/>
                <w:szCs w:val="20"/>
                <w:color w:val="auto"/>
              </w:rPr>
            </w:pPr>
            <w:r>
              <w:rPr>
                <w:rFonts w:ascii="Arial" w:cs="Arial" w:eastAsia="Arial" w:hAnsi="Arial"/>
                <w:sz w:val="10"/>
                <w:szCs w:val="10"/>
                <w:b w:val="1"/>
                <w:bCs w:val="1"/>
                <w:color w:val="auto"/>
                <w:w w:val="82"/>
              </w:rPr>
              <w:t>Gross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left="327"/>
              <w:spacing w:after="0"/>
              <w:rPr>
                <w:sz w:val="20"/>
                <w:szCs w:val="20"/>
                <w:color w:val="auto"/>
              </w:rPr>
            </w:pPr>
            <w:r>
              <w:rPr>
                <w:rFonts w:ascii="Arial" w:cs="Arial" w:eastAsia="Arial" w:hAnsi="Arial"/>
                <w:sz w:val="10"/>
                <w:szCs w:val="10"/>
                <w:b w:val="1"/>
                <w:bCs w:val="1"/>
                <w:color w:val="auto"/>
                <w:w w:val="82"/>
              </w:rPr>
              <w:t>Gross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99"/>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940" w:type="dxa"/>
            <w:vAlign w:val="bottom"/>
          </w:tcPr>
          <w:p>
            <w:pPr>
              <w:jc w:val="center"/>
              <w:ind w:left="267"/>
              <w:spacing w:after="0" w:line="99" w:lineRule="exact"/>
              <w:rPr>
                <w:sz w:val="20"/>
                <w:szCs w:val="20"/>
                <w:color w:val="auto"/>
              </w:rPr>
            </w:pPr>
            <w:r>
              <w:rPr>
                <w:rFonts w:ascii="Arial" w:cs="Arial" w:eastAsia="Arial" w:hAnsi="Arial"/>
                <w:sz w:val="10"/>
                <w:szCs w:val="10"/>
                <w:b w:val="1"/>
                <w:bCs w:val="1"/>
                <w:color w:val="auto"/>
                <w:w w:val="90"/>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327"/>
              <w:spacing w:after="0" w:line="99"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0"/>
                <w:szCs w:val="10"/>
                <w:b w:val="1"/>
                <w:bCs w:val="1"/>
                <w:color w:val="auto"/>
                <w:w w:val="86"/>
              </w:rPr>
              <w:t>Gains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Commercial paper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58,503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58,502</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Corporate bonds</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145,728</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(174)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145,557</w:t>
            </w: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agency bonds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3,013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3,006</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U.S. government treasury bonds</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60,650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60,580</w:t>
            </w:r>
          </w:p>
        </w:tc>
      </w:tr>
      <w:tr>
        <w:trPr>
          <w:trHeight w:val="18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Certificates of deposit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4,386</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4,386</w:t>
            </w:r>
          </w:p>
        </w:tc>
      </w:tr>
      <w:tr>
        <w:trPr>
          <w:trHeight w:val="185"/>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marketable securities, short-term</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272,280</w:t>
            </w:r>
          </w:p>
        </w:tc>
        <w:tc>
          <w:tcPr>
            <w:tcW w:w="1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(252)</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272,031</w:t>
            </w:r>
          </w:p>
        </w:tc>
      </w:tr>
      <w:tr>
        <w:trPr>
          <w:trHeight w:val="306"/>
        </w:trPr>
        <w:tc>
          <w:tcPr>
            <w:tcW w:w="6080" w:type="dxa"/>
            <w:vAlign w:val="bottom"/>
            <w:gridSpan w:val="2"/>
          </w:tcPr>
          <w:p>
            <w:pPr>
              <w:ind w:left="280"/>
              <w:spacing w:after="0"/>
              <w:rPr>
                <w:sz w:val="20"/>
                <w:szCs w:val="20"/>
                <w:color w:val="auto"/>
              </w:rPr>
            </w:pPr>
            <w:r>
              <w:rPr>
                <w:rFonts w:ascii="Arial" w:cs="Arial" w:eastAsia="Arial" w:hAnsi="Arial"/>
                <w:sz w:val="12"/>
                <w:szCs w:val="12"/>
                <w:i w:val="1"/>
                <w:iCs w:val="1"/>
                <w:color w:val="auto"/>
              </w:rPr>
              <w:t>Long-term</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left="287"/>
              <w:spacing w:after="0"/>
              <w:rPr>
                <w:sz w:val="20"/>
                <w:szCs w:val="20"/>
                <w:color w:val="auto"/>
              </w:rPr>
            </w:pPr>
            <w:r>
              <w:rPr>
                <w:rFonts w:ascii="Arial" w:cs="Arial" w:eastAsia="Arial" w:hAnsi="Arial"/>
                <w:sz w:val="10"/>
                <w:szCs w:val="10"/>
                <w:b w:val="1"/>
                <w:bCs w:val="1"/>
                <w:color w:val="auto"/>
                <w:w w:val="82"/>
              </w:rPr>
              <w:t>Gross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left="327"/>
              <w:spacing w:after="0"/>
              <w:rPr>
                <w:sz w:val="20"/>
                <w:szCs w:val="20"/>
                <w:color w:val="auto"/>
              </w:rPr>
            </w:pPr>
            <w:r>
              <w:rPr>
                <w:rFonts w:ascii="Arial" w:cs="Arial" w:eastAsia="Arial" w:hAnsi="Arial"/>
                <w:sz w:val="10"/>
                <w:szCs w:val="10"/>
                <w:b w:val="1"/>
                <w:bCs w:val="1"/>
                <w:color w:val="auto"/>
                <w:w w:val="82"/>
              </w:rPr>
              <w:t>Gross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9"/>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940" w:type="dxa"/>
            <w:vAlign w:val="bottom"/>
          </w:tcPr>
          <w:p>
            <w:pPr>
              <w:jc w:val="center"/>
              <w:ind w:left="267"/>
              <w:spacing w:after="0" w:line="99" w:lineRule="exact"/>
              <w:rPr>
                <w:sz w:val="20"/>
                <w:szCs w:val="20"/>
                <w:color w:val="auto"/>
              </w:rPr>
            </w:pPr>
            <w:r>
              <w:rPr>
                <w:rFonts w:ascii="Arial" w:cs="Arial" w:eastAsia="Arial" w:hAnsi="Arial"/>
                <w:sz w:val="10"/>
                <w:szCs w:val="10"/>
                <w:b w:val="1"/>
                <w:bCs w:val="1"/>
                <w:color w:val="auto"/>
                <w:w w:val="90"/>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327"/>
              <w:spacing w:after="0" w:line="99"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2017</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0"/>
                <w:szCs w:val="10"/>
                <w:b w:val="1"/>
                <w:bCs w:val="1"/>
                <w:color w:val="auto"/>
                <w:w w:val="86"/>
              </w:rPr>
              <w:t>Gains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agency bonds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15,023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14,955</w:t>
            </w:r>
          </w:p>
        </w:tc>
      </w:tr>
      <w:tr>
        <w:trPr>
          <w:trHeight w:val="171"/>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Corporate bonds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25,067</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24,993</w:t>
            </w:r>
          </w:p>
        </w:tc>
      </w:tr>
      <w:tr>
        <w:trPr>
          <w:trHeight w:val="189"/>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marketable securities, long-term</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40,090</w:t>
            </w: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(144)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39,948</w:t>
            </w:r>
          </w:p>
        </w:tc>
      </w:tr>
      <w:tr>
        <w:trPr>
          <w:trHeight w:val="302"/>
        </w:trPr>
        <w:tc>
          <w:tcPr>
            <w:tcW w:w="6080" w:type="dxa"/>
            <w:vAlign w:val="bottom"/>
            <w:gridSpan w:val="2"/>
          </w:tcPr>
          <w:p>
            <w:pPr>
              <w:ind w:left="280"/>
              <w:spacing w:after="0"/>
              <w:rPr>
                <w:sz w:val="20"/>
                <w:szCs w:val="20"/>
                <w:color w:val="auto"/>
              </w:rPr>
            </w:pPr>
            <w:r>
              <w:rPr>
                <w:rFonts w:ascii="Arial" w:cs="Arial" w:eastAsia="Arial" w:hAnsi="Arial"/>
                <w:sz w:val="12"/>
                <w:szCs w:val="12"/>
                <w:i w:val="1"/>
                <w:iCs w:val="1"/>
                <w:color w:val="auto"/>
              </w:rPr>
              <w:t>Short-term</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287"/>
              <w:spacing w:after="0"/>
              <w:rPr>
                <w:sz w:val="20"/>
                <w:szCs w:val="20"/>
                <w:color w:val="auto"/>
              </w:rPr>
            </w:pPr>
            <w:r>
              <w:rPr>
                <w:rFonts w:ascii="Arial" w:cs="Arial" w:eastAsia="Arial" w:hAnsi="Arial"/>
                <w:sz w:val="10"/>
                <w:szCs w:val="10"/>
                <w:b w:val="1"/>
                <w:bCs w:val="1"/>
                <w:color w:val="auto"/>
                <w:w w:val="82"/>
              </w:rPr>
              <w:t>Gross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327"/>
              <w:spacing w:after="0"/>
              <w:rPr>
                <w:sz w:val="20"/>
                <w:szCs w:val="20"/>
                <w:color w:val="auto"/>
              </w:rPr>
            </w:pPr>
            <w:r>
              <w:rPr>
                <w:rFonts w:ascii="Arial" w:cs="Arial" w:eastAsia="Arial" w:hAnsi="Arial"/>
                <w:sz w:val="10"/>
                <w:szCs w:val="10"/>
                <w:b w:val="1"/>
                <w:bCs w:val="1"/>
                <w:color w:val="auto"/>
                <w:w w:val="82"/>
              </w:rPr>
              <w:t>Gross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99"/>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9"/>
              </w:rPr>
              <w:t>Amortized</w:t>
            </w:r>
          </w:p>
        </w:tc>
        <w:tc>
          <w:tcPr>
            <w:tcW w:w="940" w:type="dxa"/>
            <w:vAlign w:val="bottom"/>
          </w:tcPr>
          <w:p>
            <w:pPr>
              <w:jc w:val="center"/>
              <w:ind w:left="267"/>
              <w:spacing w:after="0" w:line="99" w:lineRule="exact"/>
              <w:rPr>
                <w:sz w:val="20"/>
                <w:szCs w:val="20"/>
                <w:color w:val="auto"/>
              </w:rPr>
            </w:pPr>
            <w:r>
              <w:rPr>
                <w:rFonts w:ascii="Arial" w:cs="Arial" w:eastAsia="Arial" w:hAnsi="Arial"/>
                <w:sz w:val="10"/>
                <w:szCs w:val="10"/>
                <w:b w:val="1"/>
                <w:bCs w:val="1"/>
                <w:color w:val="auto"/>
                <w:w w:val="90"/>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327"/>
              <w:spacing w:after="0" w:line="99"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2016</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0"/>
              </w:rPr>
              <w:t>Cost</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0"/>
                <w:szCs w:val="10"/>
                <w:b w:val="1"/>
                <w:bCs w:val="1"/>
                <w:color w:val="auto"/>
                <w:w w:val="86"/>
              </w:rPr>
              <w:t>Gains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Commercial paper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42,397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42,391</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Corporate bonds</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122,788</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122,689</w:t>
            </w: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Municipal securities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5,852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5,847</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U.S. government agency bonds</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28,903</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28,908</w:t>
            </w: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treasury bonds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45,146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45,146</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Certificates of deposit</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6,000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6,000</w:t>
            </w:r>
          </w:p>
        </w:tc>
      </w:tr>
      <w:tr>
        <w:trPr>
          <w:trHeight w:val="185"/>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marketable securities, short-term</w:t>
            </w: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251,086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250,981</w:t>
            </w:r>
          </w:p>
        </w:tc>
      </w:tr>
    </w:tbl>
    <w:p>
      <w:pPr>
        <w:spacing w:after="0" w:line="15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Long-term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0"/>
          </w:cols>
          <w:pgMar w:left="220" w:top="437" w:right="1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left="287"/>
              <w:spacing w:after="0"/>
              <w:rPr>
                <w:sz w:val="20"/>
                <w:szCs w:val="20"/>
                <w:color w:val="auto"/>
              </w:rPr>
            </w:pPr>
            <w:r>
              <w:rPr>
                <w:rFonts w:ascii="Arial" w:cs="Arial" w:eastAsia="Arial" w:hAnsi="Arial"/>
                <w:sz w:val="10"/>
                <w:szCs w:val="10"/>
                <w:b w:val="1"/>
                <w:bCs w:val="1"/>
                <w:color w:val="auto"/>
                <w:w w:val="82"/>
              </w:rPr>
              <w:t>Gross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left="327"/>
              <w:spacing w:after="0"/>
              <w:rPr>
                <w:sz w:val="20"/>
                <w:szCs w:val="20"/>
                <w:color w:val="auto"/>
              </w:rPr>
            </w:pPr>
            <w:r>
              <w:rPr>
                <w:rFonts w:ascii="Arial" w:cs="Arial" w:eastAsia="Arial" w:hAnsi="Arial"/>
                <w:sz w:val="10"/>
                <w:szCs w:val="10"/>
                <w:b w:val="1"/>
                <w:bCs w:val="1"/>
                <w:color w:val="auto"/>
                <w:w w:val="82"/>
              </w:rPr>
              <w:t>Gross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99"/>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ind w:left="160"/>
              <w:spacing w:after="0" w:line="99" w:lineRule="exact"/>
              <w:rPr>
                <w:sz w:val="20"/>
                <w:szCs w:val="20"/>
                <w:color w:val="auto"/>
              </w:rPr>
            </w:pPr>
            <w:r>
              <w:rPr>
                <w:rFonts w:ascii="Arial" w:cs="Arial" w:eastAsia="Arial" w:hAnsi="Arial"/>
                <w:sz w:val="10"/>
                <w:szCs w:val="10"/>
                <w:b w:val="1"/>
                <w:bCs w:val="1"/>
                <w:color w:val="auto"/>
              </w:rPr>
              <w:t>Amortized</w:t>
            </w:r>
          </w:p>
        </w:tc>
        <w:tc>
          <w:tcPr>
            <w:tcW w:w="940" w:type="dxa"/>
            <w:vAlign w:val="bottom"/>
          </w:tcPr>
          <w:p>
            <w:pPr>
              <w:jc w:val="center"/>
              <w:ind w:left="267"/>
              <w:spacing w:after="0" w:line="99" w:lineRule="exact"/>
              <w:rPr>
                <w:sz w:val="20"/>
                <w:szCs w:val="20"/>
                <w:color w:val="auto"/>
              </w:rPr>
            </w:pPr>
            <w:r>
              <w:rPr>
                <w:rFonts w:ascii="Arial" w:cs="Arial" w:eastAsia="Arial" w:hAnsi="Arial"/>
                <w:sz w:val="10"/>
                <w:szCs w:val="10"/>
                <w:b w:val="1"/>
                <w:bCs w:val="1"/>
                <w:color w:val="auto"/>
                <w:w w:val="90"/>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jc w:val="center"/>
              <w:ind w:left="327"/>
              <w:spacing w:after="0" w:line="99" w:lineRule="exact"/>
              <w:rPr>
                <w:sz w:val="20"/>
                <w:szCs w:val="20"/>
                <w:color w:val="auto"/>
              </w:rPr>
            </w:pPr>
            <w:r>
              <w:rPr>
                <w:rFonts w:ascii="Arial" w:cs="Arial" w:eastAsia="Arial" w:hAnsi="Arial"/>
                <w:sz w:val="10"/>
                <w:szCs w:val="10"/>
                <w:b w:val="1"/>
                <w:bCs w:val="1"/>
                <w:color w:val="auto"/>
                <w:w w:val="86"/>
              </w:rPr>
              <w:t>Unrealized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2016</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Cost</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287"/>
              <w:spacing w:after="0"/>
              <w:rPr>
                <w:sz w:val="20"/>
                <w:szCs w:val="20"/>
                <w:color w:val="auto"/>
              </w:rPr>
            </w:pPr>
            <w:r>
              <w:rPr>
                <w:rFonts w:ascii="Arial" w:cs="Arial" w:eastAsia="Arial" w:hAnsi="Arial"/>
                <w:sz w:val="10"/>
                <w:szCs w:val="10"/>
                <w:b w:val="1"/>
                <w:bCs w:val="1"/>
                <w:color w:val="auto"/>
                <w:w w:val="86"/>
              </w:rPr>
              <w:t>Gains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ind w:left="307"/>
              <w:spacing w:after="0"/>
              <w:rPr>
                <w:sz w:val="20"/>
                <w:szCs w:val="20"/>
                <w:color w:val="auto"/>
              </w:rPr>
            </w:pPr>
            <w:r>
              <w:rPr>
                <w:rFonts w:ascii="Arial" w:cs="Arial" w:eastAsia="Arial" w:hAnsi="Arial"/>
                <w:sz w:val="10"/>
                <w:szCs w:val="10"/>
                <w:b w:val="1"/>
                <w:bCs w:val="1"/>
                <w:color w:val="auto"/>
                <w:w w:val="75"/>
              </w:rPr>
              <w:t>Losses</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agency bonds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6,805</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6,789</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Corporate bonds</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40,889</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40,812</w:t>
            </w:r>
          </w:p>
        </w:tc>
      </w:tr>
      <w:tr>
        <w:trPr>
          <w:trHeight w:val="18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government treasury bonds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12,016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12,005</w:t>
            </w:r>
          </w:p>
        </w:tc>
      </w:tr>
      <w:tr>
        <w:trPr>
          <w:trHeight w:val="17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Asset-backed securities</w:t>
            </w: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177</w:t>
            </w:r>
          </w:p>
        </w:tc>
      </w:tr>
      <w:tr>
        <w:trPr>
          <w:trHeight w:val="185"/>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marketable securities, long-term</w:t>
            </w: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59,887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67"/>
              <w:spacing w:after="0"/>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59,783</w:t>
            </w:r>
          </w:p>
        </w:tc>
      </w:tr>
    </w:tbl>
    <w:p>
      <w:pPr>
        <w:spacing w:after="0" w:line="135" w:lineRule="exact"/>
        <w:rPr>
          <w:sz w:val="20"/>
          <w:szCs w:val="20"/>
          <w:color w:val="auto"/>
        </w:rPr>
      </w:pPr>
    </w:p>
    <w:p>
      <w:pPr>
        <w:jc w:val="both"/>
        <w:ind w:firstLine="308"/>
        <w:spacing w:after="0" w:line="263" w:lineRule="auto"/>
        <w:rPr>
          <w:sz w:val="20"/>
          <w:szCs w:val="20"/>
          <w:color w:val="auto"/>
        </w:rPr>
      </w:pPr>
      <w:r>
        <w:rPr>
          <w:rFonts w:ascii="Arial" w:cs="Arial" w:eastAsia="Arial" w:hAnsi="Arial"/>
          <w:sz w:val="12"/>
          <w:szCs w:val="12"/>
          <w:color w:val="auto"/>
        </w:rPr>
        <w:t>Cash equivalents are not included in the tables above as the gross unrealized gains and losses are not material. We have no short-term or long-term investments that have been in a continuous material unrealized loss position for greater than twelve months as of December 31, 2017 and 2016. Amounts reclassified to earnings from accumulated other comprehensive income (loss), net related to unrealized gains or losses were not material in 2017 and 2016. For the year ended December 31, 2017 and 2016, realized gains or losses were not material.</w:t>
      </w:r>
    </w:p>
    <w:p>
      <w:pPr>
        <w:spacing w:after="0" w:line="12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Our fixed-income securities investment portfolio consists of commercial paper, corporate bonds, municipal securities, U.S. government agency bonds, U.S. government treasury bonds, certificates of deposit and asset-backed securities that have a maximum effective maturity of 40 months on any individual security.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6 months and 7 months as of December 31, 2017 and 2016, respectively.</w:t>
      </w:r>
    </w:p>
    <w:p>
      <w:pPr>
        <w:spacing w:after="0" w:line="126"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December 31, 2017 and 2016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69"/>
        </w:trPr>
        <w:tc>
          <w:tcPr>
            <w:tcW w:w="8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b w:val="1"/>
                <w:bCs w:val="1"/>
                <w:color w:val="auto"/>
              </w:rPr>
              <w:t>2017</w:t>
            </w:r>
          </w:p>
        </w:tc>
        <w:tc>
          <w:tcPr>
            <w:tcW w:w="6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0"/>
                <w:szCs w:val="10"/>
                <w:b w:val="1"/>
                <w:bCs w:val="1"/>
                <w:color w:val="auto"/>
              </w:rPr>
              <w:t>2016</w:t>
            </w:r>
          </w:p>
        </w:tc>
      </w:tr>
      <w:tr>
        <w:trPr>
          <w:trHeight w:val="164"/>
        </w:trPr>
        <w:tc>
          <w:tcPr>
            <w:tcW w:w="8100" w:type="dxa"/>
            <w:vAlign w:val="bottom"/>
          </w:tcPr>
          <w:p>
            <w:pPr>
              <w:ind w:left="20"/>
              <w:spacing w:after="0"/>
              <w:rPr>
                <w:sz w:val="20"/>
                <w:szCs w:val="20"/>
                <w:color w:val="auto"/>
              </w:rPr>
            </w:pPr>
            <w:r>
              <w:rPr>
                <w:rFonts w:ascii="Arial" w:cs="Arial" w:eastAsia="Arial" w:hAnsi="Arial"/>
                <w:sz w:val="12"/>
                <w:szCs w:val="12"/>
                <w:color w:val="auto"/>
              </w:rPr>
              <w:t>One year or less</w:t>
            </w:r>
          </w:p>
        </w:tc>
        <w:tc>
          <w:tcPr>
            <w:tcW w:w="1000" w:type="dxa"/>
            <w:vAlign w:val="bottom"/>
          </w:tcPr>
          <w:p>
            <w:pPr>
              <w:jc w:val="right"/>
              <w:ind w:right="864"/>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3"/>
              <w:spacing w:after="0"/>
              <w:rPr>
                <w:sz w:val="20"/>
                <w:szCs w:val="20"/>
                <w:color w:val="auto"/>
              </w:rPr>
            </w:pPr>
            <w:r>
              <w:rPr>
                <w:rFonts w:ascii="Arial" w:cs="Arial" w:eastAsia="Arial" w:hAnsi="Arial"/>
                <w:sz w:val="12"/>
                <w:szCs w:val="12"/>
                <w:color w:val="auto"/>
              </w:rPr>
              <w:t>272,031</w:t>
            </w:r>
          </w:p>
        </w:tc>
        <w:tc>
          <w:tcPr>
            <w:tcW w:w="10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250,981</w:t>
            </w:r>
          </w:p>
        </w:tc>
      </w:tr>
      <w:tr>
        <w:trPr>
          <w:trHeight w:val="180"/>
        </w:trPr>
        <w:tc>
          <w:tcPr>
            <w:tcW w:w="8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Due in greater than one year</w:t>
            </w: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39,948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59,783</w:t>
            </w:r>
          </w:p>
        </w:tc>
      </w:tr>
      <w:tr>
        <w:trPr>
          <w:trHeight w:val="185"/>
        </w:trPr>
        <w:tc>
          <w:tcPr>
            <w:tcW w:w="8100" w:type="dxa"/>
            <w:vAlign w:val="bottom"/>
          </w:tcPr>
          <w:p>
            <w:pPr>
              <w:ind w:left="20"/>
              <w:spacing w:after="0"/>
              <w:rPr>
                <w:sz w:val="20"/>
                <w:szCs w:val="20"/>
                <w:color w:val="auto"/>
              </w:rPr>
            </w:pPr>
            <w:r>
              <w:rPr>
                <w:rFonts w:ascii="Arial" w:cs="Arial" w:eastAsia="Arial" w:hAnsi="Arial"/>
                <w:sz w:val="12"/>
                <w:szCs w:val="12"/>
                <w:color w:val="auto"/>
              </w:rPr>
              <w:t>Total marketable securities</w:t>
            </w:r>
          </w:p>
        </w:tc>
        <w:tc>
          <w:tcPr>
            <w:tcW w:w="1000" w:type="dxa"/>
            <w:vAlign w:val="bottom"/>
            <w:tcBorders>
              <w:bottom w:val="single" w:sz="8" w:color="auto"/>
            </w:tcBorders>
          </w:tcPr>
          <w:p>
            <w:pPr>
              <w:jc w:val="right"/>
              <w:ind w:right="864"/>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311,979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310,764</w:t>
            </w:r>
          </w:p>
        </w:tc>
      </w:tr>
    </w:tbl>
    <w:p>
      <w:pPr>
        <w:spacing w:after="0" w:line="13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(unadjusted) prices in active markets for identical assets or liabilities.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Level 1 assets consist of money market funds and U.S. government treasury bonds. We did not hold any Level 1 liabilities as of December 31, 2017 and 2016.</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or liabilities in active markets, quoted prices for identical or similar assets or liabilities in markets that are not active,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inputs that are observable or can be corroborated by observable market data for substantially the full term of the asset or liability.</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Level 2 assets consist of commercial paper, corporate bonds, municipal securities, U.S. government agency and treasury bonds, certificates of deposit, asset-backed securities and our Israeli funds that are mainly invested in insurance policies. We obtain fair values for our Level 2 investments. Our custody bank and asset managers independently use professional pricing services to gather pricing data which may include quoted market prices for identical or comparable financial instruments, or inputs other than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80"/>
          </w:cols>
          <w:pgMar w:left="220" w:top="523" w:right="199" w:bottom="1440" w:gutter="0" w:footer="0" w:header="0"/>
        </w:sectPr>
      </w:pPr>
    </w:p>
    <w:bookmarkStart w:id="74" w:name="page75"/>
    <w:bookmarkEnd w:id="74"/>
    <w:p>
      <w:pPr>
        <w:ind w:left="8"/>
        <w:spacing w:after="0"/>
        <w:rPr>
          <w:sz w:val="20"/>
          <w:szCs w:val="20"/>
          <w:color w:val="auto"/>
        </w:rPr>
      </w:pPr>
      <w:r>
        <w:rPr>
          <w:rFonts w:ascii="Arial" w:cs="Arial" w:eastAsia="Arial" w:hAnsi="Arial"/>
          <w:sz w:val="12"/>
          <w:szCs w:val="12"/>
          <w:color w:val="auto"/>
        </w:rPr>
        <w:t>quoted prices that are observable either directly or indirectly, and we are ultimately responsible for these underlying estimates. We did not hold any Level 2 liabilities as of December 31, 2017 and 2016.</w:t>
      </w:r>
    </w:p>
    <w:p>
      <w:pPr>
        <w:spacing w:after="0" w:line="150"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to the valuation methodology that are supported by little or no market activity and that are significant to the measurement of the fair value of the assets or liabilities. Level 3 assets and liabilities include</w:t>
      </w:r>
      <w:r>
        <w:rPr>
          <w:rFonts w:ascii="Arial" w:cs="Arial" w:eastAsia="Arial" w:hAnsi="Arial"/>
          <w:sz w:val="12"/>
          <w:szCs w:val="12"/>
          <w:i w:val="1"/>
          <w:iCs w:val="1"/>
          <w:color w:val="auto"/>
        </w:rPr>
        <w:t xml:space="preserve"> </w:t>
      </w:r>
      <w:r>
        <w:rPr>
          <w:rFonts w:ascii="Arial" w:cs="Arial" w:eastAsia="Arial" w:hAnsi="Arial"/>
          <w:sz w:val="12"/>
          <w:szCs w:val="12"/>
          <w:color w:val="auto"/>
        </w:rPr>
        <w:t>those whose fair value measurements are determined using pricing models, discounted cash flow methodologies or similar valuation techniques, as well as significant management judgment or estimation. Certain investments in private companies contain embedded derivatives, which do not require bifurcation as we elected to measure these investments at fair value. Our Level 3 assets consist of notes receivable due on December 31, 2018. We did not hold any Level 3 liabilities as of December 31, 2017 and 2016.</w:t>
      </w:r>
    </w:p>
    <w:p>
      <w:pPr>
        <w:spacing w:after="0" w:line="12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summarizes the reconciliation of assets measured and recorded at fair value on a recurring basis using significant unobservable inputs Level 3 (in thousands):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92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Notes Receivable</w:t>
            </w:r>
          </w:p>
        </w:tc>
      </w:tr>
      <w:tr>
        <w:trPr>
          <w:trHeight w:val="173"/>
        </w:trPr>
        <w:tc>
          <w:tcPr>
            <w:tcW w:w="9260" w:type="dxa"/>
            <w:vAlign w:val="bottom"/>
            <w:shd w:val="clear" w:color="auto" w:fill="CCEEFF"/>
          </w:tcPr>
          <w:p>
            <w:pPr>
              <w:ind w:left="20"/>
              <w:spacing w:after="0" w:line="173" w:lineRule="exact"/>
              <w:rPr>
                <w:sz w:val="20"/>
                <w:szCs w:val="20"/>
                <w:color w:val="auto"/>
              </w:rPr>
            </w:pPr>
            <w:r>
              <w:rPr>
                <w:rFonts w:ascii="Arial" w:cs="Arial" w:eastAsia="Arial" w:hAnsi="Arial"/>
                <w:sz w:val="12"/>
                <w:szCs w:val="12"/>
                <w:color w:val="auto"/>
              </w:rPr>
              <w:t xml:space="preserve">Balance as of December 31, 2016 </w:t>
            </w:r>
            <w:r>
              <w:rPr>
                <w:rFonts w:ascii="Arial" w:cs="Arial" w:eastAsia="Arial" w:hAnsi="Arial"/>
                <w:sz w:val="16"/>
                <w:szCs w:val="16"/>
                <w:color w:val="auto"/>
                <w:vertAlign w:val="superscript"/>
              </w:rPr>
              <w:t>(1)</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2,047</w:t>
            </w:r>
          </w:p>
        </w:tc>
      </w:tr>
      <w:tr>
        <w:trPr>
          <w:trHeight w:val="171"/>
        </w:trPr>
        <w:tc>
          <w:tcPr>
            <w:tcW w:w="9260" w:type="dxa"/>
            <w:vAlign w:val="bottom"/>
          </w:tcPr>
          <w:p>
            <w:pPr>
              <w:ind w:left="20"/>
              <w:spacing w:after="0"/>
              <w:rPr>
                <w:sz w:val="20"/>
                <w:szCs w:val="20"/>
                <w:color w:val="auto"/>
              </w:rPr>
            </w:pPr>
            <w:r>
              <w:rPr>
                <w:rFonts w:ascii="Arial" w:cs="Arial" w:eastAsia="Arial" w:hAnsi="Arial"/>
                <w:sz w:val="12"/>
                <w:szCs w:val="12"/>
                <w:color w:val="auto"/>
              </w:rPr>
              <w:t>Additional notes receivable issued</w:t>
            </w:r>
          </w:p>
        </w:tc>
        <w:tc>
          <w:tcPr>
            <w:tcW w:w="400" w:type="dxa"/>
            <w:vAlign w:val="bottom"/>
          </w:tcPr>
          <w:p>
            <w:pPr>
              <w:spacing w:after="0"/>
              <w:rPr>
                <w:sz w:val="14"/>
                <w:szCs w:val="14"/>
                <w:color w:val="auto"/>
              </w:rPr>
            </w:pPr>
          </w:p>
        </w:tc>
        <w:tc>
          <w:tcPr>
            <w:tcW w:w="1780" w:type="dxa"/>
            <w:vAlign w:val="bottom"/>
          </w:tcPr>
          <w:p>
            <w:pPr>
              <w:jc w:val="right"/>
              <w:ind w:right="62"/>
              <w:spacing w:after="0"/>
              <w:rPr>
                <w:sz w:val="20"/>
                <w:szCs w:val="20"/>
                <w:color w:val="auto"/>
              </w:rPr>
            </w:pPr>
            <w:r>
              <w:rPr>
                <w:rFonts w:ascii="Arial" w:cs="Arial" w:eastAsia="Arial" w:hAnsi="Arial"/>
                <w:sz w:val="12"/>
                <w:szCs w:val="12"/>
                <w:color w:val="auto"/>
              </w:rPr>
              <w:t>2,000</w:t>
            </w:r>
          </w:p>
        </w:tc>
      </w:tr>
      <w:tr>
        <w:trPr>
          <w:trHeight w:val="189"/>
        </w:trPr>
        <w:tc>
          <w:tcPr>
            <w:tcW w:w="9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interest receivable</w:t>
            </w:r>
          </w:p>
        </w:tc>
        <w:tc>
          <w:tcPr>
            <w:tcW w:w="4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79</w:t>
            </w:r>
          </w:p>
        </w:tc>
      </w:tr>
      <w:tr>
        <w:trPr>
          <w:trHeight w:val="171"/>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Change in fair value recognized in earnings</w:t>
            </w: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350</w:t>
            </w:r>
          </w:p>
        </w:tc>
      </w:tr>
      <w:tr>
        <w:trPr>
          <w:trHeight w:val="178"/>
        </w:trPr>
        <w:tc>
          <w:tcPr>
            <w:tcW w:w="926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2"/>
                <w:szCs w:val="12"/>
                <w:color w:val="auto"/>
              </w:rPr>
              <w:t xml:space="preserve">Balance as of December 31, 2017 </w:t>
            </w:r>
            <w:r>
              <w:rPr>
                <w:rFonts w:ascii="Arial" w:cs="Arial" w:eastAsia="Arial" w:hAnsi="Arial"/>
                <w:sz w:val="16"/>
                <w:szCs w:val="16"/>
                <w:color w:val="auto"/>
                <w:vertAlign w:val="superscript"/>
              </w:rPr>
              <w:t>(1)</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5885180</wp:posOffset>
            </wp:positionH>
            <wp:positionV relativeFrom="paragraph">
              <wp:posOffset>5715</wp:posOffset>
            </wp:positionV>
            <wp:extent cx="13785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8585" cy="5715"/>
                    </a:xfrm>
                    <a:prstGeom prst="rect">
                      <a:avLst/>
                    </a:prstGeom>
                    <a:noFill/>
                  </pic:spPr>
                </pic:pic>
              </a:graphicData>
            </a:graphic>
          </wp:anchor>
        </w:drawing>
      </w:r>
    </w:p>
    <w:p>
      <w:pPr>
        <w:ind w:left="108" w:hanging="108"/>
        <w:spacing w:after="0"/>
        <w:tabs>
          <w:tab w:leader="none" w:pos="108" w:val="left"/>
        </w:tabs>
        <w:numPr>
          <w:ilvl w:val="0"/>
          <w:numId w:val="42"/>
        </w:numPr>
        <w:rPr>
          <w:rFonts w:ascii="Arial" w:cs="Arial" w:eastAsia="Arial" w:hAnsi="Arial"/>
          <w:sz w:val="13"/>
          <w:szCs w:val="13"/>
          <w:color w:val="auto"/>
          <w:vertAlign w:val="superscript"/>
        </w:rPr>
      </w:pPr>
      <w:r>
        <w:rPr>
          <w:rFonts w:ascii="Arial" w:cs="Arial" w:eastAsia="Arial" w:hAnsi="Arial"/>
          <w:sz w:val="10"/>
          <w:szCs w:val="10"/>
          <w:color w:val="auto"/>
        </w:rPr>
        <w:t>Balance was reclassified from Long-term notes receivable to Short-term notes receivable as of December 31, 2017</w:t>
      </w:r>
    </w:p>
    <w:p>
      <w:pPr>
        <w:spacing w:after="0" w:line="130"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 xml:space="preserve">Refer to Note 9 "Commitments and Contingencies" of the Notes to Consolidated Financial Statements </w:t>
      </w:r>
      <w:r>
        <w:rPr>
          <w:rFonts w:ascii="Arial" w:cs="Arial" w:eastAsia="Arial" w:hAnsi="Arial"/>
          <w:sz w:val="12"/>
          <w:szCs w:val="12"/>
          <w:color w:val="auto"/>
        </w:rPr>
        <w:t>for more information on our investment with a privately held company.</w:t>
      </w:r>
    </w:p>
    <w:p>
      <w:pPr>
        <w:spacing w:after="0" w:line="15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tables summarize our financial assets measured at fair value on a recurring basis as of December 31, 2017 and 2016 (in thousands):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5"/>
              </w:rPr>
              <w:t>Quoted Prices in</w:t>
            </w:r>
          </w:p>
        </w:tc>
        <w:tc>
          <w:tcPr>
            <w:tcW w:w="3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Active Markets for</w:t>
            </w:r>
          </w:p>
        </w:tc>
        <w:tc>
          <w:tcPr>
            <w:tcW w:w="300" w:type="dxa"/>
            <w:vAlign w:val="bottom"/>
          </w:tcPr>
          <w:p>
            <w:pPr>
              <w:spacing w:after="0"/>
              <w:rPr>
                <w:sz w:val="8"/>
                <w:szCs w:val="8"/>
                <w:color w:val="auto"/>
              </w:rPr>
            </w:pPr>
          </w:p>
        </w:tc>
        <w:tc>
          <w:tcPr>
            <w:tcW w:w="16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Significant Other</w:t>
            </w:r>
          </w:p>
        </w:tc>
        <w:tc>
          <w:tcPr>
            <w:tcW w:w="300" w:type="dxa"/>
            <w:vAlign w:val="bottom"/>
          </w:tcPr>
          <w:p>
            <w:pPr>
              <w:spacing w:after="0"/>
              <w:rPr>
                <w:sz w:val="8"/>
                <w:szCs w:val="8"/>
                <w:color w:val="auto"/>
              </w:rPr>
            </w:pPr>
          </w:p>
        </w:tc>
        <w:tc>
          <w:tcPr>
            <w:tcW w:w="1520" w:type="dxa"/>
            <w:vAlign w:val="bottom"/>
          </w:tcPr>
          <w:p>
            <w:pPr>
              <w:jc w:val="center"/>
              <w:ind w:right="242"/>
              <w:spacing w:after="0" w:line="99" w:lineRule="exact"/>
              <w:rPr>
                <w:sz w:val="20"/>
                <w:szCs w:val="20"/>
                <w:color w:val="auto"/>
              </w:rPr>
            </w:pPr>
            <w:r>
              <w:rPr>
                <w:rFonts w:ascii="Arial" w:cs="Arial" w:eastAsia="Arial" w:hAnsi="Arial"/>
                <w:sz w:val="10"/>
                <w:szCs w:val="10"/>
                <w:b w:val="1"/>
                <w:bCs w:val="1"/>
                <w:color w:val="auto"/>
                <w:w w:val="86"/>
              </w:rPr>
              <w:t>Significant Other</w:t>
            </w: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tcPr>
          <w:p>
            <w:pPr>
              <w:jc w:val="right"/>
              <w:ind w:right="602"/>
              <w:spacing w:after="0" w:line="99" w:lineRule="exact"/>
              <w:rPr>
                <w:sz w:val="20"/>
                <w:szCs w:val="20"/>
                <w:color w:val="auto"/>
              </w:rPr>
            </w:pPr>
            <w:r>
              <w:rPr>
                <w:rFonts w:ascii="Arial" w:cs="Arial" w:eastAsia="Arial" w:hAnsi="Arial"/>
                <w:sz w:val="10"/>
                <w:szCs w:val="10"/>
                <w:b w:val="1"/>
                <w:bCs w:val="1"/>
                <w:color w:val="auto"/>
              </w:rPr>
              <w:t>Balance as of</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3"/>
              </w:rPr>
              <w:t>Identical Assets</w:t>
            </w:r>
          </w:p>
        </w:tc>
        <w:tc>
          <w:tcPr>
            <w:tcW w:w="300" w:type="dxa"/>
            <w:vAlign w:val="bottom"/>
          </w:tcPr>
          <w:p>
            <w:pPr>
              <w:spacing w:after="0"/>
              <w:rPr>
                <w:sz w:val="8"/>
                <w:szCs w:val="8"/>
                <w:color w:val="auto"/>
              </w:rPr>
            </w:pPr>
          </w:p>
        </w:tc>
        <w:tc>
          <w:tcPr>
            <w:tcW w:w="16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300" w:type="dxa"/>
            <w:vAlign w:val="bottom"/>
          </w:tcPr>
          <w:p>
            <w:pPr>
              <w:spacing w:after="0"/>
              <w:rPr>
                <w:sz w:val="8"/>
                <w:szCs w:val="8"/>
                <w:color w:val="auto"/>
              </w:rPr>
            </w:pPr>
          </w:p>
        </w:tc>
        <w:tc>
          <w:tcPr>
            <w:tcW w:w="1520" w:type="dxa"/>
            <w:vAlign w:val="bottom"/>
          </w:tcPr>
          <w:p>
            <w:pPr>
              <w:jc w:val="center"/>
              <w:ind w:right="262"/>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0" w:type="dxa"/>
            <w:vAlign w:val="bottom"/>
          </w:tcPr>
          <w:p>
            <w:pPr>
              <w:spacing w:after="0"/>
              <w:rPr>
                <w:sz w:val="1"/>
                <w:szCs w:val="1"/>
                <w:color w:val="auto"/>
              </w:rPr>
            </w:pPr>
          </w:p>
        </w:tc>
      </w:tr>
      <w:tr>
        <w:trPr>
          <w:trHeight w:val="12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Description</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December 31, 2017</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8"/>
              </w:rPr>
              <w:t>(Level 1)</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222"/>
              <w:spacing w:after="0"/>
              <w:rPr>
                <w:sz w:val="20"/>
                <w:szCs w:val="20"/>
                <w:color w:val="auto"/>
              </w:rPr>
            </w:pPr>
            <w:r>
              <w:rPr>
                <w:rFonts w:ascii="Arial" w:cs="Arial" w:eastAsia="Arial" w:hAnsi="Arial"/>
                <w:sz w:val="10"/>
                <w:szCs w:val="10"/>
                <w:b w:val="1"/>
                <w:bCs w:val="1"/>
                <w:color w:val="auto"/>
                <w:w w:val="88"/>
              </w:rPr>
              <w:t>(Level 2)</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262"/>
              <w:spacing w:after="0"/>
              <w:rPr>
                <w:sz w:val="20"/>
                <w:szCs w:val="20"/>
                <w:color w:val="auto"/>
              </w:rPr>
            </w:pPr>
            <w:r>
              <w:rPr>
                <w:rFonts w:ascii="Arial" w:cs="Arial" w:eastAsia="Arial" w:hAnsi="Arial"/>
                <w:sz w:val="10"/>
                <w:szCs w:val="10"/>
                <w:b w:val="1"/>
                <w:bCs w:val="1"/>
                <w:color w:val="auto"/>
                <w:w w:val="88"/>
              </w:rPr>
              <w:t>(Level 3)</w:t>
            </w: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equivalents:</w:t>
            </w: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Money market funds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253,155</w:t>
            </w: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63"/>
              <w:spacing w:after="0"/>
              <w:rPr>
                <w:sz w:val="20"/>
                <w:szCs w:val="20"/>
                <w:color w:val="auto"/>
              </w:rPr>
            </w:pPr>
            <w:r>
              <w:rPr>
                <w:rFonts w:ascii="Arial" w:cs="Arial" w:eastAsia="Arial" w:hAnsi="Arial"/>
                <w:sz w:val="12"/>
                <w:szCs w:val="12"/>
                <w:color w:val="auto"/>
              </w:rPr>
              <w:t>253,155</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Commercial paper</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7,246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7,246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Corporate bonds</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Short-term investments: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Commercial paper</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58,502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58,502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bonds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145,557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145,557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U.S. government agency bonds</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3,006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3,006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treasury bonds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60,580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60,580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Certificates of deposit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4,386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4,386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Long-term investments: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U.S. government agency bonds</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14,955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14,955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bonds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24,993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24,993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0"/>
              <w:spacing w:after="0"/>
              <w:rPr>
                <w:sz w:val="20"/>
                <w:szCs w:val="20"/>
                <w:color w:val="auto"/>
              </w:rPr>
            </w:pPr>
            <w:r>
              <w:rPr>
                <w:rFonts w:ascii="Arial" w:cs="Arial" w:eastAsia="Arial" w:hAnsi="Arial"/>
                <w:sz w:val="12"/>
                <w:szCs w:val="12"/>
                <w:b w:val="1"/>
                <w:bCs w:val="1"/>
                <w:color w:val="auto"/>
              </w:rPr>
              <w:t>Prepaid expenses and other current assets:</w:t>
            </w: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Israeli funds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3,075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Short-term notes receivable</w:t>
            </w:r>
          </w:p>
        </w:tc>
        <w:tc>
          <w:tcPr>
            <w:tcW w:w="300" w:type="dxa"/>
            <w:vAlign w:val="bottom"/>
          </w:tcPr>
          <w:p>
            <w:pPr>
              <w:spacing w:after="0"/>
              <w:rPr>
                <w:sz w:val="14"/>
                <w:szCs w:val="14"/>
                <w:color w:val="auto"/>
              </w:rPr>
            </w:pPr>
          </w:p>
        </w:tc>
        <w:tc>
          <w:tcPr>
            <w:tcW w:w="1540" w:type="dxa"/>
            <w:vAlign w:val="bottom"/>
            <w:vMerge w:val="restart"/>
          </w:tcPr>
          <w:p>
            <w:pPr>
              <w:jc w:val="right"/>
              <w:ind w:right="62"/>
              <w:spacing w:after="0"/>
              <w:rPr>
                <w:sz w:val="20"/>
                <w:szCs w:val="20"/>
                <w:color w:val="auto"/>
              </w:rPr>
            </w:pPr>
            <w:r>
              <w:rPr>
                <w:rFonts w:ascii="Arial" w:cs="Arial" w:eastAsia="Arial" w:hAnsi="Arial"/>
                <w:sz w:val="12"/>
                <w:szCs w:val="12"/>
                <w:color w:val="auto"/>
              </w:rPr>
              <w:t>4,476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vMerge w:val="restart"/>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right"/>
              <w:ind w:right="62"/>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581,947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313,735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263,736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306"/>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75</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437" w:right="19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5"/>
              </w:rPr>
              <w:t>Quoted Prices in</w:t>
            </w: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99"/>
        </w:trPr>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Active Markets for</w:t>
            </w:r>
          </w:p>
        </w:tc>
        <w:tc>
          <w:tcPr>
            <w:tcW w:w="300" w:type="dxa"/>
            <w:vAlign w:val="bottom"/>
          </w:tcPr>
          <w:p>
            <w:pPr>
              <w:spacing w:after="0"/>
              <w:rPr>
                <w:sz w:val="8"/>
                <w:szCs w:val="8"/>
                <w:color w:val="auto"/>
              </w:rPr>
            </w:pPr>
          </w:p>
        </w:tc>
        <w:tc>
          <w:tcPr>
            <w:tcW w:w="1540" w:type="dxa"/>
            <w:vAlign w:val="bottom"/>
          </w:tcPr>
          <w:p>
            <w:pPr>
              <w:jc w:val="center"/>
              <w:ind w:right="242"/>
              <w:spacing w:after="0" w:line="99" w:lineRule="exact"/>
              <w:rPr>
                <w:sz w:val="20"/>
                <w:szCs w:val="20"/>
                <w:color w:val="auto"/>
              </w:rPr>
            </w:pPr>
            <w:r>
              <w:rPr>
                <w:rFonts w:ascii="Arial" w:cs="Arial" w:eastAsia="Arial" w:hAnsi="Arial"/>
                <w:sz w:val="10"/>
                <w:szCs w:val="10"/>
                <w:b w:val="1"/>
                <w:bCs w:val="1"/>
                <w:color w:val="auto"/>
                <w:w w:val="89"/>
              </w:rPr>
              <w:t>Significant Other</w:t>
            </w:r>
          </w:p>
        </w:tc>
        <w:tc>
          <w:tcPr>
            <w:tcW w:w="400" w:type="dxa"/>
            <w:vAlign w:val="bottom"/>
          </w:tcPr>
          <w:p>
            <w:pPr>
              <w:spacing w:after="0"/>
              <w:rPr>
                <w:sz w:val="8"/>
                <w:szCs w:val="8"/>
                <w:color w:val="auto"/>
              </w:rPr>
            </w:pPr>
          </w:p>
        </w:tc>
        <w:tc>
          <w:tcPr>
            <w:tcW w:w="1520" w:type="dxa"/>
            <w:vAlign w:val="bottom"/>
          </w:tcPr>
          <w:p>
            <w:pPr>
              <w:jc w:val="center"/>
              <w:ind w:right="242"/>
              <w:spacing w:after="0" w:line="99" w:lineRule="exact"/>
              <w:rPr>
                <w:sz w:val="20"/>
                <w:szCs w:val="20"/>
                <w:color w:val="auto"/>
              </w:rPr>
            </w:pPr>
            <w:r>
              <w:rPr>
                <w:rFonts w:ascii="Arial" w:cs="Arial" w:eastAsia="Arial" w:hAnsi="Arial"/>
                <w:sz w:val="10"/>
                <w:szCs w:val="10"/>
                <w:b w:val="1"/>
                <w:bCs w:val="1"/>
                <w:color w:val="auto"/>
                <w:w w:val="86"/>
              </w:rPr>
              <w:t>Significant Other</w:t>
            </w:r>
          </w:p>
        </w:tc>
      </w:tr>
      <w:tr>
        <w:trPr>
          <w:trHeight w:val="99"/>
        </w:trPr>
        <w:tc>
          <w:tcPr>
            <w:tcW w:w="3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jc w:val="right"/>
              <w:ind w:right="86"/>
              <w:spacing w:after="0" w:line="99" w:lineRule="exact"/>
              <w:rPr>
                <w:sz w:val="20"/>
                <w:szCs w:val="20"/>
                <w:color w:val="auto"/>
              </w:rPr>
            </w:pPr>
            <w:r>
              <w:rPr>
                <w:rFonts w:ascii="Arial" w:cs="Arial" w:eastAsia="Arial" w:hAnsi="Arial"/>
                <w:sz w:val="10"/>
                <w:szCs w:val="10"/>
                <w:b w:val="1"/>
                <w:bCs w:val="1"/>
                <w:color w:val="auto"/>
              </w:rPr>
              <w:t>Balance as of</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3"/>
              </w:rPr>
              <w:t>Identical Assets</w:t>
            </w:r>
          </w:p>
        </w:tc>
        <w:tc>
          <w:tcPr>
            <w:tcW w:w="300" w:type="dxa"/>
            <w:vAlign w:val="bottom"/>
          </w:tcPr>
          <w:p>
            <w:pPr>
              <w:spacing w:after="0"/>
              <w:rPr>
                <w:sz w:val="8"/>
                <w:szCs w:val="8"/>
                <w:color w:val="auto"/>
              </w:rPr>
            </w:pPr>
          </w:p>
        </w:tc>
        <w:tc>
          <w:tcPr>
            <w:tcW w:w="1540" w:type="dxa"/>
            <w:vAlign w:val="bottom"/>
          </w:tcPr>
          <w:p>
            <w:pPr>
              <w:jc w:val="center"/>
              <w:ind w:right="242"/>
              <w:spacing w:after="0" w:line="99"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8"/>
                <w:szCs w:val="8"/>
                <w:color w:val="auto"/>
              </w:rPr>
            </w:pPr>
          </w:p>
        </w:tc>
        <w:tc>
          <w:tcPr>
            <w:tcW w:w="1520" w:type="dxa"/>
            <w:vAlign w:val="bottom"/>
          </w:tcPr>
          <w:p>
            <w:pPr>
              <w:jc w:val="center"/>
              <w:ind w:right="262"/>
              <w:spacing w:after="0" w:line="99" w:lineRule="exact"/>
              <w:rPr>
                <w:sz w:val="20"/>
                <w:szCs w:val="20"/>
                <w:color w:val="auto"/>
              </w:rPr>
            </w:pPr>
            <w:r>
              <w:rPr>
                <w:rFonts w:ascii="Arial" w:cs="Arial" w:eastAsia="Arial" w:hAnsi="Arial"/>
                <w:sz w:val="10"/>
                <w:szCs w:val="10"/>
                <w:b w:val="1"/>
                <w:bCs w:val="1"/>
                <w:color w:val="auto"/>
                <w:w w:val="87"/>
              </w:rPr>
              <w:t>Observable Inputs</w:t>
            </w:r>
          </w:p>
        </w:tc>
      </w:tr>
      <w:tr>
        <w:trPr>
          <w:trHeight w:val="12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Description</w:t>
            </w:r>
          </w:p>
        </w:tc>
        <w:tc>
          <w:tcPr>
            <w:tcW w:w="1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2016</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88"/>
              </w:rPr>
              <w:t>(Level 1)</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242"/>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262"/>
              <w:spacing w:after="0"/>
              <w:rPr>
                <w:sz w:val="20"/>
                <w:szCs w:val="20"/>
                <w:color w:val="auto"/>
              </w:rPr>
            </w:pPr>
            <w:r>
              <w:rPr>
                <w:rFonts w:ascii="Arial" w:cs="Arial" w:eastAsia="Arial" w:hAnsi="Arial"/>
                <w:sz w:val="10"/>
                <w:szCs w:val="10"/>
                <w:b w:val="1"/>
                <w:bCs w:val="1"/>
                <w:color w:val="auto"/>
                <w:w w:val="88"/>
              </w:rPr>
              <w:t>(Level 3)</w:t>
            </w:r>
          </w:p>
        </w:tc>
      </w:tr>
      <w:tr>
        <w:trPr>
          <w:trHeight w:val="17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equivalents:</w:t>
            </w:r>
          </w:p>
        </w:tc>
        <w:tc>
          <w:tcPr>
            <w:tcW w:w="1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Money market funds</w:t>
            </w:r>
          </w:p>
        </w:tc>
        <w:tc>
          <w:tcPr>
            <w:tcW w:w="1320" w:type="dxa"/>
            <w:vAlign w:val="bottom"/>
          </w:tcPr>
          <w:p>
            <w:pPr>
              <w:jc w:val="right"/>
              <w:ind w:right="1186"/>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87,179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87,179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Commercial paper</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2,499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2,499</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20"/>
              <w:spacing w:after="0"/>
              <w:rPr>
                <w:sz w:val="20"/>
                <w:szCs w:val="20"/>
                <w:color w:val="auto"/>
              </w:rPr>
            </w:pPr>
            <w:r>
              <w:rPr>
                <w:rFonts w:ascii="Arial" w:cs="Arial" w:eastAsia="Arial" w:hAnsi="Arial"/>
                <w:sz w:val="12"/>
                <w:szCs w:val="12"/>
                <w:color w:val="auto"/>
              </w:rPr>
              <w:t>Corporate bonds</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750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750</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Short-term investments: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Commercial paper</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42,391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42,391</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Corporate bonds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122,689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122,689</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Municipal securities</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5,847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5,847</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agency bonds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28,908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28,908</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U.S. government treasury bonds</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45,146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45,146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Certificates of deposit</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6,000</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0"/>
              <w:spacing w:after="0"/>
              <w:rPr>
                <w:sz w:val="20"/>
                <w:szCs w:val="20"/>
                <w:color w:val="auto"/>
              </w:rPr>
            </w:pPr>
            <w:r>
              <w:rPr>
                <w:rFonts w:ascii="Arial" w:cs="Arial" w:eastAsia="Arial" w:hAnsi="Arial"/>
                <w:sz w:val="12"/>
                <w:szCs w:val="12"/>
                <w:b w:val="1"/>
                <w:bCs w:val="1"/>
                <w:color w:val="auto"/>
              </w:rPr>
              <w:t>Long-term investments:</w:t>
            </w: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U.S. government agency bonds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6,789</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Corporate bonds</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40,812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40,812</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U.S. government treasury bonds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Asset-backed securities</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177</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Prepaid expenses and other assets: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3800" w:type="dxa"/>
            <w:vAlign w:val="bottom"/>
            <w:gridSpan w:val="2"/>
          </w:tcPr>
          <w:p>
            <w:pPr>
              <w:ind w:left="240"/>
              <w:spacing w:after="0"/>
              <w:rPr>
                <w:sz w:val="20"/>
                <w:szCs w:val="20"/>
                <w:color w:val="auto"/>
              </w:rPr>
            </w:pPr>
            <w:r>
              <w:rPr>
                <w:rFonts w:ascii="Arial" w:cs="Arial" w:eastAsia="Arial" w:hAnsi="Arial"/>
                <w:sz w:val="12"/>
                <w:szCs w:val="12"/>
                <w:color w:val="auto"/>
              </w:rPr>
              <w:t>Israeli funds</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2,956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2,956</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71"/>
        </w:trPr>
        <w:tc>
          <w:tcPr>
            <w:tcW w:w="3800" w:type="dxa"/>
            <w:vAlign w:val="bottom"/>
            <w:gridSpan w:val="2"/>
          </w:tcPr>
          <w:p>
            <w:pPr>
              <w:ind w:left="220"/>
              <w:spacing w:after="0"/>
              <w:rPr>
                <w:sz w:val="20"/>
                <w:szCs w:val="20"/>
                <w:color w:val="auto"/>
              </w:rPr>
            </w:pPr>
            <w:r>
              <w:rPr>
                <w:rFonts w:ascii="Arial" w:cs="Arial" w:eastAsia="Arial" w:hAnsi="Arial"/>
                <w:sz w:val="12"/>
                <w:szCs w:val="12"/>
                <w:color w:val="auto"/>
              </w:rPr>
              <w:t>Long-term notes receivable</w:t>
            </w:r>
          </w:p>
        </w:tc>
        <w:tc>
          <w:tcPr>
            <w:tcW w:w="13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2,047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5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Arial" w:cs="Arial" w:eastAsia="Arial" w:hAnsi="Arial"/>
                <w:sz w:val="12"/>
                <w:szCs w:val="12"/>
                <w:color w:val="auto"/>
              </w:rPr>
              <w:t>2,047</w:t>
            </w:r>
          </w:p>
        </w:tc>
      </w:tr>
      <w:tr>
        <w:trPr>
          <w:trHeight w:val="185"/>
        </w:trPr>
        <w:tc>
          <w:tcPr>
            <w:tcW w:w="3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ind w:right="1186"/>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7"/>
              </w:rPr>
              <w:t>406,195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144,330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259,818</w:t>
            </w:r>
          </w:p>
        </w:tc>
        <w:tc>
          <w:tcPr>
            <w:tcW w:w="4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2,047</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in the past and may in the future enter into foreign currency forward contracts to minimize the short-term impact of foreign currency exchange rate fluctuations associated with certain assets and liabilities. During 2017, we did not enter into foreign currency forward contracts. We had no foreign currency forward contracts outstanding as of December 31, 2016 and the net gain or loss on forward contracts was not material during the year ended December 31, 2016.</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Balance Sheet Components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Inventories consist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240" w:type="dxa"/>
            <w:vAlign w:val="bottom"/>
            <w:tcBorders>
              <w:bottom w:val="single" w:sz="8" w:color="CCEEFF"/>
            </w:tcBorders>
          </w:tcPr>
          <w:p>
            <w:pPr>
              <w:spacing w:after="0"/>
              <w:rPr>
                <w:sz w:val="11"/>
                <w:szCs w:val="11"/>
                <w:color w:val="auto"/>
              </w:rPr>
            </w:pPr>
          </w:p>
        </w:tc>
        <w:tc>
          <w:tcPr>
            <w:tcW w:w="466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December 31,</w:t>
            </w:r>
          </w:p>
        </w:tc>
        <w:tc>
          <w:tcPr>
            <w:tcW w:w="1200" w:type="dxa"/>
            <w:vAlign w:val="bottom"/>
            <w:tcBorders>
              <w:bottom w:val="single" w:sz="8" w:color="auto"/>
            </w:tcBorders>
          </w:tcPr>
          <w:p>
            <w:pPr>
              <w:spacing w:after="0"/>
              <w:rPr>
                <w:sz w:val="11"/>
                <w:szCs w:val="11"/>
                <w:color w:val="auto"/>
              </w:rPr>
            </w:pPr>
          </w:p>
        </w:tc>
      </w:tr>
      <w:tr>
        <w:trPr>
          <w:trHeight w:val="173"/>
        </w:trPr>
        <w:tc>
          <w:tcPr>
            <w:tcW w:w="3240" w:type="dxa"/>
            <w:vAlign w:val="bottom"/>
            <w:shd w:val="clear" w:color="auto" w:fill="CCEEFF"/>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b w:val="1"/>
                <w:bCs w:val="1"/>
                <w:color w:val="auto"/>
              </w:rPr>
              <w:t>2017</w:t>
            </w: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0"/>
                <w:szCs w:val="10"/>
                <w:b w:val="1"/>
                <w:bCs w:val="1"/>
                <w:color w:val="auto"/>
              </w:rPr>
              <w:t>2016</w:t>
            </w:r>
          </w:p>
        </w:tc>
      </w:tr>
      <w:tr>
        <w:trPr>
          <w:trHeight w:val="160"/>
        </w:trPr>
        <w:tc>
          <w:tcPr>
            <w:tcW w:w="3240" w:type="dxa"/>
            <w:vAlign w:val="bottom"/>
          </w:tcPr>
          <w:p>
            <w:pPr>
              <w:ind w:left="20"/>
              <w:spacing w:after="0"/>
              <w:rPr>
                <w:sz w:val="20"/>
                <w:szCs w:val="20"/>
                <w:color w:val="auto"/>
              </w:rPr>
            </w:pPr>
            <w:r>
              <w:rPr>
                <w:rFonts w:ascii="Arial" w:cs="Arial" w:eastAsia="Arial" w:hAnsi="Arial"/>
                <w:sz w:val="12"/>
                <w:szCs w:val="12"/>
                <w:color w:val="auto"/>
              </w:rPr>
              <w:t>Raw materials</w:t>
            </w:r>
          </w:p>
        </w:tc>
        <w:tc>
          <w:tcPr>
            <w:tcW w:w="5780" w:type="dxa"/>
            <w:vAlign w:val="bottom"/>
            <w:gridSpan w:val="2"/>
          </w:tcPr>
          <w:p>
            <w:pPr>
              <w:jc w:val="right"/>
              <w:ind w:right="992"/>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12,721</w:t>
            </w:r>
          </w:p>
        </w:tc>
        <w:tc>
          <w:tcPr>
            <w:tcW w:w="12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9,793</w:t>
            </w: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Work in process</w:t>
            </w:r>
          </w:p>
        </w:tc>
        <w:tc>
          <w:tcPr>
            <w:tcW w:w="4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12,157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10,773</w:t>
            </w:r>
          </w:p>
        </w:tc>
      </w:tr>
      <w:tr>
        <w:trPr>
          <w:trHeight w:val="171"/>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Finished goods</w:t>
            </w:r>
          </w:p>
        </w:tc>
        <w:tc>
          <w:tcPr>
            <w:tcW w:w="46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6,810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6,565</w:t>
            </w: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inventories</w:t>
            </w:r>
          </w:p>
        </w:tc>
        <w:tc>
          <w:tcPr>
            <w:tcW w:w="5780" w:type="dxa"/>
            <w:vAlign w:val="bottom"/>
            <w:gridSpan w:val="2"/>
            <w:shd w:val="clear" w:color="auto" w:fill="CCEEFF"/>
          </w:tcPr>
          <w:p>
            <w:pPr>
              <w:jc w:val="right"/>
              <w:ind w:right="992"/>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31,688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27,131</w:t>
            </w:r>
          </w:p>
        </w:tc>
      </w:tr>
      <w:tr>
        <w:trPr>
          <w:trHeight w:val="590"/>
        </w:trPr>
        <w:tc>
          <w:tcPr>
            <w:tcW w:w="3240" w:type="dxa"/>
            <w:vAlign w:val="bottom"/>
            <w:tcBorders>
              <w:top w:val="single" w:sz="8" w:color="CCEEFF"/>
            </w:tcBorders>
          </w:tcPr>
          <w:p>
            <w:pPr>
              <w:spacing w:after="0"/>
              <w:rPr>
                <w:sz w:val="24"/>
                <w:szCs w:val="24"/>
                <w:color w:val="auto"/>
              </w:rPr>
            </w:pPr>
          </w:p>
        </w:tc>
        <w:tc>
          <w:tcPr>
            <w:tcW w:w="4660" w:type="dxa"/>
            <w:vAlign w:val="bottom"/>
            <w:tcBorders>
              <w:top w:val="single" w:sz="8" w:color="CCEEFF"/>
            </w:tcBorders>
          </w:tcPr>
          <w:p>
            <w:pPr>
              <w:jc w:val="right"/>
              <w:ind w:right="2040"/>
              <w:spacing w:after="0"/>
              <w:rPr>
                <w:sz w:val="20"/>
                <w:szCs w:val="20"/>
                <w:color w:val="auto"/>
              </w:rPr>
            </w:pPr>
            <w:r>
              <w:rPr>
                <w:rFonts w:ascii="Arial" w:cs="Arial" w:eastAsia="Arial" w:hAnsi="Arial"/>
                <w:sz w:val="12"/>
                <w:szCs w:val="12"/>
                <w:color w:val="auto"/>
              </w:rPr>
              <w:t>76</w:t>
            </w:r>
          </w:p>
        </w:tc>
        <w:tc>
          <w:tcPr>
            <w:tcW w:w="1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24" w:right="199" w:bottom="1440" w:gutter="0" w:footer="0" w:header="0"/>
        </w:sectPr>
      </w:pPr>
    </w:p>
    <w:bookmarkStart w:id="76" w:name="page77"/>
    <w:bookmarkEnd w:id="76"/>
    <w:p>
      <w:pPr>
        <w:ind w:left="140"/>
        <w:spacing w:after="0"/>
        <w:rPr>
          <w:sz w:val="20"/>
          <w:szCs w:val="20"/>
          <w:color w:val="auto"/>
        </w:rPr>
      </w:pPr>
      <w:r>
        <w:rPr>
          <w:rFonts w:ascii="Arial" w:cs="Arial" w:eastAsia="Arial" w:hAnsi="Arial"/>
          <w:sz w:val="12"/>
          <w:szCs w:val="12"/>
          <w:b w:val="1"/>
          <w:bCs w:val="1"/>
          <w:i w:val="1"/>
          <w:iCs w:val="1"/>
          <w:color w:val="auto"/>
        </w:rPr>
        <w:t>Property, Plant and Equipment, Net</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Property, plant and equipment consist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2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3"/>
        </w:trPr>
        <w:tc>
          <w:tcPr>
            <w:tcW w:w="6320" w:type="dxa"/>
            <w:vAlign w:val="bottom"/>
            <w:shd w:val="clear" w:color="auto" w:fill="CCEEFF"/>
          </w:tcPr>
          <w:p>
            <w:pPr>
              <w:spacing w:after="0"/>
              <w:rPr>
                <w:sz w:val="15"/>
                <w:szCs w:val="15"/>
                <w:color w:val="auto"/>
              </w:rPr>
            </w:pPr>
          </w:p>
        </w:tc>
        <w:tc>
          <w:tcPr>
            <w:tcW w:w="19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0"/>
                <w:szCs w:val="10"/>
                <w:b w:val="1"/>
                <w:bCs w:val="1"/>
                <w:color w:val="auto"/>
                <w:w w:val="86"/>
              </w:rPr>
              <w:t>Generally Used Estimated Useful Life</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0"/>
                <w:szCs w:val="10"/>
                <w:b w:val="1"/>
                <w:bCs w:val="1"/>
                <w:color w:val="auto"/>
                <w:w w:val="98"/>
              </w:rPr>
              <w:t>2017</w:t>
            </w: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0"/>
                <w:szCs w:val="10"/>
                <w:b w:val="1"/>
                <w:bCs w:val="1"/>
                <w:color w:val="auto"/>
              </w:rPr>
              <w:t>2016</w:t>
            </w:r>
          </w:p>
        </w:tc>
        <w:tc>
          <w:tcPr>
            <w:tcW w:w="140" w:type="dxa"/>
            <w:vAlign w:val="bottom"/>
          </w:tcPr>
          <w:p>
            <w:pPr>
              <w:spacing w:after="0"/>
              <w:rPr>
                <w:sz w:val="15"/>
                <w:szCs w:val="15"/>
                <w:color w:val="auto"/>
              </w:rPr>
            </w:pPr>
          </w:p>
        </w:tc>
      </w:tr>
      <w:tr>
        <w:trPr>
          <w:trHeight w:val="160"/>
        </w:trPr>
        <w:tc>
          <w:tcPr>
            <w:tcW w:w="6320" w:type="dxa"/>
            <w:vAlign w:val="bottom"/>
          </w:tcPr>
          <w:p>
            <w:pPr>
              <w:ind w:left="20"/>
              <w:spacing w:after="0"/>
              <w:rPr>
                <w:sz w:val="20"/>
                <w:szCs w:val="20"/>
                <w:color w:val="auto"/>
              </w:rPr>
            </w:pPr>
            <w:r>
              <w:rPr>
                <w:rFonts w:ascii="Arial" w:cs="Arial" w:eastAsia="Arial" w:hAnsi="Arial"/>
                <w:sz w:val="12"/>
                <w:szCs w:val="12"/>
                <w:color w:val="auto"/>
              </w:rPr>
              <w:t>Clinical and manufacturing equipment</w:t>
            </w:r>
          </w:p>
        </w:tc>
        <w:tc>
          <w:tcPr>
            <w:tcW w:w="2040" w:type="dxa"/>
            <w:vAlign w:val="bottom"/>
            <w:gridSpan w:val="3"/>
          </w:tcPr>
          <w:p>
            <w:pPr>
              <w:jc w:val="center"/>
              <w:ind w:right="100"/>
              <w:spacing w:after="0"/>
              <w:rPr>
                <w:sz w:val="20"/>
                <w:szCs w:val="20"/>
                <w:color w:val="auto"/>
              </w:rPr>
            </w:pPr>
            <w:r>
              <w:rPr>
                <w:rFonts w:ascii="Arial" w:cs="Arial" w:eastAsia="Arial" w:hAnsi="Arial"/>
                <w:sz w:val="12"/>
                <w:szCs w:val="12"/>
                <w:color w:val="auto"/>
                <w:w w:val="89"/>
              </w:rPr>
              <w:t>Up to 10 years</w:t>
            </w:r>
          </w:p>
        </w:tc>
        <w:tc>
          <w:tcPr>
            <w:tcW w:w="540" w:type="dxa"/>
            <w:vAlign w:val="bottom"/>
          </w:tcPr>
          <w:p>
            <w:pPr>
              <w:jc w:val="right"/>
              <w:ind w:right="404"/>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183,392</w:t>
            </w:r>
          </w:p>
        </w:tc>
        <w:tc>
          <w:tcPr>
            <w:tcW w:w="100" w:type="dxa"/>
            <w:vAlign w:val="bottom"/>
          </w:tcPr>
          <w:p>
            <w:pPr>
              <w:spacing w:after="0"/>
              <w:rPr>
                <w:sz w:val="13"/>
                <w:szCs w:val="13"/>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153,938</w:t>
            </w:r>
          </w:p>
        </w:tc>
        <w:tc>
          <w:tcPr>
            <w:tcW w:w="140" w:type="dxa"/>
            <w:vAlign w:val="bottom"/>
          </w:tcPr>
          <w:p>
            <w:pPr>
              <w:spacing w:after="0"/>
              <w:rPr>
                <w:sz w:val="13"/>
                <w:szCs w:val="13"/>
                <w:color w:val="auto"/>
              </w:rPr>
            </w:pP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Computer hardware</w:t>
            </w:r>
          </w:p>
        </w:tc>
        <w:tc>
          <w:tcPr>
            <w:tcW w:w="2040" w:type="dxa"/>
            <w:vAlign w:val="bottom"/>
            <w:gridSpan w:val="3"/>
            <w:shd w:val="clear" w:color="auto" w:fill="CCEEFF"/>
          </w:tcPr>
          <w:p>
            <w:pPr>
              <w:jc w:val="center"/>
              <w:ind w:right="100"/>
              <w:spacing w:after="0"/>
              <w:rPr>
                <w:sz w:val="20"/>
                <w:szCs w:val="20"/>
                <w:color w:val="auto"/>
              </w:rPr>
            </w:pPr>
            <w:r>
              <w:rPr>
                <w:rFonts w:ascii="Arial" w:cs="Arial" w:eastAsia="Arial" w:hAnsi="Arial"/>
                <w:sz w:val="12"/>
                <w:szCs w:val="12"/>
                <w:color w:val="auto"/>
                <w:w w:val="86"/>
              </w:rPr>
              <w:t>3 years</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27,978</w:t>
            </w:r>
          </w:p>
        </w:tc>
        <w:tc>
          <w:tcPr>
            <w:tcW w:w="140" w:type="dxa"/>
            <w:vAlign w:val="bottom"/>
          </w:tcPr>
          <w:p>
            <w:pPr>
              <w:spacing w:after="0"/>
              <w:rPr>
                <w:sz w:val="16"/>
                <w:szCs w:val="16"/>
                <w:color w:val="auto"/>
              </w:rPr>
            </w:pP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color w:val="auto"/>
              </w:rPr>
              <w:t>Computer software</w:t>
            </w:r>
          </w:p>
        </w:tc>
        <w:tc>
          <w:tcPr>
            <w:tcW w:w="20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3 years</w:t>
            </w:r>
          </w:p>
        </w:tc>
        <w:tc>
          <w:tcPr>
            <w:tcW w:w="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54,756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59,997</w:t>
            </w:r>
          </w:p>
        </w:tc>
        <w:tc>
          <w:tcPr>
            <w:tcW w:w="140" w:type="dxa"/>
            <w:vAlign w:val="bottom"/>
          </w:tcPr>
          <w:p>
            <w:pPr>
              <w:spacing w:after="0"/>
              <w:rPr>
                <w:sz w:val="14"/>
                <w:szCs w:val="14"/>
                <w:color w:val="auto"/>
              </w:rPr>
            </w:pP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and fixtures</w:t>
            </w:r>
          </w:p>
        </w:tc>
        <w:tc>
          <w:tcPr>
            <w:tcW w:w="2040" w:type="dxa"/>
            <w:vAlign w:val="bottom"/>
            <w:gridSpan w:val="3"/>
            <w:shd w:val="clear" w:color="auto" w:fill="CCEEFF"/>
          </w:tcPr>
          <w:p>
            <w:pPr>
              <w:jc w:val="center"/>
              <w:ind w:right="100"/>
              <w:spacing w:after="0"/>
              <w:rPr>
                <w:sz w:val="20"/>
                <w:szCs w:val="20"/>
                <w:color w:val="auto"/>
              </w:rPr>
            </w:pPr>
            <w:r>
              <w:rPr>
                <w:rFonts w:ascii="Arial" w:cs="Arial" w:eastAsia="Arial" w:hAnsi="Arial"/>
                <w:sz w:val="12"/>
                <w:szCs w:val="12"/>
                <w:color w:val="auto"/>
                <w:w w:val="86"/>
              </w:rPr>
              <w:t>5 years</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10,306</w:t>
            </w:r>
          </w:p>
        </w:tc>
        <w:tc>
          <w:tcPr>
            <w:tcW w:w="140" w:type="dxa"/>
            <w:vAlign w:val="bottom"/>
          </w:tcPr>
          <w:p>
            <w:pPr>
              <w:spacing w:after="0"/>
              <w:rPr>
                <w:sz w:val="16"/>
                <w:szCs w:val="16"/>
                <w:color w:val="auto"/>
              </w:rPr>
            </w:pPr>
          </w:p>
        </w:tc>
      </w:tr>
      <w:tr>
        <w:trPr>
          <w:trHeight w:val="180"/>
        </w:trPr>
        <w:tc>
          <w:tcPr>
            <w:tcW w:w="6320" w:type="dxa"/>
            <w:vAlign w:val="bottom"/>
          </w:tcPr>
          <w:p>
            <w:pPr>
              <w:ind w:left="20"/>
              <w:spacing w:after="0"/>
              <w:rPr>
                <w:sz w:val="20"/>
                <w:szCs w:val="20"/>
                <w:color w:val="auto"/>
              </w:rPr>
            </w:pPr>
            <w:r>
              <w:rPr>
                <w:rFonts w:ascii="Arial" w:cs="Arial" w:eastAsia="Arial" w:hAnsi="Arial"/>
                <w:sz w:val="12"/>
                <w:szCs w:val="12"/>
                <w:color w:val="auto"/>
              </w:rPr>
              <w:t>Leasehold improvements</w:t>
            </w:r>
          </w:p>
        </w:tc>
        <w:tc>
          <w:tcPr>
            <w:tcW w:w="2040" w:type="dxa"/>
            <w:vAlign w:val="bottom"/>
            <w:gridSpan w:val="3"/>
          </w:tcPr>
          <w:p>
            <w:pPr>
              <w:jc w:val="center"/>
              <w:ind w:right="100"/>
              <w:spacing w:after="0" w:line="180" w:lineRule="exact"/>
              <w:rPr>
                <w:sz w:val="20"/>
                <w:szCs w:val="20"/>
                <w:color w:val="auto"/>
              </w:rPr>
            </w:pPr>
            <w:r>
              <w:rPr>
                <w:rFonts w:ascii="Arial" w:cs="Arial" w:eastAsia="Arial" w:hAnsi="Arial"/>
                <w:sz w:val="12"/>
                <w:szCs w:val="12"/>
                <w:color w:val="auto"/>
                <w:w w:val="86"/>
              </w:rPr>
              <w:t xml:space="preserve">Lease term </w:t>
            </w:r>
            <w:r>
              <w:rPr>
                <w:rFonts w:ascii="Arial" w:cs="Arial" w:eastAsia="Arial" w:hAnsi="Arial"/>
                <w:sz w:val="16"/>
                <w:szCs w:val="16"/>
                <w:color w:val="auto"/>
                <w:w w:val="86"/>
                <w:vertAlign w:val="superscript"/>
              </w:rPr>
              <w:t>(1)</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37,756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22,370</w:t>
            </w:r>
          </w:p>
        </w:tc>
        <w:tc>
          <w:tcPr>
            <w:tcW w:w="140" w:type="dxa"/>
            <w:vAlign w:val="bottom"/>
          </w:tcPr>
          <w:p>
            <w:pPr>
              <w:spacing w:after="0"/>
              <w:rPr>
                <w:sz w:val="15"/>
                <w:szCs w:val="15"/>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w:t>
            </w:r>
          </w:p>
        </w:tc>
        <w:tc>
          <w:tcPr>
            <w:tcW w:w="204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86"/>
              </w:rPr>
              <w:t>20 years</w:t>
            </w: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63,887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7,272</w:t>
            </w:r>
          </w:p>
        </w:tc>
        <w:tc>
          <w:tcPr>
            <w:tcW w:w="140" w:type="dxa"/>
            <w:vAlign w:val="bottom"/>
          </w:tcPr>
          <w:p>
            <w:pPr>
              <w:spacing w:after="0"/>
              <w:rPr>
                <w:sz w:val="15"/>
                <w:szCs w:val="15"/>
                <w:color w:val="auto"/>
              </w:rPr>
            </w:pP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color w:val="auto"/>
              </w:rPr>
              <w:t>Land</w:t>
            </w:r>
          </w:p>
        </w:tc>
        <w:tc>
          <w:tcPr>
            <w:tcW w:w="2040" w:type="dxa"/>
            <w:vAlign w:val="bottom"/>
            <w:gridSpan w:val="3"/>
          </w:tcPr>
          <w:p>
            <w:pPr>
              <w:jc w:val="center"/>
              <w:ind w:right="120"/>
              <w:spacing w:after="0"/>
              <w:rPr>
                <w:sz w:val="20"/>
                <w:szCs w:val="20"/>
                <w:color w:val="auto"/>
              </w:rPr>
            </w:pPr>
            <w:r>
              <w:rPr>
                <w:rFonts w:ascii="Arial" w:cs="Arial" w:eastAsia="Arial" w:hAnsi="Arial"/>
                <w:sz w:val="12"/>
                <w:szCs w:val="12"/>
                <w:color w:val="auto"/>
                <w:w w:val="99"/>
              </w:rPr>
              <w:t>—</w:t>
            </w:r>
          </w:p>
        </w:tc>
        <w:tc>
          <w:tcPr>
            <w:tcW w:w="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17,630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3,072</w:t>
            </w:r>
          </w:p>
        </w:tc>
        <w:tc>
          <w:tcPr>
            <w:tcW w:w="140" w:type="dxa"/>
            <w:vAlign w:val="bottom"/>
          </w:tcPr>
          <w:p>
            <w:pPr>
              <w:spacing w:after="0"/>
              <w:rPr>
                <w:sz w:val="14"/>
                <w:szCs w:val="14"/>
                <w:color w:val="auto"/>
              </w:rPr>
            </w:pP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CIP</w:t>
            </w:r>
          </w:p>
        </w:tc>
        <w:tc>
          <w:tcPr>
            <w:tcW w:w="204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5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85,976</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25,948</w:t>
            </w:r>
          </w:p>
        </w:tc>
        <w:tc>
          <w:tcPr>
            <w:tcW w:w="140" w:type="dxa"/>
            <w:vAlign w:val="bottom"/>
          </w:tcPr>
          <w:p>
            <w:pPr>
              <w:spacing w:after="0"/>
              <w:rPr>
                <w:sz w:val="16"/>
                <w:szCs w:val="16"/>
                <w:color w:val="auto"/>
              </w:rPr>
            </w:pPr>
          </w:p>
        </w:tc>
      </w:tr>
      <w:tr>
        <w:trPr>
          <w:trHeight w:val="160"/>
        </w:trPr>
        <w:tc>
          <w:tcPr>
            <w:tcW w:w="6320" w:type="dxa"/>
            <w:vAlign w:val="bottom"/>
          </w:tcPr>
          <w:p>
            <w:pPr>
              <w:ind w:left="20"/>
              <w:spacing w:after="0"/>
              <w:rPr>
                <w:sz w:val="20"/>
                <w:szCs w:val="20"/>
                <w:color w:val="auto"/>
              </w:rPr>
            </w:pPr>
            <w:r>
              <w:rPr>
                <w:rFonts w:ascii="Arial" w:cs="Arial" w:eastAsia="Arial" w:hAnsi="Arial"/>
                <w:sz w:val="12"/>
                <w:szCs w:val="12"/>
                <w:color w:val="auto"/>
              </w:rPr>
              <w:t>Total</w:t>
            </w: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484,601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310,881</w:t>
            </w:r>
          </w:p>
        </w:tc>
        <w:tc>
          <w:tcPr>
            <w:tcW w:w="140" w:type="dxa"/>
            <w:vAlign w:val="bottom"/>
          </w:tcPr>
          <w:p>
            <w:pPr>
              <w:spacing w:after="0"/>
              <w:rPr>
                <w:sz w:val="13"/>
                <w:szCs w:val="13"/>
                <w:color w:val="auto"/>
              </w:rPr>
            </w:pP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Accumulated depreciation and amortization and impairment charges</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(135,808)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(135,714)</w:t>
            </w:r>
          </w:p>
        </w:tc>
        <w:tc>
          <w:tcPr>
            <w:tcW w:w="140" w:type="dxa"/>
            <w:vAlign w:val="bottom"/>
          </w:tcPr>
          <w:p>
            <w:pPr>
              <w:spacing w:after="0"/>
              <w:rPr>
                <w:sz w:val="16"/>
                <w:szCs w:val="16"/>
                <w:color w:val="auto"/>
              </w:rPr>
            </w:pPr>
          </w:p>
        </w:tc>
      </w:tr>
      <w:tr>
        <w:trPr>
          <w:trHeight w:val="176"/>
        </w:trPr>
        <w:tc>
          <w:tcPr>
            <w:tcW w:w="6320" w:type="dxa"/>
            <w:vAlign w:val="bottom"/>
          </w:tcPr>
          <w:p>
            <w:pPr>
              <w:ind w:left="20"/>
              <w:spacing w:after="0"/>
              <w:rPr>
                <w:sz w:val="20"/>
                <w:szCs w:val="20"/>
                <w:color w:val="auto"/>
              </w:rPr>
            </w:pPr>
            <w:r>
              <w:rPr>
                <w:rFonts w:ascii="Arial" w:cs="Arial" w:eastAsia="Arial" w:hAnsi="Arial"/>
                <w:sz w:val="12"/>
                <w:szCs w:val="12"/>
                <w:color w:val="auto"/>
              </w:rPr>
              <w:t>Total property, plant and equipment, net</w:t>
            </w: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04"/>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348,793</w:t>
            </w:r>
          </w:p>
        </w:tc>
        <w:tc>
          <w:tcPr>
            <w:tcW w:w="100" w:type="dxa"/>
            <w:vAlign w:val="bottom"/>
          </w:tcPr>
          <w:p>
            <w:pPr>
              <w:spacing w:after="0"/>
              <w:rPr>
                <w:sz w:val="15"/>
                <w:szCs w:val="15"/>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175,167</w:t>
            </w:r>
          </w:p>
        </w:tc>
        <w:tc>
          <w:tcPr>
            <w:tcW w:w="140" w:type="dxa"/>
            <w:vAlign w:val="bottom"/>
          </w:tcPr>
          <w:p>
            <w:pPr>
              <w:spacing w:after="0"/>
              <w:rPr>
                <w:sz w:val="15"/>
                <w:szCs w:val="15"/>
                <w:color w:val="auto"/>
              </w:rPr>
            </w:pPr>
          </w:p>
        </w:tc>
      </w:tr>
      <w:tr>
        <w:trPr>
          <w:trHeight w:val="305"/>
        </w:trPr>
        <w:tc>
          <w:tcPr>
            <w:tcW w:w="6320" w:type="dxa"/>
            <w:vAlign w:val="bottom"/>
          </w:tcPr>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Shorter of remaining lease term or estimated useful lives of asset</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5"/>
        </w:trPr>
        <w:tc>
          <w:tcPr>
            <w:tcW w:w="8360" w:type="dxa"/>
            <w:vAlign w:val="bottom"/>
            <w:gridSpan w:val="4"/>
          </w:tcPr>
          <w:p>
            <w:pPr>
              <w:ind w:left="280"/>
              <w:spacing w:after="0"/>
              <w:rPr>
                <w:sz w:val="20"/>
                <w:szCs w:val="20"/>
                <w:color w:val="auto"/>
              </w:rPr>
            </w:pPr>
            <w:r>
              <w:rPr>
                <w:rFonts w:ascii="Arial" w:cs="Arial" w:eastAsia="Arial" w:hAnsi="Arial"/>
                <w:sz w:val="12"/>
                <w:szCs w:val="12"/>
                <w:color w:val="auto"/>
              </w:rPr>
              <w:t>Depreciation and amortization was $37.7 million, $24.0 million and $18.0 million, for the year ended December 31, 2017, 2016 and 2015, respectively.</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8"/>
        </w:trPr>
        <w:tc>
          <w:tcPr>
            <w:tcW w:w="6320" w:type="dxa"/>
            <w:vAlign w:val="bottom"/>
          </w:tcPr>
          <w:p>
            <w:pPr>
              <w:ind w:left="140"/>
              <w:spacing w:after="0"/>
              <w:rPr>
                <w:sz w:val="20"/>
                <w:szCs w:val="20"/>
                <w:color w:val="auto"/>
              </w:rPr>
            </w:pPr>
            <w:r>
              <w:rPr>
                <w:rFonts w:ascii="Arial" w:cs="Arial" w:eastAsia="Arial" w:hAnsi="Arial"/>
                <w:sz w:val="12"/>
                <w:szCs w:val="12"/>
                <w:b w:val="1"/>
                <w:bCs w:val="1"/>
                <w:i w:val="1"/>
                <w:iCs w:val="1"/>
                <w:color w:val="auto"/>
              </w:rPr>
              <w:t>Accrued Liabilities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6320" w:type="dxa"/>
            <w:vAlign w:val="bottom"/>
          </w:tcPr>
          <w:p>
            <w:pPr>
              <w:ind w:left="280"/>
              <w:spacing w:after="0"/>
              <w:rPr>
                <w:sz w:val="20"/>
                <w:szCs w:val="20"/>
                <w:color w:val="auto"/>
              </w:rPr>
            </w:pPr>
            <w:r>
              <w:rPr>
                <w:rFonts w:ascii="Arial" w:cs="Arial" w:eastAsia="Arial" w:hAnsi="Arial"/>
                <w:sz w:val="12"/>
                <w:szCs w:val="12"/>
                <w:color w:val="auto"/>
              </w:rPr>
              <w:t>Accrued liabilities consist of the following (in thousands):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1"/>
        </w:trPr>
        <w:tc>
          <w:tcPr>
            <w:tcW w:w="63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173"/>
        </w:trPr>
        <w:tc>
          <w:tcPr>
            <w:tcW w:w="6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2017</w:t>
            </w:r>
          </w:p>
        </w:tc>
        <w:tc>
          <w:tcPr>
            <w:tcW w:w="7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auto"/>
            </w:tcBorders>
            <w:shd w:val="clear" w:color="auto" w:fill="CCEEFF"/>
          </w:tcPr>
          <w:p>
            <w:pPr>
              <w:spacing w:after="0"/>
              <w:rPr>
                <w:sz w:val="15"/>
                <w:szCs w:val="15"/>
                <w:color w:val="auto"/>
              </w:rPr>
            </w:pPr>
          </w:p>
        </w:tc>
      </w:tr>
      <w:tr>
        <w:trPr>
          <w:trHeight w:val="160"/>
        </w:trPr>
        <w:tc>
          <w:tcPr>
            <w:tcW w:w="6320" w:type="dxa"/>
            <w:vAlign w:val="bottom"/>
          </w:tcPr>
          <w:p>
            <w:pPr>
              <w:ind w:left="20"/>
              <w:spacing w:after="0"/>
              <w:rPr>
                <w:sz w:val="20"/>
                <w:szCs w:val="20"/>
                <w:color w:val="auto"/>
              </w:rPr>
            </w:pPr>
            <w:r>
              <w:rPr>
                <w:rFonts w:ascii="Arial" w:cs="Arial" w:eastAsia="Arial" w:hAnsi="Arial"/>
                <w:sz w:val="12"/>
                <w:szCs w:val="12"/>
                <w:color w:val="auto"/>
              </w:rPr>
              <w:t>Accrued payroll and benefits</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103,004</w:t>
            </w:r>
          </w:p>
        </w:tc>
        <w:tc>
          <w:tcPr>
            <w:tcW w:w="1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79,214</w:t>
            </w: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expenses</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27,318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21,811</w:t>
            </w: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color w:val="auto"/>
              </w:rPr>
              <w:t>Accrued income taxes</w:t>
            </w: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12,405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4,210</w:t>
            </w: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sales rebate</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11,209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10,342</w:t>
            </w: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color w:val="auto"/>
              </w:rPr>
              <w:t>Accrued professional fees</w:t>
            </w: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6,316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3,604</w:t>
            </w:r>
          </w:p>
        </w:tc>
      </w:tr>
      <w:tr>
        <w:trPr>
          <w:trHeight w:val="189"/>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warranty</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5,929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3,841</w:t>
            </w: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color w:val="auto"/>
              </w:rPr>
              <w:t>Accrued sales tax and value added tax</w:t>
            </w: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5,503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5,032</w:t>
            </w: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accrued liabilities</w:t>
            </w:r>
          </w:p>
        </w:tc>
        <w:tc>
          <w:tcPr>
            <w:tcW w:w="15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22,514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6,278</w:t>
            </w:r>
          </w:p>
        </w:tc>
      </w:tr>
      <w:tr>
        <w:trPr>
          <w:trHeight w:val="185"/>
        </w:trPr>
        <w:tc>
          <w:tcPr>
            <w:tcW w:w="6320" w:type="dxa"/>
            <w:vAlign w:val="bottom"/>
          </w:tcPr>
          <w:p>
            <w:pPr>
              <w:ind w:left="20"/>
              <w:spacing w:after="0"/>
              <w:rPr>
                <w:sz w:val="20"/>
                <w:szCs w:val="20"/>
                <w:color w:val="auto"/>
              </w:rPr>
            </w:pPr>
            <w:r>
              <w:rPr>
                <w:rFonts w:ascii="Arial" w:cs="Arial" w:eastAsia="Arial" w:hAnsi="Arial"/>
                <w:sz w:val="12"/>
                <w:szCs w:val="12"/>
                <w:color w:val="auto"/>
              </w:rPr>
              <w:t>Total accrued liabilities</w:t>
            </w:r>
          </w:p>
        </w:tc>
        <w:tc>
          <w:tcPr>
            <w:tcW w:w="158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194,198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134,332</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Warranty</w:t>
      </w:r>
    </w:p>
    <w:p>
      <w:pPr>
        <w:spacing w:after="0" w:line="10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regularly review the balance for accrued warranty and update based on historical warranty trends. Actual warranty costs incurred have not materially differed from those accrued; however, future actual warranty costs could differ from the estimated amounts.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Accrued warranty as of December 31, 2017 and 2016 consists of the following activity (in thousands):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80"/>
          </w:cols>
          <w:pgMar w:left="220" w:top="437" w:right="1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2"/>
        </w:trPr>
        <w:tc>
          <w:tcPr>
            <w:tcW w:w="9400" w:type="dxa"/>
            <w:vAlign w:val="bottom"/>
          </w:tcPr>
          <w:p>
            <w:pPr>
              <w:ind w:left="20"/>
              <w:spacing w:after="0"/>
              <w:rPr>
                <w:sz w:val="20"/>
                <w:szCs w:val="20"/>
                <w:color w:val="auto"/>
              </w:rPr>
            </w:pPr>
            <w:r>
              <w:rPr>
                <w:rFonts w:ascii="Arial" w:cs="Arial" w:eastAsia="Arial" w:hAnsi="Arial"/>
                <w:sz w:val="12"/>
                <w:szCs w:val="12"/>
                <w:color w:val="auto"/>
              </w:rPr>
              <w:t>Accrued warranty as of December 31, 2015</w:t>
            </w: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2,638</w:t>
            </w:r>
          </w:p>
        </w:tc>
      </w:tr>
      <w:tr>
        <w:trPr>
          <w:trHeight w:val="189"/>
        </w:trPr>
        <w:tc>
          <w:tcPr>
            <w:tcW w:w="9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Charged to cost of net revenues</w:t>
            </w:r>
          </w:p>
        </w:tc>
        <w:tc>
          <w:tcPr>
            <w:tcW w:w="8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4,894</w:t>
            </w:r>
          </w:p>
        </w:tc>
      </w:tr>
      <w:tr>
        <w:trPr>
          <w:trHeight w:val="171"/>
        </w:trPr>
        <w:tc>
          <w:tcPr>
            <w:tcW w:w="94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Actual warranty expenditures</w:t>
            </w: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(3,691)</w:t>
            </w:r>
          </w:p>
        </w:tc>
      </w:tr>
      <w:tr>
        <w:trPr>
          <w:trHeight w:val="178"/>
        </w:trPr>
        <w:tc>
          <w:tcPr>
            <w:tcW w:w="9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warranty as of December 31, 2016</w:t>
            </w:r>
          </w:p>
        </w:tc>
        <w:tc>
          <w:tcPr>
            <w:tcW w:w="8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3,841</w:t>
            </w:r>
          </w:p>
        </w:tc>
      </w:tr>
      <w:tr>
        <w:trPr>
          <w:trHeight w:val="171"/>
        </w:trPr>
        <w:tc>
          <w:tcPr>
            <w:tcW w:w="9400" w:type="dxa"/>
            <w:vAlign w:val="bottom"/>
          </w:tcPr>
          <w:p>
            <w:pPr>
              <w:ind w:left="240"/>
              <w:spacing w:after="0"/>
              <w:rPr>
                <w:sz w:val="20"/>
                <w:szCs w:val="20"/>
                <w:color w:val="auto"/>
              </w:rPr>
            </w:pPr>
            <w:r>
              <w:rPr>
                <w:rFonts w:ascii="Arial" w:cs="Arial" w:eastAsia="Arial" w:hAnsi="Arial"/>
                <w:sz w:val="12"/>
                <w:szCs w:val="12"/>
                <w:color w:val="auto"/>
              </w:rPr>
              <w:t>Charged to cost of net revenues</w:t>
            </w:r>
          </w:p>
        </w:tc>
        <w:tc>
          <w:tcPr>
            <w:tcW w:w="860" w:type="dxa"/>
            <w:vAlign w:val="bottom"/>
          </w:tcPr>
          <w:p>
            <w:pPr>
              <w:spacing w:after="0"/>
              <w:rPr>
                <w:sz w:val="14"/>
                <w:szCs w:val="14"/>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7,195</w:t>
            </w:r>
          </w:p>
        </w:tc>
      </w:tr>
      <w:tr>
        <w:trPr>
          <w:trHeight w:val="189"/>
        </w:trPr>
        <w:tc>
          <w:tcPr>
            <w:tcW w:w="9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Actual warranty expenditures</w:t>
            </w:r>
          </w:p>
        </w:tc>
        <w:tc>
          <w:tcPr>
            <w:tcW w:w="8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(5,107)</w:t>
            </w:r>
          </w:p>
        </w:tc>
      </w:tr>
      <w:tr>
        <w:trPr>
          <w:trHeight w:val="176"/>
        </w:trPr>
        <w:tc>
          <w:tcPr>
            <w:tcW w:w="9400" w:type="dxa"/>
            <w:vAlign w:val="bottom"/>
          </w:tcPr>
          <w:p>
            <w:pPr>
              <w:ind w:left="20"/>
              <w:spacing w:after="0"/>
              <w:rPr>
                <w:sz w:val="20"/>
                <w:szCs w:val="20"/>
                <w:color w:val="auto"/>
              </w:rPr>
            </w:pPr>
            <w:r>
              <w:rPr>
                <w:rFonts w:ascii="Arial" w:cs="Arial" w:eastAsia="Arial" w:hAnsi="Arial"/>
                <w:sz w:val="12"/>
                <w:szCs w:val="12"/>
                <w:color w:val="auto"/>
              </w:rPr>
              <w:t>Accrued warranty as of December 31, 2017</w:t>
            </w:r>
          </w:p>
        </w:tc>
        <w:tc>
          <w:tcPr>
            <w:tcW w:w="8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5,929</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Equity Method Investments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July 25, 2016, we acquired a 17% equity interest, on a fully diluted basis, in SmileDirectClub, LLC (“SDC”) for $46.7 million. The investment is accounted for under an equity method investment, and the investee, SDC, is considered a related party. The investment is reported in our Consolidated Balance Sheet under equity method investments, and we record our proportional share of SDC's income (losses) within equity in losses of investee, net of tax, in our Consolidated Statement of Operations. On July 24, 2017, we purchased an additional 2% equity interest in SDC for $12.8 million. As a result of this purchase, we hold a 19% equity interest in SDC on a fully diluted basis. As of December 31, 2017 and 2016, the balance of our equity method investments was $54.6 million and $45.1 million, respectively.</w:t>
      </w:r>
    </w:p>
    <w:p>
      <w:pPr>
        <w:spacing w:after="0" w:line="12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after eliminating outstanding intercompany transactions. As of December 31, 2017 and 2016, the balance of accounts receivable due from SDC was $14.3 million and $0.1 million, respectively. For the year ended December 31, 2017 and 2016, net revenues recognized from SDC were $24.1 million and $0.2 million, respectively.</w:t>
      </w:r>
    </w:p>
    <w:p>
      <w:pPr>
        <w:spacing w:after="0" w:line="12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On July 25, 2016, we entered into a Loan and Security Agreement (the "Loan Agreement") with SDC and amended on July 24, 2017 where we agreed to provide SDC a loan of up to $30.0 million in one or more advances. As of December 31, 2017, $30.0 million of advances under the Loan Agreement were outstanding and no outstanding advances as of December 31, 2016. On February 7, 2018, $30.0 million of outstanding advances and related accrued interest were repaid in full, and the Loan Agreement was terminated (</w:t>
      </w:r>
      <w:r>
        <w:rPr>
          <w:rFonts w:ascii="Arial" w:cs="Arial" w:eastAsia="Arial" w:hAnsi="Arial"/>
          <w:sz w:val="11"/>
          <w:szCs w:val="11"/>
          <w:i w:val="1"/>
          <w:iCs w:val="1"/>
          <w:color w:val="auto"/>
        </w:rPr>
        <w:t>Refer to Note 9 "Commitments and Contingencies" of the Notes to Consolidated Financial Statements</w:t>
      </w:r>
      <w:r>
        <w:rPr>
          <w:rFonts w:ascii="Arial" w:cs="Arial" w:eastAsia="Arial" w:hAnsi="Arial"/>
          <w:sz w:val="11"/>
          <w:szCs w:val="11"/>
          <w:color w:val="auto"/>
        </w:rPr>
        <w:t xml:space="preserve"> for information on the Loan and Security Agreement with SDC).</w:t>
      </w:r>
    </w:p>
    <w:p>
      <w:pPr>
        <w:spacing w:after="0" w:line="105"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In February 2018, we received a communication on behalf of SDC Financial LLC, SmileDirectClub LLC, and the Members of SDC Financial LLC other than Align (collectively, the "SDC Entities") alleging that the launch and operation of our Invisalign store pilot program constitutes a breach of non-compete provisions applicable to the members of SDC Financial LLC, including Align. As a result of this alleged breach, SDC Financial LLC has notified Align that its members (other than Align) seek to exercise a right to repurchase all of Align’s SDC Financial LLC membership interests for a purchase price equal to the current capital account balance of Align. The SDC Entities also allege that Align has breached confidentiality provisions applicable to the SDC Financial LLC members and demands that Align cease all activities related to the Invisalign store pilot project, close existing Invisalign stores and cease using SDC’s confidential information. Align disputes the allegations that it has breached its obligations to the SDC Entities, including the allegation that the SDC Entities are entitled to exercise a repurchase right. Pursuant to the parties’ agreement, the dispute will be arbitrated if it is not resolved through negotiations. We are currently evaluating the potential impact that this could have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Business Combinations</w:t>
      </w:r>
    </w:p>
    <w:p>
      <w:pPr>
        <w:spacing w:after="0" w:line="154"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During the first quarter of 2017, we completed the acquisitions of certain distributors for the total estimated cash consideration of approximately $9.5 million including cash acquired. We preliminarily recorded $1.9 million of net tangible liabilities, $8.2 million of identifiable intangible assets and $3.2 million of goodwill. The preliminary fair values of net tangible liabilities and identifiable intangible assets acquired are based on preliminary valuations, and our estimates and assumptions are subject to change within the measurement period (up to one year from the acquisition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0"/>
          </w:cols>
          <w:pgMar w:left="220" w:top="689" w:right="199" w:bottom="1440" w:gutter="0" w:footer="0" w:header="0"/>
        </w:sectPr>
      </w:pPr>
    </w:p>
    <w:bookmarkStart w:id="78" w:name="page79"/>
    <w:bookmarkEnd w:id="78"/>
    <w:p>
      <w:pPr>
        <w:jc w:val="both"/>
        <w:ind w:firstLine="216"/>
        <w:spacing w:after="0" w:line="276" w:lineRule="auto"/>
        <w:rPr>
          <w:sz w:val="20"/>
          <w:szCs w:val="20"/>
          <w:color w:val="auto"/>
        </w:rPr>
      </w:pPr>
      <w:r>
        <w:rPr>
          <w:rFonts w:ascii="Arial" w:cs="Arial" w:eastAsia="Arial" w:hAnsi="Arial"/>
          <w:sz w:val="12"/>
          <w:szCs w:val="12"/>
          <w:color w:val="auto"/>
        </w:rPr>
        <w:t>The goodwill is primarily related to the benefit we expect 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 forma results of operations for these acquisitions have not been presented as they are not material to our results of operations, either individually or in aggregate, for the period ended December 31,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Goodwill and Intangible Assets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change in the carrying value of goodwill for the year ended December 31, 2017, all attributable to our Clear Aligner reporting unit,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8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173"/>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2015</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61,074</w:t>
            </w:r>
          </w:p>
        </w:tc>
      </w:tr>
      <w:tr>
        <w:trPr>
          <w:trHeight w:val="180"/>
        </w:trPr>
        <w:tc>
          <w:tcPr>
            <w:tcW w:w="98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 xml:space="preserve">Adjustments </w:t>
            </w:r>
            <w:r>
              <w:rPr>
                <w:rFonts w:ascii="Arial" w:cs="Arial" w:eastAsia="Arial" w:hAnsi="Arial"/>
                <w:sz w:val="14"/>
                <w:szCs w:val="14"/>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(30)</w:t>
            </w:r>
          </w:p>
        </w:tc>
      </w:tr>
      <w:tr>
        <w:trPr>
          <w:trHeight w:val="169"/>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December 31, 2016</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61,044</w:t>
            </w:r>
          </w:p>
        </w:tc>
      </w:tr>
      <w:tr>
        <w:trPr>
          <w:trHeight w:val="171"/>
        </w:trPr>
        <w:tc>
          <w:tcPr>
            <w:tcW w:w="9880" w:type="dxa"/>
            <w:vAlign w:val="bottom"/>
          </w:tcPr>
          <w:p>
            <w:pPr>
              <w:ind w:left="240"/>
              <w:spacing w:after="0"/>
              <w:rPr>
                <w:sz w:val="20"/>
                <w:szCs w:val="20"/>
                <w:color w:val="auto"/>
              </w:rPr>
            </w:pPr>
            <w:r>
              <w:rPr>
                <w:rFonts w:ascii="Arial" w:cs="Arial" w:eastAsia="Arial" w:hAnsi="Arial"/>
                <w:sz w:val="12"/>
                <w:szCs w:val="12"/>
                <w:color w:val="auto"/>
              </w:rPr>
              <w:t>Goodwill from distributor acquisitions</w:t>
            </w:r>
          </w:p>
        </w:tc>
        <w:tc>
          <w:tcPr>
            <w:tcW w:w="38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3,247</w:t>
            </w:r>
          </w:p>
        </w:tc>
      </w:tr>
      <w:tr>
        <w:trPr>
          <w:trHeight w:val="189"/>
        </w:trPr>
        <w:tc>
          <w:tcPr>
            <w:tcW w:w="9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 xml:space="preserve">Adjustments </w:t>
            </w:r>
            <w:r>
              <w:rPr>
                <w:rFonts w:ascii="Arial" w:cs="Arial" w:eastAsia="Arial" w:hAnsi="Arial"/>
                <w:sz w:val="14"/>
                <w:szCs w:val="14"/>
                <w:color w:val="auto"/>
                <w:vertAlign w:val="superscript"/>
              </w:rPr>
              <w:t>(1)</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323</w:t>
            </w:r>
          </w:p>
        </w:tc>
      </w:tr>
      <w:tr>
        <w:trPr>
          <w:trHeight w:val="176"/>
        </w:trPr>
        <w:tc>
          <w:tcPr>
            <w:tcW w:w="9880" w:type="dxa"/>
            <w:vAlign w:val="bottom"/>
          </w:tcPr>
          <w:p>
            <w:pPr>
              <w:ind w:left="20"/>
              <w:spacing w:after="0"/>
              <w:rPr>
                <w:sz w:val="20"/>
                <w:szCs w:val="20"/>
                <w:color w:val="auto"/>
              </w:rPr>
            </w:pPr>
            <w:r>
              <w:rPr>
                <w:rFonts w:ascii="Arial" w:cs="Arial" w:eastAsia="Arial" w:hAnsi="Arial"/>
                <w:sz w:val="12"/>
                <w:szCs w:val="12"/>
                <w:color w:val="auto"/>
              </w:rPr>
              <w:t>Balance as of December 31, 2017</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64,614</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The adjustments to goodwill during the period were related to foreign currency translation and/or purchase accounting adjustments within the measurement period.</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Impairment of Goodwill</w:t>
      </w:r>
    </w:p>
    <w:p>
      <w:pPr>
        <w:spacing w:after="0" w:line="150"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units is based on relative synergies generated as a result of an acquisition.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Annual Impairment Test</w:t>
      </w:r>
    </w:p>
    <w:p>
      <w:pPr>
        <w:spacing w:after="0" w:line="150" w:lineRule="exact"/>
        <w:rPr>
          <w:sz w:val="20"/>
          <w:szCs w:val="20"/>
          <w:color w:val="auto"/>
        </w:rPr>
      </w:pPr>
    </w:p>
    <w:p>
      <w:pPr>
        <w:ind w:left="280" w:right="580"/>
        <w:spacing w:after="0" w:line="464" w:lineRule="auto"/>
        <w:rPr>
          <w:sz w:val="20"/>
          <w:szCs w:val="20"/>
          <w:color w:val="auto"/>
        </w:rPr>
      </w:pPr>
      <w:r>
        <w:rPr>
          <w:rFonts w:ascii="Arial" w:cs="Arial" w:eastAsia="Arial" w:hAnsi="Arial"/>
          <w:sz w:val="12"/>
          <w:szCs w:val="12"/>
          <w:color w:val="auto"/>
        </w:rPr>
        <w:t xml:space="preserve">During the fourth quarter of fiscal 2017, we performed the annual goodwill impairment testing and found no impairment as the fair value of our Clear Aligner reporting unit was significantly in excess of its carrying value. </w:t>
      </w:r>
      <w:r>
        <w:rPr>
          <w:rFonts w:ascii="Arial" w:cs="Arial" w:eastAsia="Arial" w:hAnsi="Arial"/>
          <w:sz w:val="12"/>
          <w:szCs w:val="12"/>
          <w:b w:val="1"/>
          <w:bCs w:val="1"/>
          <w:i w:val="1"/>
          <w:iCs w:val="1"/>
          <w:color w:val="auto"/>
        </w:rPr>
        <w:t>Intangible Long-Lived Assets</w:t>
      </w:r>
    </w:p>
    <w:p>
      <w:pPr>
        <w:spacing w:after="0" w:line="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There were no triggering events in 2017 that would cause impairments of our long-lived assets.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Acquired intangible long-lived assets are being amortized as follows (in thousands):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437" w:right="199" w:bottom="1440" w:gutter="0" w:footer="0" w:header="0"/>
        </w:sectPr>
      </w:pPr>
    </w:p>
    <w:bookmarkStart w:id="79" w:name="page80"/>
    <w:bookmarkEnd w:id="79"/>
    <w:tbl>
      <w:tblPr>
        <w:tblLayout w:type="fixed"/>
        <w:tblInd w:w="8"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Weighted Average</w:t>
            </w: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center"/>
              <w:ind w:right="184"/>
              <w:spacing w:after="0"/>
              <w:rPr>
                <w:sz w:val="20"/>
                <w:szCs w:val="20"/>
                <w:color w:val="auto"/>
              </w:rPr>
            </w:pPr>
            <w:r>
              <w:rPr>
                <w:rFonts w:ascii="Arial" w:cs="Arial" w:eastAsia="Arial" w:hAnsi="Arial"/>
                <w:sz w:val="10"/>
                <w:szCs w:val="10"/>
                <w:b w:val="1"/>
                <w:bCs w:val="1"/>
                <w:color w:val="auto"/>
                <w:w w:val="89"/>
              </w:rPr>
              <w:t>Net Carrying</w:t>
            </w:r>
          </w:p>
        </w:tc>
      </w:tr>
      <w:tr>
        <w:trPr>
          <w:trHeight w:val="99"/>
        </w:trPr>
        <w:tc>
          <w:tcPr>
            <w:tcW w:w="4000" w:type="dxa"/>
            <w:vAlign w:val="bottom"/>
          </w:tcPr>
          <w:p>
            <w:pPr>
              <w:spacing w:after="0"/>
              <w:rPr>
                <w:sz w:val="8"/>
                <w:szCs w:val="8"/>
                <w:color w:val="auto"/>
              </w:rPr>
            </w:pPr>
          </w:p>
        </w:tc>
        <w:tc>
          <w:tcPr>
            <w:tcW w:w="12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Amortization Period (in</w:t>
            </w:r>
          </w:p>
        </w:tc>
        <w:tc>
          <w:tcPr>
            <w:tcW w:w="160" w:type="dxa"/>
            <w:vAlign w:val="bottom"/>
          </w:tcPr>
          <w:p>
            <w:pPr>
              <w:spacing w:after="0"/>
              <w:rPr>
                <w:sz w:val="8"/>
                <w:szCs w:val="8"/>
                <w:color w:val="auto"/>
              </w:rPr>
            </w:pPr>
          </w:p>
        </w:tc>
        <w:tc>
          <w:tcPr>
            <w:tcW w:w="1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Gross Carrying Amount as of</w:t>
            </w:r>
          </w:p>
        </w:tc>
        <w:tc>
          <w:tcPr>
            <w:tcW w:w="200" w:type="dxa"/>
            <w:vAlign w:val="bottom"/>
          </w:tcPr>
          <w:p>
            <w:pPr>
              <w:spacing w:after="0"/>
              <w:rPr>
                <w:sz w:val="8"/>
                <w:szCs w:val="8"/>
                <w:color w:val="auto"/>
              </w:rPr>
            </w:pPr>
          </w:p>
        </w:tc>
        <w:tc>
          <w:tcPr>
            <w:tcW w:w="108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Accumulated</w:t>
            </w: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64"/>
              <w:spacing w:after="0" w:line="99" w:lineRule="exact"/>
              <w:rPr>
                <w:sz w:val="20"/>
                <w:szCs w:val="20"/>
                <w:color w:val="auto"/>
              </w:rPr>
            </w:pPr>
            <w:r>
              <w:rPr>
                <w:rFonts w:ascii="Arial" w:cs="Arial" w:eastAsia="Arial" w:hAnsi="Arial"/>
                <w:sz w:val="10"/>
                <w:szCs w:val="10"/>
                <w:b w:val="1"/>
                <w:bCs w:val="1"/>
                <w:color w:val="auto"/>
                <w:w w:val="83"/>
              </w:rPr>
              <w:t>Value as of</w:t>
            </w:r>
          </w:p>
        </w:tc>
      </w:tr>
      <w:tr>
        <w:trPr>
          <w:trHeight w:val="128"/>
        </w:trPr>
        <w:tc>
          <w:tcPr>
            <w:tcW w:w="400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years)</w:t>
            </w:r>
          </w:p>
        </w:tc>
        <w:tc>
          <w:tcPr>
            <w:tcW w:w="160" w:type="dxa"/>
            <w:vAlign w:val="bottom"/>
          </w:tcPr>
          <w:p>
            <w:pPr>
              <w:spacing w:after="0"/>
              <w:rPr>
                <w:sz w:val="11"/>
                <w:szCs w:val="1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December 31, 2017</w:t>
            </w:r>
          </w:p>
        </w:tc>
        <w:tc>
          <w:tcPr>
            <w:tcW w:w="200" w:type="dxa"/>
            <w:vAlign w:val="bottom"/>
          </w:tcPr>
          <w:p>
            <w:pPr>
              <w:spacing w:after="0"/>
              <w:rPr>
                <w:sz w:val="11"/>
                <w:szCs w:val="11"/>
                <w:color w:val="auto"/>
              </w:rPr>
            </w:pPr>
          </w:p>
        </w:tc>
        <w:tc>
          <w:tcPr>
            <w:tcW w:w="108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Amortization</w:t>
            </w:r>
          </w:p>
        </w:tc>
        <w:tc>
          <w:tcPr>
            <w:tcW w:w="1460" w:type="dxa"/>
            <w:vAlign w:val="bottom"/>
            <w:gridSpan w:val="3"/>
          </w:tcPr>
          <w:p>
            <w:pPr>
              <w:ind w:left="40"/>
              <w:spacing w:after="0"/>
              <w:rPr>
                <w:sz w:val="20"/>
                <w:szCs w:val="20"/>
                <w:color w:val="auto"/>
              </w:rPr>
            </w:pPr>
            <w:r>
              <w:rPr>
                <w:rFonts w:ascii="Arial" w:cs="Arial" w:eastAsia="Arial" w:hAnsi="Arial"/>
                <w:sz w:val="10"/>
                <w:szCs w:val="10"/>
                <w:b w:val="1"/>
                <w:bCs w:val="1"/>
                <w:color w:val="auto"/>
                <w:w w:val="96"/>
              </w:rPr>
              <w:t>Accumulated Impairment Loss</w:t>
            </w:r>
          </w:p>
        </w:tc>
        <w:tc>
          <w:tcPr>
            <w:tcW w:w="240" w:type="dxa"/>
            <w:vAlign w:val="bottom"/>
          </w:tcPr>
          <w:p>
            <w:pPr>
              <w:spacing w:after="0"/>
              <w:rPr>
                <w:sz w:val="11"/>
                <w:szCs w:val="11"/>
                <w:color w:val="auto"/>
              </w:rPr>
            </w:pPr>
          </w:p>
        </w:tc>
        <w:tc>
          <w:tcPr>
            <w:tcW w:w="1340" w:type="dxa"/>
            <w:vAlign w:val="bottom"/>
          </w:tcPr>
          <w:p>
            <w:pPr>
              <w:jc w:val="center"/>
              <w:ind w:right="184"/>
              <w:spacing w:after="0"/>
              <w:rPr>
                <w:sz w:val="20"/>
                <w:szCs w:val="20"/>
                <w:color w:val="auto"/>
              </w:rPr>
            </w:pPr>
            <w:r>
              <w:rPr>
                <w:rFonts w:ascii="Arial" w:cs="Arial" w:eastAsia="Arial" w:hAnsi="Arial"/>
                <w:sz w:val="10"/>
                <w:szCs w:val="10"/>
                <w:b w:val="1"/>
                <w:bCs w:val="1"/>
                <w:color w:val="auto"/>
                <w:w w:val="86"/>
              </w:rPr>
              <w:t>December 31, 2017</w:t>
            </w:r>
          </w:p>
        </w:tc>
      </w:tr>
      <w:tr>
        <w:trPr>
          <w:trHeight w:val="17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Trademarks</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7,100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(1,769)</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(4,179)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1,152</w:t>
            </w:r>
          </w:p>
        </w:tc>
      </w:tr>
      <w:tr>
        <w:trPr>
          <w:trHeight w:val="171"/>
        </w:trPr>
        <w:tc>
          <w:tcPr>
            <w:tcW w:w="4000" w:type="dxa"/>
            <w:vAlign w:val="bottom"/>
          </w:tcPr>
          <w:p>
            <w:pPr>
              <w:ind w:left="20"/>
              <w:spacing w:after="0"/>
              <w:rPr>
                <w:sz w:val="20"/>
                <w:szCs w:val="20"/>
                <w:color w:val="auto"/>
              </w:rPr>
            </w:pPr>
            <w:r>
              <w:rPr>
                <w:rFonts w:ascii="Arial" w:cs="Arial" w:eastAsia="Arial" w:hAnsi="Arial"/>
                <w:sz w:val="12"/>
                <w:szCs w:val="12"/>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44"/>
              <w:spacing w:after="0"/>
              <w:rPr>
                <w:sz w:val="20"/>
                <w:szCs w:val="20"/>
                <w:color w:val="auto"/>
              </w:rPr>
            </w:pPr>
            <w:r>
              <w:rPr>
                <w:rFonts w:ascii="Arial" w:cs="Arial" w:eastAsia="Arial" w:hAnsi="Arial"/>
                <w:sz w:val="12"/>
                <w:szCs w:val="12"/>
                <w:color w:val="auto"/>
              </w:rPr>
              <w:t>12,600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(4,704)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(4,328)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44"/>
              <w:spacing w:after="0"/>
              <w:rPr>
                <w:sz w:val="20"/>
                <w:szCs w:val="20"/>
                <w:color w:val="auto"/>
              </w:rPr>
            </w:pPr>
            <w:r>
              <w:rPr>
                <w:rFonts w:ascii="Arial" w:cs="Arial" w:eastAsia="Arial" w:hAnsi="Arial"/>
                <w:sz w:val="12"/>
                <w:szCs w:val="12"/>
                <w:color w:val="auto"/>
              </w:rPr>
              <w:t>3,568</w:t>
            </w: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33,500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(14,681)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(10,751)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8,068</w:t>
            </w:r>
          </w:p>
        </w:tc>
      </w:tr>
      <w:tr>
        <w:trPr>
          <w:trHeight w:val="180"/>
        </w:trPr>
        <w:tc>
          <w:tcPr>
            <w:tcW w:w="4000" w:type="dxa"/>
            <w:vAlign w:val="bottom"/>
          </w:tcPr>
          <w:p>
            <w:pPr>
              <w:ind w:left="20"/>
              <w:spacing w:after="0" w:line="180" w:lineRule="exact"/>
              <w:rPr>
                <w:sz w:val="20"/>
                <w:szCs w:val="20"/>
                <w:color w:val="auto"/>
              </w:rPr>
            </w:pPr>
            <w:r>
              <w:rPr>
                <w:rFonts w:ascii="Arial" w:cs="Arial" w:eastAsia="Arial" w:hAnsi="Arial"/>
                <w:sz w:val="12"/>
                <w:szCs w:val="12"/>
                <w:color w:val="auto"/>
              </w:rPr>
              <w:t>Reacquired rights</w:t>
            </w:r>
            <w:r>
              <w:rPr>
                <w:rFonts w:ascii="Arial" w:cs="Arial" w:eastAsia="Arial" w:hAnsi="Arial"/>
                <w:sz w:val="16"/>
                <w:szCs w:val="16"/>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ind w:right="44"/>
              <w:spacing w:after="0"/>
              <w:rPr>
                <w:sz w:val="20"/>
                <w:szCs w:val="20"/>
                <w:color w:val="auto"/>
              </w:rPr>
            </w:pPr>
            <w:r>
              <w:rPr>
                <w:rFonts w:ascii="Arial" w:cs="Arial" w:eastAsia="Arial" w:hAnsi="Arial"/>
                <w:sz w:val="12"/>
                <w:szCs w:val="12"/>
                <w:color w:val="auto"/>
              </w:rPr>
              <w:t>7,500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(1,356)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340" w:type="dxa"/>
            <w:vAlign w:val="bottom"/>
          </w:tcPr>
          <w:p>
            <w:pPr>
              <w:jc w:val="right"/>
              <w:ind w:right="44"/>
              <w:spacing w:after="0"/>
              <w:rPr>
                <w:sz w:val="20"/>
                <w:szCs w:val="20"/>
                <w:color w:val="auto"/>
              </w:rPr>
            </w:pPr>
            <w:r>
              <w:rPr>
                <w:rFonts w:ascii="Arial" w:cs="Arial" w:eastAsia="Arial" w:hAnsi="Arial"/>
                <w:sz w:val="12"/>
                <w:szCs w:val="12"/>
                <w:color w:val="auto"/>
              </w:rPr>
              <w:t>6,144</w:t>
            </w: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Patents</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6,798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(1,504)</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5,294</w:t>
            </w:r>
          </w:p>
        </w:tc>
      </w:tr>
      <w:tr>
        <w:trPr>
          <w:trHeight w:val="171"/>
        </w:trPr>
        <w:tc>
          <w:tcPr>
            <w:tcW w:w="4000" w:type="dxa"/>
            <w:vAlign w:val="bottom"/>
          </w:tcPr>
          <w:p>
            <w:pPr>
              <w:ind w:left="20"/>
              <w:spacing w:after="0"/>
              <w:rPr>
                <w:sz w:val="20"/>
                <w:szCs w:val="20"/>
                <w:color w:val="auto"/>
              </w:rPr>
            </w:pPr>
            <w:r>
              <w:rPr>
                <w:rFonts w:ascii="Arial" w:cs="Arial" w:eastAsia="Arial" w:hAnsi="Arial"/>
                <w:sz w:val="12"/>
                <w:szCs w:val="12"/>
                <w:color w:val="auto"/>
              </w:rPr>
              <w:t>Other</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44"/>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(390)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340" w:type="dxa"/>
            <w:vAlign w:val="bottom"/>
          </w:tcPr>
          <w:p>
            <w:pPr>
              <w:jc w:val="right"/>
              <w:ind w:right="44"/>
              <w:spacing w:after="0"/>
              <w:rPr>
                <w:sz w:val="20"/>
                <w:szCs w:val="20"/>
                <w:color w:val="auto"/>
              </w:rPr>
            </w:pPr>
            <w:r>
              <w:rPr>
                <w:rFonts w:ascii="Arial" w:cs="Arial" w:eastAsia="Arial" w:hAnsi="Arial"/>
                <w:sz w:val="12"/>
                <w:szCs w:val="12"/>
                <w:color w:val="auto"/>
              </w:rPr>
              <w:t>228</w:t>
            </w:r>
          </w:p>
        </w:tc>
      </w:tr>
      <w:tr>
        <w:trPr>
          <w:trHeight w:val="18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intangible assets</w:t>
            </w: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68,116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(24,404)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24,454</w:t>
            </w:r>
          </w:p>
        </w:tc>
      </w:tr>
      <w:tr>
        <w:trPr>
          <w:trHeight w:val="193"/>
        </w:trPr>
        <w:tc>
          <w:tcPr>
            <w:tcW w:w="40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Weighted Average</w:t>
            </w: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Gross Carrying</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84"/>
              <w:spacing w:after="0"/>
              <w:rPr>
                <w:sz w:val="20"/>
                <w:szCs w:val="20"/>
                <w:color w:val="auto"/>
              </w:rPr>
            </w:pPr>
            <w:r>
              <w:rPr>
                <w:rFonts w:ascii="Arial" w:cs="Arial" w:eastAsia="Arial" w:hAnsi="Arial"/>
                <w:sz w:val="10"/>
                <w:szCs w:val="10"/>
                <w:b w:val="1"/>
                <w:bCs w:val="1"/>
                <w:color w:val="auto"/>
                <w:w w:val="89"/>
              </w:rPr>
              <w:t>Net Carrying</w:t>
            </w:r>
          </w:p>
        </w:tc>
      </w:tr>
      <w:tr>
        <w:trPr>
          <w:trHeight w:val="99"/>
        </w:trPr>
        <w:tc>
          <w:tcPr>
            <w:tcW w:w="4000" w:type="dxa"/>
            <w:vAlign w:val="bottom"/>
          </w:tcPr>
          <w:p>
            <w:pPr>
              <w:spacing w:after="0"/>
              <w:rPr>
                <w:sz w:val="8"/>
                <w:szCs w:val="8"/>
                <w:color w:val="auto"/>
              </w:rPr>
            </w:pPr>
          </w:p>
        </w:tc>
        <w:tc>
          <w:tcPr>
            <w:tcW w:w="12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Amortization Period (in</w:t>
            </w:r>
          </w:p>
        </w:tc>
        <w:tc>
          <w:tcPr>
            <w:tcW w:w="160" w:type="dxa"/>
            <w:vAlign w:val="bottom"/>
          </w:tcPr>
          <w:p>
            <w:pPr>
              <w:spacing w:after="0"/>
              <w:rPr>
                <w:sz w:val="8"/>
                <w:szCs w:val="8"/>
                <w:color w:val="auto"/>
              </w:rPr>
            </w:pPr>
          </w:p>
        </w:tc>
        <w:tc>
          <w:tcPr>
            <w:tcW w:w="16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Amount as of</w:t>
            </w:r>
          </w:p>
        </w:tc>
        <w:tc>
          <w:tcPr>
            <w:tcW w:w="200" w:type="dxa"/>
            <w:vAlign w:val="bottom"/>
          </w:tcPr>
          <w:p>
            <w:pPr>
              <w:spacing w:after="0"/>
              <w:rPr>
                <w:sz w:val="8"/>
                <w:szCs w:val="8"/>
                <w:color w:val="auto"/>
              </w:rPr>
            </w:pPr>
          </w:p>
        </w:tc>
        <w:tc>
          <w:tcPr>
            <w:tcW w:w="108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Accumulated</w:t>
            </w: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64"/>
              <w:spacing w:after="0" w:line="99" w:lineRule="exact"/>
              <w:rPr>
                <w:sz w:val="20"/>
                <w:szCs w:val="20"/>
                <w:color w:val="auto"/>
              </w:rPr>
            </w:pPr>
            <w:r>
              <w:rPr>
                <w:rFonts w:ascii="Arial" w:cs="Arial" w:eastAsia="Arial" w:hAnsi="Arial"/>
                <w:sz w:val="10"/>
                <w:szCs w:val="10"/>
                <w:b w:val="1"/>
                <w:bCs w:val="1"/>
                <w:color w:val="auto"/>
                <w:w w:val="83"/>
              </w:rPr>
              <w:t>Value as of</w:t>
            </w:r>
          </w:p>
        </w:tc>
      </w:tr>
      <w:tr>
        <w:trPr>
          <w:trHeight w:val="128"/>
        </w:trPr>
        <w:tc>
          <w:tcPr>
            <w:tcW w:w="400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years)</w:t>
            </w:r>
          </w:p>
        </w:tc>
        <w:tc>
          <w:tcPr>
            <w:tcW w:w="160" w:type="dxa"/>
            <w:vAlign w:val="bottom"/>
          </w:tcPr>
          <w:p>
            <w:pPr>
              <w:spacing w:after="0"/>
              <w:rPr>
                <w:sz w:val="11"/>
                <w:szCs w:val="1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December 31, 2016</w:t>
            </w:r>
          </w:p>
        </w:tc>
        <w:tc>
          <w:tcPr>
            <w:tcW w:w="200" w:type="dxa"/>
            <w:vAlign w:val="bottom"/>
          </w:tcPr>
          <w:p>
            <w:pPr>
              <w:spacing w:after="0"/>
              <w:rPr>
                <w:sz w:val="11"/>
                <w:szCs w:val="11"/>
                <w:color w:val="auto"/>
              </w:rPr>
            </w:pPr>
          </w:p>
        </w:tc>
        <w:tc>
          <w:tcPr>
            <w:tcW w:w="1080" w:type="dxa"/>
            <w:vAlign w:val="bottom"/>
            <w:gridSpan w:val="2"/>
          </w:tcPr>
          <w:p>
            <w:pPr>
              <w:ind w:left="100"/>
              <w:spacing w:after="0"/>
              <w:rPr>
                <w:sz w:val="20"/>
                <w:szCs w:val="20"/>
                <w:color w:val="auto"/>
              </w:rPr>
            </w:pPr>
            <w:r>
              <w:rPr>
                <w:rFonts w:ascii="Arial" w:cs="Arial" w:eastAsia="Arial" w:hAnsi="Arial"/>
                <w:sz w:val="10"/>
                <w:szCs w:val="10"/>
                <w:b w:val="1"/>
                <w:bCs w:val="1"/>
                <w:color w:val="auto"/>
              </w:rPr>
              <w:t>Amortization</w:t>
            </w:r>
          </w:p>
        </w:tc>
        <w:tc>
          <w:tcPr>
            <w:tcW w:w="1460" w:type="dxa"/>
            <w:vAlign w:val="bottom"/>
            <w:gridSpan w:val="3"/>
          </w:tcPr>
          <w:p>
            <w:pPr>
              <w:ind w:left="40"/>
              <w:spacing w:after="0"/>
              <w:rPr>
                <w:sz w:val="20"/>
                <w:szCs w:val="20"/>
                <w:color w:val="auto"/>
              </w:rPr>
            </w:pPr>
            <w:r>
              <w:rPr>
                <w:rFonts w:ascii="Arial" w:cs="Arial" w:eastAsia="Arial" w:hAnsi="Arial"/>
                <w:sz w:val="10"/>
                <w:szCs w:val="10"/>
                <w:b w:val="1"/>
                <w:bCs w:val="1"/>
                <w:color w:val="auto"/>
                <w:w w:val="96"/>
              </w:rPr>
              <w:t>Accumulated Impairment Loss</w:t>
            </w:r>
          </w:p>
        </w:tc>
        <w:tc>
          <w:tcPr>
            <w:tcW w:w="240" w:type="dxa"/>
            <w:vAlign w:val="bottom"/>
          </w:tcPr>
          <w:p>
            <w:pPr>
              <w:spacing w:after="0"/>
              <w:rPr>
                <w:sz w:val="11"/>
                <w:szCs w:val="11"/>
                <w:color w:val="auto"/>
              </w:rPr>
            </w:pPr>
          </w:p>
        </w:tc>
        <w:tc>
          <w:tcPr>
            <w:tcW w:w="1340" w:type="dxa"/>
            <w:vAlign w:val="bottom"/>
          </w:tcPr>
          <w:p>
            <w:pPr>
              <w:jc w:val="center"/>
              <w:ind w:right="184"/>
              <w:spacing w:after="0"/>
              <w:rPr>
                <w:sz w:val="20"/>
                <w:szCs w:val="20"/>
                <w:color w:val="auto"/>
              </w:rPr>
            </w:pPr>
            <w:r>
              <w:rPr>
                <w:rFonts w:ascii="Arial" w:cs="Arial" w:eastAsia="Arial" w:hAnsi="Arial"/>
                <w:sz w:val="10"/>
                <w:szCs w:val="10"/>
                <w:b w:val="1"/>
                <w:bCs w:val="1"/>
                <w:color w:val="auto"/>
                <w:w w:val="86"/>
              </w:rPr>
              <w:t>December 31, 2016</w:t>
            </w:r>
          </w:p>
        </w:tc>
      </w:tr>
      <w:tr>
        <w:trPr>
          <w:trHeight w:val="17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Trademarks</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7,100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(1,631)</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(4,179)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1,290</w:t>
            </w:r>
          </w:p>
        </w:tc>
      </w:tr>
      <w:tr>
        <w:trPr>
          <w:trHeight w:val="171"/>
        </w:trPr>
        <w:tc>
          <w:tcPr>
            <w:tcW w:w="4000" w:type="dxa"/>
            <w:vAlign w:val="bottom"/>
          </w:tcPr>
          <w:p>
            <w:pPr>
              <w:ind w:left="20"/>
              <w:spacing w:after="0"/>
              <w:rPr>
                <w:sz w:val="20"/>
                <w:szCs w:val="20"/>
                <w:color w:val="auto"/>
              </w:rPr>
            </w:pPr>
            <w:r>
              <w:rPr>
                <w:rFonts w:ascii="Arial" w:cs="Arial" w:eastAsia="Arial" w:hAnsi="Arial"/>
                <w:sz w:val="12"/>
                <w:szCs w:val="12"/>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44"/>
              <w:spacing w:after="0"/>
              <w:rPr>
                <w:sz w:val="20"/>
                <w:szCs w:val="20"/>
                <w:color w:val="auto"/>
              </w:rPr>
            </w:pPr>
            <w:r>
              <w:rPr>
                <w:rFonts w:ascii="Arial" w:cs="Arial" w:eastAsia="Arial" w:hAnsi="Arial"/>
                <w:sz w:val="12"/>
                <w:szCs w:val="12"/>
                <w:color w:val="auto"/>
              </w:rPr>
              <w:t>12,600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(4,141)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(4,328)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44"/>
              <w:spacing w:after="0"/>
              <w:rPr>
                <w:sz w:val="20"/>
                <w:szCs w:val="20"/>
                <w:color w:val="auto"/>
              </w:rPr>
            </w:pPr>
            <w:r>
              <w:rPr>
                <w:rFonts w:ascii="Arial" w:cs="Arial" w:eastAsia="Arial" w:hAnsi="Arial"/>
                <w:sz w:val="12"/>
                <w:szCs w:val="12"/>
                <w:color w:val="auto"/>
              </w:rPr>
              <w:t>4,131</w:t>
            </w:r>
          </w:p>
        </w:tc>
      </w:tr>
      <w:tr>
        <w:trPr>
          <w:trHeight w:val="189"/>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33,500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(12,819)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(10,751)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9,930</w:t>
            </w:r>
          </w:p>
        </w:tc>
      </w:tr>
      <w:tr>
        <w:trPr>
          <w:trHeight w:val="171"/>
        </w:trPr>
        <w:tc>
          <w:tcPr>
            <w:tcW w:w="4000" w:type="dxa"/>
            <w:vAlign w:val="bottom"/>
          </w:tcPr>
          <w:p>
            <w:pPr>
              <w:ind w:left="20"/>
              <w:spacing w:after="0"/>
              <w:rPr>
                <w:sz w:val="20"/>
                <w:szCs w:val="20"/>
                <w:color w:val="auto"/>
              </w:rPr>
            </w:pPr>
            <w:r>
              <w:rPr>
                <w:rFonts w:ascii="Arial" w:cs="Arial" w:eastAsia="Arial" w:hAnsi="Arial"/>
                <w:sz w:val="12"/>
                <w:szCs w:val="12"/>
                <w:color w:val="auto"/>
              </w:rPr>
              <w:t>Patents</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44"/>
              <w:spacing w:after="0"/>
              <w:rPr>
                <w:sz w:val="20"/>
                <w:szCs w:val="20"/>
                <w:color w:val="auto"/>
              </w:rPr>
            </w:pPr>
            <w:r>
              <w:rPr>
                <w:rFonts w:ascii="Arial" w:cs="Arial" w:eastAsia="Arial" w:hAnsi="Arial"/>
                <w:sz w:val="12"/>
                <w:szCs w:val="12"/>
                <w:color w:val="auto"/>
              </w:rPr>
              <w:t>6,316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2"/>
                <w:szCs w:val="12"/>
                <w:color w:val="auto"/>
              </w:rPr>
              <w:t>(713)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340" w:type="dxa"/>
            <w:vAlign w:val="bottom"/>
          </w:tcPr>
          <w:p>
            <w:pPr>
              <w:jc w:val="right"/>
              <w:ind w:right="44"/>
              <w:spacing w:after="0"/>
              <w:rPr>
                <w:sz w:val="20"/>
                <w:szCs w:val="20"/>
                <w:color w:val="auto"/>
              </w:rPr>
            </w:pPr>
            <w:r>
              <w:rPr>
                <w:rFonts w:ascii="Arial" w:cs="Arial" w:eastAsia="Arial" w:hAnsi="Arial"/>
                <w:sz w:val="12"/>
                <w:szCs w:val="12"/>
                <w:color w:val="auto"/>
              </w:rPr>
              <w:t>5,603</w:t>
            </w:r>
          </w:p>
        </w:tc>
      </w:tr>
      <w:tr>
        <w:trPr>
          <w:trHeight w:val="185"/>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intangible assets</w:t>
            </w: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59,516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(19,304)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20,954</w:t>
            </w:r>
          </w:p>
        </w:tc>
      </w:tr>
    </w:tbl>
    <w:p>
      <w:pPr>
        <w:spacing w:after="0" w:line="148" w:lineRule="exact"/>
        <w:rPr>
          <w:sz w:val="20"/>
          <w:szCs w:val="20"/>
          <w:color w:val="auto"/>
        </w:rPr>
      </w:pPr>
    </w:p>
    <w:p>
      <w:pPr>
        <w:jc w:val="both"/>
        <w:ind w:left="8" w:hanging="8"/>
        <w:spacing w:after="0" w:line="227" w:lineRule="auto"/>
        <w:tabs>
          <w:tab w:leader="none" w:pos="71" w:val="left"/>
        </w:tabs>
        <w:numPr>
          <w:ilvl w:val="0"/>
          <w:numId w:val="43"/>
        </w:numPr>
        <w:rPr>
          <w:rFonts w:ascii="Arial" w:cs="Arial" w:eastAsia="Arial" w:hAnsi="Arial"/>
          <w:sz w:val="17"/>
          <w:szCs w:val="17"/>
          <w:color w:val="auto"/>
          <w:vertAlign w:val="superscript"/>
        </w:rPr>
      </w:pPr>
      <w:r>
        <w:rPr>
          <w:rFonts w:ascii="Arial" w:cs="Arial" w:eastAsia="Arial" w:hAnsi="Arial"/>
          <w:sz w:val="11"/>
          <w:szCs w:val="11"/>
          <w:color w:val="auto"/>
        </w:rPr>
        <w:t>The fair value of reacquired rights obtained from distributor acquisitions during the first quarter of fiscal year 2017 is valued using the income approach. In addition, we effectively settled the pre-existing relationship with the distributors by assessing whether the distributor agreements include favorable or unfavorable terms compared to current market rates. Based on the assessment, we determined that the distributor agreements had terms that are consistent with market rates and, therefore, no settlement gains or losses are recorded associated with the acquisition.</w:t>
      </w:r>
    </w:p>
    <w:p>
      <w:pPr>
        <w:spacing w:after="0" w:line="10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9400" w:type="dxa"/>
            <w:vAlign w:val="bottom"/>
          </w:tcPr>
          <w:p>
            <w:pPr>
              <w:ind w:left="280"/>
              <w:spacing w:after="0"/>
              <w:rPr>
                <w:sz w:val="20"/>
                <w:szCs w:val="20"/>
                <w:color w:val="auto"/>
              </w:rPr>
            </w:pPr>
            <w:r>
              <w:rPr>
                <w:rFonts w:ascii="Arial" w:cs="Arial" w:eastAsia="Arial" w:hAnsi="Arial"/>
                <w:sz w:val="12"/>
                <w:szCs w:val="12"/>
                <w:color w:val="auto"/>
              </w:rPr>
              <w:t>The total estimated future amortization expense for these acquired intangible assets as of December 31, 2017 is as follows (in thousands):</w:t>
            </w: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1"/>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Fiscal Year</w:t>
            </w:r>
          </w:p>
        </w:tc>
        <w:tc>
          <w:tcPr>
            <w:tcW w:w="8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173"/>
        </w:trPr>
        <w:tc>
          <w:tcPr>
            <w:tcW w:w="9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6,379</w:t>
            </w:r>
          </w:p>
        </w:tc>
      </w:tr>
      <w:tr>
        <w:trPr>
          <w:trHeight w:val="171"/>
        </w:trPr>
        <w:tc>
          <w:tcPr>
            <w:tcW w:w="9400" w:type="dxa"/>
            <w:vAlign w:val="bottom"/>
          </w:tcPr>
          <w:p>
            <w:pPr>
              <w:ind w:left="20"/>
              <w:spacing w:after="0"/>
              <w:rPr>
                <w:sz w:val="20"/>
                <w:szCs w:val="20"/>
                <w:color w:val="auto"/>
              </w:rPr>
            </w:pPr>
            <w:r>
              <w:rPr>
                <w:rFonts w:ascii="Arial" w:cs="Arial" w:eastAsia="Arial" w:hAnsi="Arial"/>
                <w:sz w:val="12"/>
                <w:szCs w:val="12"/>
                <w:color w:val="auto"/>
              </w:rPr>
              <w:t>2019</w:t>
            </w:r>
          </w:p>
        </w:tc>
        <w:tc>
          <w:tcPr>
            <w:tcW w:w="840" w:type="dxa"/>
            <w:vAlign w:val="bottom"/>
          </w:tcPr>
          <w:p>
            <w:pPr>
              <w:spacing w:after="0"/>
              <w:rPr>
                <w:sz w:val="14"/>
                <w:szCs w:val="14"/>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6,265</w:t>
            </w: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3,869</w:t>
            </w:r>
          </w:p>
        </w:tc>
      </w:tr>
      <w:tr>
        <w:trPr>
          <w:trHeight w:val="171"/>
        </w:trPr>
        <w:tc>
          <w:tcPr>
            <w:tcW w:w="9400" w:type="dxa"/>
            <w:vAlign w:val="bottom"/>
          </w:tcPr>
          <w:p>
            <w:pPr>
              <w:ind w:left="20"/>
              <w:spacing w:after="0"/>
              <w:rPr>
                <w:sz w:val="20"/>
                <w:szCs w:val="20"/>
                <w:color w:val="auto"/>
              </w:rPr>
            </w:pPr>
            <w:r>
              <w:rPr>
                <w:rFonts w:ascii="Arial" w:cs="Arial" w:eastAsia="Arial" w:hAnsi="Arial"/>
                <w:sz w:val="12"/>
                <w:szCs w:val="12"/>
                <w:color w:val="auto"/>
              </w:rPr>
              <w:t>2021</w:t>
            </w:r>
          </w:p>
        </w:tc>
        <w:tc>
          <w:tcPr>
            <w:tcW w:w="840" w:type="dxa"/>
            <w:vAlign w:val="bottom"/>
          </w:tcPr>
          <w:p>
            <w:pPr>
              <w:spacing w:after="0"/>
              <w:rPr>
                <w:sz w:val="14"/>
                <w:szCs w:val="14"/>
                <w:color w:val="auto"/>
              </w:rPr>
            </w:pP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3,389</w:t>
            </w:r>
          </w:p>
        </w:tc>
      </w:tr>
      <w:tr>
        <w:trPr>
          <w:trHeight w:val="189"/>
        </w:trPr>
        <w:tc>
          <w:tcPr>
            <w:tcW w:w="9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2,116</w:t>
            </w:r>
          </w:p>
        </w:tc>
      </w:tr>
      <w:tr>
        <w:trPr>
          <w:trHeight w:val="171"/>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2,436</w:t>
            </w:r>
          </w:p>
        </w:tc>
      </w:tr>
      <w:tr>
        <w:trPr>
          <w:trHeight w:val="18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24,454</w:t>
            </w:r>
          </w:p>
        </w:tc>
      </w:tr>
    </w:tbl>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7. Credit Facility</w:t>
      </w:r>
    </w:p>
    <w:p>
      <w:pPr>
        <w:spacing w:after="0" w:line="208" w:lineRule="exact"/>
        <w:rPr>
          <w:sz w:val="20"/>
          <w:szCs w:val="20"/>
          <w:color w:val="auto"/>
        </w:rPr>
      </w:pPr>
    </w:p>
    <w:p>
      <w:pPr>
        <w:jc w:val="both"/>
        <w:ind w:left="8" w:firstLine="270"/>
        <w:spacing w:after="0" w:line="255" w:lineRule="auto"/>
        <w:rPr>
          <w:sz w:val="20"/>
          <w:szCs w:val="20"/>
          <w:color w:val="auto"/>
        </w:rPr>
      </w:pPr>
      <w:r>
        <w:rPr>
          <w:rFonts w:ascii="Arial" w:cs="Arial" w:eastAsia="Arial" w:hAnsi="Arial"/>
          <w:sz w:val="12"/>
          <w:szCs w:val="12"/>
          <w:color w:val="auto"/>
        </w:rPr>
        <w:t>We have a credit facility that provides for a $50.0 million revolving line of credit, with a $10.0 million letter of credit. The credit facility requires us to comply with specific financial conditions and performance requirements. On February 10, 2017, we amended the credit facility and extended the maturity date to March 22, 2018. The loans bear interest, at our option, at a fluctuating rate per annum equal to the daily one-month adjusted LIBOR rate plus a spread of 1.75% or an adjusted LIBOR rate (based on one, three, six or twelve-month interest periods) plus a spread of 1.75%. On July 24, 2017, we amended the credit facility's negative covenants to allow for a Costa Rica building purchase, an additional equity interest in SDC and an increase in SDC's loan limit. As of December 31, 2017, we had no outstanding borrowings under this credit facility and were in compliance with the conditions and performance requirements (</w:t>
      </w:r>
      <w:r>
        <w:rPr>
          <w:rFonts w:ascii="Arial" w:cs="Arial" w:eastAsia="Arial" w:hAnsi="Arial"/>
          <w:sz w:val="12"/>
          <w:szCs w:val="12"/>
          <w:i w:val="1"/>
          <w:iCs w:val="1"/>
          <w:color w:val="auto"/>
        </w:rPr>
        <w:t>Refer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to Note 4 "Equity Method Investments" of the Notes to Consolidated Financial Statements </w:t>
      </w:r>
      <w:r>
        <w:rPr>
          <w:rFonts w:ascii="Arial" w:cs="Arial" w:eastAsia="Arial" w:hAnsi="Arial"/>
          <w:sz w:val="12"/>
          <w:szCs w:val="12"/>
          <w:color w:val="auto"/>
        </w:rPr>
        <w:t>for information on the additional equity interest in SDC and</w:t>
      </w:r>
      <w:r>
        <w:rPr>
          <w:rFonts w:ascii="Arial" w:cs="Arial" w:eastAsia="Arial" w:hAnsi="Arial"/>
          <w:sz w:val="12"/>
          <w:szCs w:val="12"/>
          <w:i w:val="1"/>
          <w:iCs w:val="1"/>
          <w:color w:val="auto"/>
        </w:rPr>
        <w:t xml:space="preserve"> Refer to Note 9 "Commitments and Contingencies" of the Notes to Consolidated Financial Statements </w:t>
      </w:r>
      <w:r>
        <w:rPr>
          <w:rFonts w:ascii="Arial" w:cs="Arial" w:eastAsia="Arial" w:hAnsi="Arial"/>
          <w:sz w:val="12"/>
          <w:szCs w:val="12"/>
          <w:color w:val="auto"/>
        </w:rPr>
        <w:t>for information on the Costa Rica building purchase and SDC loan agreement).</w:t>
      </w:r>
    </w:p>
    <w:p>
      <w:pPr>
        <w:spacing w:after="0" w:line="129" w:lineRule="exact"/>
        <w:rPr>
          <w:sz w:val="20"/>
          <w:szCs w:val="20"/>
          <w:color w:val="auto"/>
        </w:rPr>
      </w:pPr>
    </w:p>
    <w:p>
      <w:pPr>
        <w:ind w:left="268"/>
        <w:spacing w:after="0"/>
        <w:rPr>
          <w:sz w:val="20"/>
          <w:szCs w:val="20"/>
          <w:color w:val="auto"/>
        </w:rPr>
      </w:pPr>
      <w:r>
        <w:rPr>
          <w:rFonts w:ascii="Arial" w:cs="Arial" w:eastAsia="Arial" w:hAnsi="Arial"/>
          <w:sz w:val="12"/>
          <w:szCs w:val="12"/>
          <w:color w:val="auto"/>
        </w:rPr>
        <w:t>On February 27, 2018, we entered into a new credit facility for a $200.0 million revolving line of credit, with a $50.0 million</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8"/>
          </w:cols>
          <w:pgMar w:left="212" w:top="523" w:right="199" w:bottom="1440" w:gutter="0" w:footer="0" w:header="0"/>
        </w:sectPr>
      </w:pPr>
    </w:p>
    <w:bookmarkStart w:id="80" w:name="page81"/>
    <w:bookmarkEnd w:id="80"/>
    <w:p>
      <w:pPr>
        <w:jc w:val="both"/>
        <w:spacing w:after="0" w:line="290" w:lineRule="auto"/>
        <w:rPr>
          <w:sz w:val="20"/>
          <w:szCs w:val="20"/>
          <w:color w:val="auto"/>
        </w:rPr>
      </w:pPr>
      <w:r>
        <w:rPr>
          <w:rFonts w:ascii="Arial" w:cs="Arial" w:eastAsia="Arial" w:hAnsi="Arial"/>
          <w:sz w:val="11"/>
          <w:szCs w:val="11"/>
          <w:color w:val="auto"/>
        </w:rPr>
        <w:t>letter of credit, and a maturity date of February 27, 2021, replacing the existing credit facility. The credit facility requires us to comply with specific financial conditions and performance requirements. The loans bear interest, at our option, at either a rate based on the reserve adjusted LIBOR for the applicable interest period or a base rate, in each case plus a margin. The base rate is the highest of the credit facility’s publicly announced prime rate, the federal funds rate plus 0.50% and one month LIBOR plus 1.0%. The margin ranges from 1.25% to 1.75% for LIBOR loans and 0.25% to 0.75% for base rate loans. Interest on the loans is payable quarterly in arrears with respect to base rate loans and at the end of an interest period (and at three month intervals if the interest period exceeds three months) in the case of LIBOR loans. Principal, together with accrued and unpaid interest, is due on the maturity date.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Legal Proceedings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Securities Class Action Lawsuit</w:t>
      </w:r>
    </w:p>
    <w:p>
      <w:pPr>
        <w:spacing w:after="0" w:line="150" w:lineRule="exact"/>
        <w:rPr>
          <w:sz w:val="20"/>
          <w:szCs w:val="20"/>
          <w:color w:val="auto"/>
        </w:rPr>
      </w:pPr>
    </w:p>
    <w:p>
      <w:pPr>
        <w:jc w:val="both"/>
        <w:ind w:firstLine="270"/>
        <w:spacing w:after="0" w:line="278" w:lineRule="auto"/>
        <w:rPr>
          <w:sz w:val="20"/>
          <w:szCs w:val="20"/>
          <w:color w:val="auto"/>
        </w:rPr>
      </w:pPr>
      <w:r>
        <w:rPr>
          <w:rFonts w:ascii="Arial" w:cs="Arial" w:eastAsia="Arial" w:hAnsi="Arial"/>
          <w:sz w:val="11"/>
          <w:szCs w:val="11"/>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and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On May 5, 2017, the Ninth Circuit affirmed the district court's dismissal of the complaint. Plaintiff filed a request for rehearing that was denied by the Ninth Circuit on June 14, 2017. Plaintiff had 90 days following the June 14 Order to file a petition for a writ of certiorari with the United States Supreme Court which has passed and this case has been dismissed without leave to amend.</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Shareholder Derivative Lawsuit</w:t>
      </w:r>
    </w:p>
    <w:p>
      <w:pPr>
        <w:spacing w:after="0" w:line="150" w:lineRule="exact"/>
        <w:rPr>
          <w:sz w:val="20"/>
          <w:szCs w:val="20"/>
          <w:color w:val="auto"/>
        </w:rPr>
      </w:pPr>
    </w:p>
    <w:p>
      <w:pPr>
        <w:jc w:val="both"/>
        <w:ind w:firstLine="270"/>
        <w:spacing w:after="0" w:line="281" w:lineRule="auto"/>
        <w:rPr>
          <w:sz w:val="20"/>
          <w:szCs w:val="20"/>
          <w:color w:val="auto"/>
        </w:rPr>
      </w:pPr>
      <w:r>
        <w:rPr>
          <w:rFonts w:ascii="Arial" w:cs="Arial" w:eastAsia="Arial" w:hAnsi="Arial"/>
          <w:sz w:val="11"/>
          <w:szCs w:val="11"/>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On June 28, 2017, the Court entered an Order dismissing this action with prejudice pursuant to a joint stipulation between the parties.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Patent Infringement Lawsuit</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80"/>
          </w:cols>
          <w:pgMar w:left="220" w:top="437" w:right="19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2"/>
          <w:szCs w:val="12"/>
          <w:color w:val="auto"/>
        </w:rPr>
        <w:t>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2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Commitments and Contingencies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lease our facilities and certain equipment and automobiles under non-cancelable operating lease arrangements that expire at various dates through 2027 and provide for pre-negotiated fixed rental rates during the terms of the lease. The terms of some of our leases provide for rental payments on a graduated scale. We recognize rent expense on a straight-line basis over the lease period. Total rent expense was $13.8 million, $9.9 million and $8.2 million, for the year ended December 31, 2017, 2016 and 2015, respectively. Sublease income is not material and excluded from the table below.</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Minimum future lease payments for non-cancelable leases as of December 31, 2017,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60" w:type="dxa"/>
            <w:vAlign w:val="bottom"/>
            <w:gridSpan w:val="3"/>
          </w:tcPr>
          <w:p>
            <w:pPr>
              <w:ind w:left="20"/>
              <w:spacing w:after="0"/>
              <w:rPr>
                <w:sz w:val="20"/>
                <w:szCs w:val="20"/>
                <w:color w:val="auto"/>
              </w:rPr>
            </w:pPr>
            <w:r>
              <w:rPr>
                <w:rFonts w:ascii="Arial" w:cs="Arial" w:eastAsia="Arial" w:hAnsi="Arial"/>
                <w:sz w:val="10"/>
                <w:szCs w:val="10"/>
                <w:b w:val="1"/>
                <w:bCs w:val="1"/>
                <w:color w:val="auto"/>
              </w:rPr>
              <w:t>Fiscal Year</w:t>
            </w:r>
          </w:p>
        </w:tc>
        <w:tc>
          <w:tcPr>
            <w:tcW w:w="440" w:type="dxa"/>
            <w:vAlign w:val="bottom"/>
          </w:tcPr>
          <w:p>
            <w:pPr>
              <w:spacing w:after="0"/>
              <w:rPr>
                <w:sz w:val="10"/>
                <w:szCs w:val="10"/>
                <w:color w:val="auto"/>
              </w:rPr>
            </w:pPr>
          </w:p>
        </w:tc>
        <w:tc>
          <w:tcPr>
            <w:tcW w:w="1840" w:type="dxa"/>
            <w:vAlign w:val="bottom"/>
          </w:tcPr>
          <w:p>
            <w:pPr>
              <w:jc w:val="right"/>
              <w:ind w:right="721"/>
              <w:spacing w:after="0"/>
              <w:rPr>
                <w:sz w:val="20"/>
                <w:szCs w:val="20"/>
                <w:color w:val="auto"/>
              </w:rPr>
            </w:pPr>
            <w:r>
              <w:rPr>
                <w:rFonts w:ascii="Arial" w:cs="Arial" w:eastAsia="Arial" w:hAnsi="Arial"/>
                <w:sz w:val="10"/>
                <w:szCs w:val="10"/>
                <w:b w:val="1"/>
                <w:bCs w:val="1"/>
                <w:color w:val="auto"/>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6"/>
        </w:trPr>
        <w:tc>
          <w:tcPr>
            <w:tcW w:w="4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2018</w:t>
            </w:r>
          </w:p>
        </w:tc>
        <w:tc>
          <w:tcPr>
            <w:tcW w:w="8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14,799</w:t>
            </w:r>
          </w:p>
        </w:tc>
      </w:tr>
      <w:tr>
        <w:trPr>
          <w:trHeight w:val="171"/>
        </w:trPr>
        <w:tc>
          <w:tcPr>
            <w:tcW w:w="460" w:type="dxa"/>
            <w:vAlign w:val="bottom"/>
            <w:gridSpan w:val="2"/>
          </w:tcPr>
          <w:p>
            <w:pPr>
              <w:ind w:left="20"/>
              <w:spacing w:after="0"/>
              <w:rPr>
                <w:sz w:val="20"/>
                <w:szCs w:val="20"/>
                <w:color w:val="auto"/>
              </w:rPr>
            </w:pPr>
            <w:r>
              <w:rPr>
                <w:rFonts w:ascii="Arial" w:cs="Arial" w:eastAsia="Arial" w:hAnsi="Arial"/>
                <w:sz w:val="12"/>
                <w:szCs w:val="12"/>
                <w:color w:val="auto"/>
              </w:rPr>
              <w:t>2019</w:t>
            </w: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right"/>
              <w:ind w:right="41"/>
              <w:spacing w:after="0"/>
              <w:rPr>
                <w:sz w:val="20"/>
                <w:szCs w:val="20"/>
                <w:color w:val="auto"/>
              </w:rPr>
            </w:pPr>
            <w:r>
              <w:rPr>
                <w:rFonts w:ascii="Arial" w:cs="Arial" w:eastAsia="Arial" w:hAnsi="Arial"/>
                <w:sz w:val="12"/>
                <w:szCs w:val="12"/>
                <w:color w:val="auto"/>
              </w:rPr>
              <w:t>13,260</w:t>
            </w: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8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9,759</w:t>
            </w:r>
          </w:p>
        </w:tc>
      </w:tr>
      <w:tr>
        <w:trPr>
          <w:trHeight w:val="171"/>
        </w:trPr>
        <w:tc>
          <w:tcPr>
            <w:tcW w:w="460" w:type="dxa"/>
            <w:vAlign w:val="bottom"/>
            <w:gridSpan w:val="2"/>
          </w:tcPr>
          <w:p>
            <w:pPr>
              <w:ind w:left="20"/>
              <w:spacing w:after="0"/>
              <w:rPr>
                <w:sz w:val="20"/>
                <w:szCs w:val="20"/>
                <w:color w:val="auto"/>
              </w:rPr>
            </w:pPr>
            <w:r>
              <w:rPr>
                <w:rFonts w:ascii="Arial" w:cs="Arial" w:eastAsia="Arial" w:hAnsi="Arial"/>
                <w:sz w:val="12"/>
                <w:szCs w:val="12"/>
                <w:color w:val="auto"/>
              </w:rPr>
              <w:t>2021</w:t>
            </w: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jc w:val="right"/>
              <w:ind w:right="41"/>
              <w:spacing w:after="0"/>
              <w:rPr>
                <w:sz w:val="20"/>
                <w:szCs w:val="20"/>
                <w:color w:val="auto"/>
              </w:rPr>
            </w:pPr>
            <w:r>
              <w:rPr>
                <w:rFonts w:ascii="Arial" w:cs="Arial" w:eastAsia="Arial" w:hAnsi="Arial"/>
                <w:sz w:val="12"/>
                <w:szCs w:val="12"/>
                <w:color w:val="auto"/>
              </w:rPr>
              <w:t>8,137</w:t>
            </w: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8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6,027</w:t>
            </w:r>
          </w:p>
        </w:tc>
      </w:tr>
      <w:tr>
        <w:trPr>
          <w:trHeight w:val="171"/>
        </w:trPr>
        <w:tc>
          <w:tcPr>
            <w:tcW w:w="91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Thereafter</w:t>
            </w: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9,573</w:t>
            </w:r>
          </w:p>
        </w:tc>
      </w:tr>
      <w:tr>
        <w:trPr>
          <w:trHeight w:val="185"/>
        </w:trPr>
        <w:tc>
          <w:tcPr>
            <w:tcW w:w="9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minimum lease payments</w:t>
            </w: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61,555</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Other Commitments</w:t>
      </w:r>
    </w:p>
    <w:p>
      <w:pPr>
        <w:spacing w:after="0" w:line="15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On July 25, 2016, we entered into a Loan and Security Agreement (the "Loan Agreement") with SmileDirectClub, LLC ("SDC") where we agreed to provide a loan of up to $15.0 million in one or more advances to SDC (the "Loan Facility"). On July 24, 2017, we amended the Loan Agreement with SDC to increase the line of credit up to $30.0 million.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collateralized by a security interest in substantially all of SDC's assets. As of December 31, 2017, $30.0 million of advances under the Loan Facility were outstanding. On February 7, 2018, $30.0 million of outstanding advances and related accrued interest were repaid in full and the Loan Agreement was terminated (</w:t>
      </w:r>
      <w:r>
        <w:rPr>
          <w:rFonts w:ascii="Arial" w:cs="Arial" w:eastAsia="Arial" w:hAnsi="Arial"/>
          <w:sz w:val="11"/>
          <w:szCs w:val="11"/>
          <w:i w:val="1"/>
          <w:iCs w:val="1"/>
          <w:color w:val="auto"/>
        </w:rPr>
        <w:t>Refer to Note 4 "Equity Method Investments" of the Notes of Consolidated Financial Statements</w:t>
      </w:r>
      <w:r>
        <w:rPr>
          <w:rFonts w:ascii="Arial" w:cs="Arial" w:eastAsia="Arial" w:hAnsi="Arial"/>
          <w:sz w:val="11"/>
          <w:szCs w:val="11"/>
          <w:color w:val="auto"/>
        </w:rPr>
        <w:t xml:space="preserve"> for more information on our investments in SDC).</w:t>
      </w:r>
    </w:p>
    <w:p>
      <w:pPr>
        <w:spacing w:after="0" w:line="11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entered into certain investments with a privately held company where we have committed to purchase up to $5.0 million in convertible promissory notes. The first convertible promissory note was issued on July 14, 2016 for $2.0 million and a second convertible promissory note was issued on June 5, 2017 for $2.0 million. Both notes were outstanding as of December 31, 2017. The remaining $1.0 million available is conditioned upon achievement of certain business milestones. The notes all mature on December 30, 2018 and accrue interest annually at 2.5%.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80"/>
          </w:cols>
          <w:pgMar w:left="220" w:top="437" w:right="199" w:bottom="1440" w:gutter="0" w:footer="0" w:header="0"/>
        </w:sectPr>
      </w:pPr>
    </w:p>
    <w:bookmarkStart w:id="82" w:name="page83"/>
    <w:bookmarkEnd w:id="82"/>
    <w:p>
      <w:pPr>
        <w:jc w:val="both"/>
        <w:ind w:right="20" w:firstLine="216"/>
        <w:spacing w:after="0" w:line="276" w:lineRule="auto"/>
        <w:rPr>
          <w:sz w:val="20"/>
          <w:szCs w:val="20"/>
          <w:color w:val="auto"/>
        </w:rPr>
      </w:pPr>
      <w:r>
        <w:rPr>
          <w:rFonts w:ascii="Arial" w:cs="Arial" w:eastAsia="Arial" w:hAnsi="Arial"/>
          <w:sz w:val="12"/>
          <w:szCs w:val="12"/>
          <w:color w:val="auto"/>
        </w:rPr>
        <w:t>On June 30, 2017, we entered into a non-cancelable Addendum to the Master Subscription Agreement with a software company to renew our software license subscription for the total price of $50.0 million over the next three years starting on January 1, 2018.</w:t>
      </w:r>
    </w:p>
    <w:p>
      <w:pPr>
        <w:spacing w:after="0" w:line="11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On July 24, 2017, we entered into a Purchase and Sale Agreement to purchase a new Costa Rica treatment planning facility located in the Republic of Costa Rica for a purchase price of $26.1 million. As of December 31, 2017, we made payments of $20.9 million. On January 8, 2018, we paid the final payment of $5.2 million and closed the Purchase and Sale Agreement.</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November 9, 2017, we entered into an Investment Agreement with the People’s Republic of China (“China Government”) where we have committed to invest a minimum of $46.0 million in Ziyang, China over five years to establish manufacturing operations.</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November 15, 2017, we entered into another Purchase and Sale Agreement to purchase a building located in the Republic of Costa Rica for a purchase price of $25.6 million. The building will be used to support treatment planning and corporate administrative activities. As of December 31, 2017, we made payments of $6.8 million and the remaining payments are due in 2018.</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November 27, 2017, we entered into a purchase agreement with one of our existing single source suppliers. Under the terms of the agreement, we are required to purchase a minimum approximately $305.2 million of aligner materials over the next 4 years.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As of December 31, 2017, we had no material off-balance sheet arrangements that have, or are reasonably likely to have, a current or future material effect on our consolidated financial condition, results of operations, liquidity, capital expenditures or capital resources other than certain items disclosed in Other Commitments section above.</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Indemnification Provisions</w:t>
      </w:r>
    </w:p>
    <w:p>
      <w:pPr>
        <w:spacing w:after="0" w:line="150"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8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2017, we did not have any material indemnification claims that were probable or reasonably possible.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Stockholders’ Equity</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holders of common stock are entitled to receive dividends whenever funds are legally available and when and if declared by the Board of Directors. We have never declared or paid dividends on our common stock.</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Stock-Based Compensation Plans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2005 Incentive Plan, as amended, provides for the granting of incentive stock options, non-statutory stock options, restricted stock units, market stock units, stock appreciation rights, performance units and performance shares to employees, non-employee directors and consultants. Shares granted on or after May 16, 2013 as an award of restricted stock, restricted stock unit,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80"/>
          </w:cols>
          <w:pgMar w:left="220" w:top="581" w:right="199" w:bottom="1440" w:gutter="0" w:footer="0" w:header="0"/>
        </w:sectPr>
      </w:pPr>
    </w:p>
    <w:bookmarkStart w:id="83" w:name="page84"/>
    <w:bookmarkEnd w:id="83"/>
    <w:p>
      <w:pPr>
        <w:jc w:val="both"/>
        <w:spacing w:after="0" w:line="279" w:lineRule="auto"/>
        <w:rPr>
          <w:sz w:val="20"/>
          <w:szCs w:val="20"/>
          <w:color w:val="auto"/>
        </w:rPr>
      </w:pPr>
      <w:r>
        <w:rPr>
          <w:rFonts w:ascii="Arial" w:cs="Arial" w:eastAsia="Arial" w:hAnsi="Arial"/>
          <w:sz w:val="12"/>
          <w:szCs w:val="12"/>
          <w:color w:val="auto"/>
        </w:rPr>
        <w:t xml:space="preserve">market stock units, performance share or performance unit ("full value awards") are counted against the authorized share reserve as one and nine-tenths (1 </w:t>
      </w:r>
      <w:r>
        <w:rPr>
          <w:rFonts w:ascii="Arial" w:cs="Arial" w:eastAsia="Arial" w:hAnsi="Arial"/>
          <w:sz w:val="9"/>
          <w:szCs w:val="9"/>
          <w:color w:val="auto"/>
        </w:rPr>
        <w:t>9/10</w:t>
      </w:r>
      <w:r>
        <w:rPr>
          <w:rFonts w:ascii="Arial" w:cs="Arial" w:eastAsia="Arial" w:hAnsi="Arial"/>
          <w:sz w:val="12"/>
          <w:szCs w:val="12"/>
          <w:color w:val="auto"/>
        </w:rPr>
        <w:t xml:space="preserve">) shares for every one (1) share subject to the award, and any shares canceled that were counted as one and nine-tenths against the plan reserve will be returned at the same ratio. Full value awards granted prior to May 16, 2013 were counted against the authorized share reserve as one and one half (1 </w:t>
      </w:r>
      <w:r>
        <w:rPr>
          <w:rFonts w:ascii="Arial" w:cs="Arial" w:eastAsia="Arial" w:hAnsi="Arial"/>
          <w:sz w:val="9"/>
          <w:szCs w:val="9"/>
          <w:color w:val="auto"/>
        </w:rPr>
        <w:t>1/2</w:t>
      </w:r>
      <w:r>
        <w:rPr>
          <w:rFonts w:ascii="Arial" w:cs="Arial" w:eastAsia="Arial" w:hAnsi="Arial"/>
          <w:sz w:val="12"/>
          <w:szCs w:val="12"/>
          <w:color w:val="auto"/>
        </w:rPr>
        <w:t>) share for every one (1) share subject to the award, and any shares canceled that were counted as one and one half against the plan reserve will be returned at this same ratio.</w:t>
      </w:r>
    </w:p>
    <w:p>
      <w:pPr>
        <w:spacing w:after="0" w:line="11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December 31, 2017, the 2005 Incentive Plan (as amended) has a total reserve of 27,783,379 shares for issuance of which 6,885,248 shares are available for issuance. We issue new shares from our pool of authorized but unissued shares to satisfy the exercise and vesting obligations of our stock-based compensation plans.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year ended December 31, 2017, 2016 and 2015 is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For the Year Ended December 31,</w:t>
            </w:r>
          </w:p>
        </w:tc>
        <w:tc>
          <w:tcPr>
            <w:tcW w:w="4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73"/>
        </w:trPr>
        <w:tc>
          <w:tcPr>
            <w:tcW w:w="64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b w:val="1"/>
                <w:bCs w:val="1"/>
                <w:color w:val="auto"/>
              </w:rPr>
              <w:t>2015</w:t>
            </w:r>
          </w:p>
        </w:tc>
      </w:tr>
      <w:tr>
        <w:trPr>
          <w:trHeight w:val="160"/>
        </w:trPr>
        <w:tc>
          <w:tcPr>
            <w:tcW w:w="6420" w:type="dxa"/>
            <w:vAlign w:val="bottom"/>
          </w:tcPr>
          <w:p>
            <w:pPr>
              <w:ind w:left="20"/>
              <w:spacing w:after="0"/>
              <w:rPr>
                <w:sz w:val="20"/>
                <w:szCs w:val="20"/>
                <w:color w:val="auto"/>
              </w:rPr>
            </w:pPr>
            <w:r>
              <w:rPr>
                <w:rFonts w:ascii="Arial" w:cs="Arial" w:eastAsia="Arial" w:hAnsi="Arial"/>
                <w:sz w:val="12"/>
                <w:szCs w:val="12"/>
                <w:color w:val="auto"/>
              </w:rPr>
              <w:t>Cost of net revenues</w:t>
            </w:r>
          </w:p>
        </w:tc>
        <w:tc>
          <w:tcPr>
            <w:tcW w:w="1020" w:type="dxa"/>
            <w:vAlign w:val="bottom"/>
          </w:tcPr>
          <w:p>
            <w:pPr>
              <w:jc w:val="right"/>
              <w:ind w:right="884"/>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3,330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64"/>
              <w:spacing w:after="0"/>
              <w:rPr>
                <w:sz w:val="20"/>
                <w:szCs w:val="20"/>
                <w:color w:val="auto"/>
              </w:rPr>
            </w:pPr>
            <w:r>
              <w:rPr>
                <w:rFonts w:ascii="Arial" w:cs="Arial" w:eastAsia="Arial" w:hAnsi="Arial"/>
                <w:sz w:val="12"/>
                <w:szCs w:val="12"/>
                <w:color w:val="auto"/>
              </w:rPr>
              <w:t>3,966</w:t>
            </w:r>
          </w:p>
        </w:tc>
        <w:tc>
          <w:tcPr>
            <w:tcW w:w="10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3,938</w:t>
            </w:r>
          </w:p>
        </w:tc>
      </w:tr>
      <w:tr>
        <w:trPr>
          <w:trHeight w:val="189"/>
        </w:trPr>
        <w:tc>
          <w:tcPr>
            <w:tcW w:w="6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46,550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42,612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40,813</w:t>
            </w:r>
          </w:p>
        </w:tc>
      </w:tr>
      <w:tr>
        <w:trPr>
          <w:trHeight w:val="171"/>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Research and development</w:t>
            </w: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8,974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7,570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8,192</w:t>
            </w:r>
          </w:p>
        </w:tc>
      </w:tr>
      <w:tr>
        <w:trPr>
          <w:trHeight w:val="18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w:t>
            </w:r>
          </w:p>
        </w:tc>
        <w:tc>
          <w:tcPr>
            <w:tcW w:w="102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58,854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54,148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52,943</w:t>
            </w:r>
          </w:p>
        </w:tc>
      </w:tr>
    </w:tbl>
    <w:p>
      <w:pPr>
        <w:spacing w:after="0" w:line="1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have not granted options since 2011 and all outstanding options were fully vested and associated stock-based compensation was recognized as of December 31, 2015. Activity for the year ended December 31, 2017, under the stock option plans is set forth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16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Stock Options</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96"/>
        </w:trPr>
        <w:tc>
          <w:tcPr>
            <w:tcW w:w="516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32"/>
              <w:spacing w:after="0" w:line="96" w:lineRule="exact"/>
              <w:rPr>
                <w:sz w:val="20"/>
                <w:szCs w:val="20"/>
                <w:color w:val="auto"/>
              </w:rPr>
            </w:pPr>
            <w:r>
              <w:rPr>
                <w:rFonts w:ascii="Arial" w:cs="Arial" w:eastAsia="Arial" w:hAnsi="Arial"/>
                <w:sz w:val="10"/>
                <w:szCs w:val="10"/>
                <w:b w:val="1"/>
                <w:bCs w:val="1"/>
                <w:color w:val="auto"/>
                <w:w w:val="87"/>
              </w:rPr>
              <w:t>Number of</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r>
      <w:tr>
        <w:trPr>
          <w:trHeight w:val="99"/>
        </w:trPr>
        <w:tc>
          <w:tcPr>
            <w:tcW w:w="516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32"/>
              <w:spacing w:after="0" w:line="99" w:lineRule="exact"/>
              <w:rPr>
                <w:sz w:val="20"/>
                <w:szCs w:val="20"/>
                <w:color w:val="auto"/>
              </w:rPr>
            </w:pPr>
            <w:r>
              <w:rPr>
                <w:rFonts w:ascii="Arial" w:cs="Arial" w:eastAsia="Arial" w:hAnsi="Arial"/>
                <w:sz w:val="10"/>
                <w:szCs w:val="10"/>
                <w:b w:val="1"/>
                <w:bCs w:val="1"/>
                <w:color w:val="auto"/>
                <w:w w:val="83"/>
              </w:rPr>
              <w:t>Shares</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46"/>
              <w:spacing w:after="0" w:line="99" w:lineRule="exact"/>
              <w:rPr>
                <w:sz w:val="20"/>
                <w:szCs w:val="20"/>
                <w:color w:val="auto"/>
              </w:rPr>
            </w:pPr>
            <w:r>
              <w:rPr>
                <w:rFonts w:ascii="Arial" w:cs="Arial" w:eastAsia="Arial" w:hAnsi="Arial"/>
                <w:sz w:val="10"/>
                <w:szCs w:val="10"/>
                <w:b w:val="1"/>
                <w:bCs w:val="1"/>
                <w:color w:val="auto"/>
                <w:w w:val="84"/>
              </w:rPr>
              <w:t>Weighted</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jc w:val="center"/>
              <w:ind w:left="252"/>
              <w:spacing w:after="0" w:line="99" w:lineRule="exact"/>
              <w:rPr>
                <w:sz w:val="20"/>
                <w:szCs w:val="20"/>
                <w:color w:val="auto"/>
              </w:rPr>
            </w:pPr>
            <w:r>
              <w:rPr>
                <w:rFonts w:ascii="Arial" w:cs="Arial" w:eastAsia="Arial" w:hAnsi="Arial"/>
                <w:sz w:val="10"/>
                <w:szCs w:val="10"/>
                <w:b w:val="1"/>
                <w:bCs w:val="1"/>
                <w:color w:val="auto"/>
                <w:w w:val="84"/>
              </w:rPr>
              <w:t>Weighted Average</w:t>
            </w: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jc w:val="center"/>
              <w:ind w:right="207"/>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516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32"/>
              <w:spacing w:after="0" w:line="99" w:lineRule="exact"/>
              <w:rPr>
                <w:sz w:val="20"/>
                <w:szCs w:val="20"/>
                <w:color w:val="auto"/>
              </w:rPr>
            </w:pPr>
            <w:r>
              <w:rPr>
                <w:rFonts w:ascii="Arial" w:cs="Arial" w:eastAsia="Arial" w:hAnsi="Arial"/>
                <w:sz w:val="10"/>
                <w:szCs w:val="10"/>
                <w:b w:val="1"/>
                <w:bCs w:val="1"/>
                <w:color w:val="auto"/>
                <w:w w:val="91"/>
              </w:rPr>
              <w:t>Underlying</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46"/>
              <w:spacing w:after="0" w:line="99" w:lineRule="exact"/>
              <w:rPr>
                <w:sz w:val="20"/>
                <w:szCs w:val="20"/>
                <w:color w:val="auto"/>
              </w:rPr>
            </w:pPr>
            <w:r>
              <w:rPr>
                <w:rFonts w:ascii="Arial" w:cs="Arial" w:eastAsia="Arial" w:hAnsi="Arial"/>
                <w:sz w:val="10"/>
                <w:szCs w:val="10"/>
                <w:b w:val="1"/>
                <w:bCs w:val="1"/>
                <w:color w:val="auto"/>
                <w:w w:val="86"/>
              </w:rPr>
              <w:t>Average</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jc w:val="center"/>
              <w:ind w:left="232"/>
              <w:spacing w:after="0" w:line="99" w:lineRule="exact"/>
              <w:rPr>
                <w:sz w:val="20"/>
                <w:szCs w:val="20"/>
                <w:color w:val="auto"/>
              </w:rPr>
            </w:pPr>
            <w:r>
              <w:rPr>
                <w:rFonts w:ascii="Arial" w:cs="Arial" w:eastAsia="Arial" w:hAnsi="Arial"/>
                <w:sz w:val="10"/>
                <w:szCs w:val="10"/>
                <w:b w:val="1"/>
                <w:bCs w:val="1"/>
                <w:color w:val="auto"/>
                <w:w w:val="85"/>
              </w:rPr>
              <w:t>Remaining</w:t>
            </w: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jc w:val="center"/>
              <w:ind w:right="187"/>
              <w:spacing w:after="0" w:line="99" w:lineRule="exact"/>
              <w:rPr>
                <w:sz w:val="20"/>
                <w:szCs w:val="20"/>
                <w:color w:val="auto"/>
              </w:rPr>
            </w:pPr>
            <w:r>
              <w:rPr>
                <w:rFonts w:ascii="Arial" w:cs="Arial" w:eastAsia="Arial" w:hAnsi="Arial"/>
                <w:sz w:val="10"/>
                <w:szCs w:val="10"/>
                <w:b w:val="1"/>
                <w:bCs w:val="1"/>
                <w:color w:val="auto"/>
                <w:w w:val="92"/>
              </w:rPr>
              <w:t>Intrinsic</w:t>
            </w:r>
          </w:p>
        </w:tc>
      </w:tr>
      <w:tr>
        <w:trPr>
          <w:trHeight w:val="99"/>
        </w:trPr>
        <w:tc>
          <w:tcPr>
            <w:tcW w:w="516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52"/>
              <w:spacing w:after="0" w:line="99" w:lineRule="exact"/>
              <w:rPr>
                <w:sz w:val="20"/>
                <w:szCs w:val="20"/>
                <w:color w:val="auto"/>
              </w:rPr>
            </w:pPr>
            <w:r>
              <w:rPr>
                <w:rFonts w:ascii="Arial" w:cs="Arial" w:eastAsia="Arial" w:hAnsi="Arial"/>
                <w:sz w:val="10"/>
                <w:szCs w:val="10"/>
                <w:b w:val="1"/>
                <w:bCs w:val="1"/>
                <w:color w:val="auto"/>
                <w:w w:val="85"/>
              </w:rPr>
              <w:t>Stock Options</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jc w:val="center"/>
              <w:ind w:left="346"/>
              <w:spacing w:after="0" w:line="99" w:lineRule="exact"/>
              <w:rPr>
                <w:sz w:val="20"/>
                <w:szCs w:val="20"/>
                <w:color w:val="auto"/>
              </w:rPr>
            </w:pPr>
            <w:r>
              <w:rPr>
                <w:rFonts w:ascii="Arial" w:cs="Arial" w:eastAsia="Arial" w:hAnsi="Arial"/>
                <w:sz w:val="10"/>
                <w:szCs w:val="10"/>
                <w:b w:val="1"/>
                <w:bCs w:val="1"/>
                <w:color w:val="auto"/>
                <w:w w:val="82"/>
              </w:rPr>
              <w:t>Exercise</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jc w:val="center"/>
              <w:ind w:left="252"/>
              <w:spacing w:after="0" w:line="99" w:lineRule="exact"/>
              <w:rPr>
                <w:sz w:val="20"/>
                <w:szCs w:val="20"/>
                <w:color w:val="auto"/>
              </w:rPr>
            </w:pPr>
            <w:r>
              <w:rPr>
                <w:rFonts w:ascii="Arial" w:cs="Arial" w:eastAsia="Arial" w:hAnsi="Arial"/>
                <w:sz w:val="10"/>
                <w:szCs w:val="10"/>
                <w:b w:val="1"/>
                <w:bCs w:val="1"/>
                <w:color w:val="auto"/>
                <w:w w:val="89"/>
              </w:rPr>
              <w:t>Contractual Term</w:t>
            </w: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jc w:val="center"/>
              <w:ind w:right="187"/>
              <w:spacing w:after="0" w:line="99" w:lineRule="exact"/>
              <w:rPr>
                <w:sz w:val="20"/>
                <w:szCs w:val="20"/>
                <w:color w:val="auto"/>
              </w:rPr>
            </w:pPr>
            <w:r>
              <w:rPr>
                <w:rFonts w:ascii="Arial" w:cs="Arial" w:eastAsia="Arial" w:hAnsi="Arial"/>
                <w:sz w:val="10"/>
                <w:szCs w:val="10"/>
                <w:b w:val="1"/>
                <w:bCs w:val="1"/>
                <w:color w:val="auto"/>
                <w:w w:val="89"/>
              </w:rPr>
              <w:t>Value</w:t>
            </w:r>
          </w:p>
        </w:tc>
      </w:tr>
      <w:tr>
        <w:trPr>
          <w:trHeight w:val="128"/>
        </w:trPr>
        <w:tc>
          <w:tcPr>
            <w:tcW w:w="516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0"/>
                <w:szCs w:val="10"/>
                <w:b w:val="1"/>
                <w:bCs w:val="1"/>
                <w:color w:val="auto"/>
                <w:w w:val="87"/>
              </w:rPr>
              <w:t>(in thousands)</w:t>
            </w:r>
          </w:p>
        </w:tc>
        <w:tc>
          <w:tcPr>
            <w:tcW w:w="3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center"/>
              <w:ind w:left="366"/>
              <w:spacing w:after="0"/>
              <w:rPr>
                <w:sz w:val="20"/>
                <w:szCs w:val="20"/>
                <w:color w:val="auto"/>
              </w:rPr>
            </w:pPr>
            <w:r>
              <w:rPr>
                <w:rFonts w:ascii="Arial" w:cs="Arial" w:eastAsia="Arial" w:hAnsi="Arial"/>
                <w:sz w:val="10"/>
                <w:szCs w:val="10"/>
                <w:b w:val="1"/>
                <w:bCs w:val="1"/>
                <w:color w:val="auto"/>
                <w:w w:val="87"/>
              </w:rPr>
              <w:t>Price per Share</w:t>
            </w:r>
          </w:p>
        </w:tc>
        <w:tc>
          <w:tcPr>
            <w:tcW w:w="4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0"/>
                <w:szCs w:val="10"/>
                <w:b w:val="1"/>
                <w:bCs w:val="1"/>
                <w:color w:val="auto"/>
                <w:w w:val="85"/>
              </w:rPr>
              <w:t>(in years)</w:t>
            </w:r>
          </w:p>
        </w:tc>
        <w:tc>
          <w:tcPr>
            <w:tcW w:w="3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center"/>
              <w:ind w:right="207"/>
              <w:spacing w:after="0"/>
              <w:rPr>
                <w:sz w:val="20"/>
                <w:szCs w:val="20"/>
                <w:color w:val="auto"/>
              </w:rPr>
            </w:pPr>
            <w:r>
              <w:rPr>
                <w:rFonts w:ascii="Arial" w:cs="Arial" w:eastAsia="Arial" w:hAnsi="Arial"/>
                <w:sz w:val="10"/>
                <w:szCs w:val="10"/>
                <w:b w:val="1"/>
                <w:bCs w:val="1"/>
                <w:color w:val="auto"/>
                <w:w w:val="84"/>
              </w:rPr>
              <w:t>(in thousands)</w:t>
            </w:r>
          </w:p>
        </w:tc>
      </w:tr>
      <w:tr>
        <w:trPr>
          <w:trHeight w:val="164"/>
        </w:trPr>
        <w:tc>
          <w:tcPr>
            <w:tcW w:w="6260" w:type="dxa"/>
            <w:vAlign w:val="bottom"/>
            <w:gridSpan w:val="2"/>
          </w:tcPr>
          <w:p>
            <w:pPr>
              <w:ind w:left="20"/>
              <w:spacing w:after="0"/>
              <w:rPr>
                <w:sz w:val="20"/>
                <w:szCs w:val="20"/>
                <w:color w:val="auto"/>
              </w:rPr>
            </w:pPr>
            <w:r>
              <w:rPr>
                <w:rFonts w:ascii="Arial" w:cs="Arial" w:eastAsia="Arial" w:hAnsi="Arial"/>
                <w:sz w:val="12"/>
                <w:szCs w:val="12"/>
                <w:color w:val="auto"/>
              </w:rPr>
              <w:t>Outstanding as of December 31, 2016</w:t>
            </w: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4"/>
                <w:szCs w:val="14"/>
                <w:color w:val="auto"/>
              </w:rPr>
            </w:pPr>
          </w:p>
        </w:tc>
        <w:tc>
          <w:tcPr>
            <w:tcW w:w="1100" w:type="dxa"/>
            <w:vAlign w:val="bottom"/>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61"/>
              <w:spacing w:after="0"/>
              <w:rPr>
                <w:sz w:val="20"/>
                <w:szCs w:val="20"/>
                <w:color w:val="auto"/>
              </w:rPr>
            </w:pPr>
            <w:r>
              <w:rPr>
                <w:rFonts w:ascii="Arial" w:cs="Arial" w:eastAsia="Arial" w:hAnsi="Arial"/>
                <w:sz w:val="12"/>
                <w:szCs w:val="12"/>
                <w:color w:val="auto"/>
                <w:w w:val="86"/>
              </w:rPr>
              <w:t>14.90</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Granted</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1392"/>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1"/>
        </w:trPr>
        <w:tc>
          <w:tcPr>
            <w:tcW w:w="6260" w:type="dxa"/>
            <w:vAlign w:val="bottom"/>
            <w:gridSpan w:val="2"/>
          </w:tcPr>
          <w:p>
            <w:pPr>
              <w:ind w:left="240"/>
              <w:spacing w:after="0"/>
              <w:rPr>
                <w:sz w:val="20"/>
                <w:szCs w:val="20"/>
                <w:color w:val="auto"/>
              </w:rPr>
            </w:pPr>
            <w:r>
              <w:rPr>
                <w:rFonts w:ascii="Arial" w:cs="Arial" w:eastAsia="Arial" w:hAnsi="Arial"/>
                <w:sz w:val="12"/>
                <w:szCs w:val="12"/>
                <w:color w:val="auto"/>
              </w:rPr>
              <w:t>Exercised</w:t>
            </w:r>
          </w:p>
        </w:tc>
        <w:tc>
          <w:tcPr>
            <w:tcW w:w="38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61"/>
              <w:spacing w:after="0"/>
              <w:rPr>
                <w:sz w:val="20"/>
                <w:szCs w:val="20"/>
                <w:color w:val="auto"/>
              </w:rPr>
            </w:pPr>
            <w:r>
              <w:rPr>
                <w:rFonts w:ascii="Arial" w:cs="Arial" w:eastAsia="Arial" w:hAnsi="Arial"/>
                <w:sz w:val="12"/>
                <w:szCs w:val="12"/>
                <w:color w:val="auto"/>
                <w:w w:val="86"/>
              </w:rPr>
              <w:t>16.66</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0"/>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Cancelled or expired</w:t>
            </w:r>
          </w:p>
        </w:tc>
        <w:tc>
          <w:tcPr>
            <w:tcW w:w="1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6"/>
              </w:rPr>
              <w:t>18.16</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Outstanding as of December 31, 2017</w:t>
            </w: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86"/>
              </w:rPr>
              <w:t>11.36</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color w:val="auto"/>
              </w:rPr>
              <w:t>15,752</w:t>
            </w:r>
          </w:p>
        </w:tc>
      </w:tr>
      <w:tr>
        <w:trPr>
          <w:trHeight w:val="187"/>
        </w:trPr>
        <w:tc>
          <w:tcPr>
            <w:tcW w:w="5160" w:type="dxa"/>
            <w:vAlign w:val="bottom"/>
            <w:tcBorders>
              <w:top w:val="single" w:sz="8" w:color="CCEEFF"/>
              <w:bottom w:val="single" w:sz="8" w:color="CCEEFF"/>
            </w:tcBorders>
            <w:shd w:val="clear" w:color="auto" w:fill="CCEEFF"/>
          </w:tcPr>
          <w:p>
            <w:pPr>
              <w:ind w:left="240"/>
              <w:spacing w:after="0" w:line="133" w:lineRule="exact"/>
              <w:rPr>
                <w:sz w:val="20"/>
                <w:szCs w:val="20"/>
                <w:color w:val="auto"/>
              </w:rPr>
            </w:pPr>
            <w:r>
              <w:rPr>
                <w:rFonts w:ascii="Arial" w:cs="Arial" w:eastAsia="Arial" w:hAnsi="Arial"/>
                <w:sz w:val="12"/>
                <w:szCs w:val="12"/>
                <w:color w:val="auto"/>
              </w:rPr>
              <w:t>Vested and expected to vest at December 31, 2017</w:t>
            </w: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86"/>
              </w:rPr>
              <w:t>11.36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2"/>
                <w:szCs w:val="12"/>
                <w:color w:val="auto"/>
              </w:rPr>
              <w:t>15,752</w:t>
            </w:r>
          </w:p>
        </w:tc>
      </w:tr>
      <w:tr>
        <w:trPr>
          <w:trHeight w:val="176"/>
        </w:trPr>
        <w:tc>
          <w:tcPr>
            <w:tcW w:w="5160" w:type="dxa"/>
            <w:vAlign w:val="bottom"/>
          </w:tcPr>
          <w:p>
            <w:pPr>
              <w:ind w:left="240"/>
              <w:spacing w:after="0" w:line="133" w:lineRule="exact"/>
              <w:rPr>
                <w:sz w:val="20"/>
                <w:szCs w:val="20"/>
                <w:color w:val="auto"/>
              </w:rPr>
            </w:pPr>
            <w:r>
              <w:rPr>
                <w:rFonts w:ascii="Arial" w:cs="Arial" w:eastAsia="Arial" w:hAnsi="Arial"/>
                <w:sz w:val="12"/>
                <w:szCs w:val="12"/>
                <w:color w:val="auto"/>
              </w:rPr>
              <w:t>Exercisable at December 31, 2017</w:t>
            </w:r>
          </w:p>
        </w:tc>
        <w:tc>
          <w:tcPr>
            <w:tcW w:w="1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w w:val="86"/>
              </w:rPr>
              <w:t>11.36</w:t>
            </w:r>
          </w:p>
        </w:tc>
        <w:tc>
          <w:tcPr>
            <w:tcW w:w="120" w:type="dxa"/>
            <w:vAlign w:val="bottom"/>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0.93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2"/>
                <w:szCs w:val="12"/>
                <w:color w:val="auto"/>
              </w:rPr>
              <w:t>15,752</w:t>
            </w:r>
          </w:p>
        </w:tc>
      </w:tr>
    </w:tbl>
    <w:p>
      <w:pPr>
        <w:spacing w:after="0" w:line="9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aggregate intrinsic value in the table above represents the total pre-tax intrinsic value (the difference between our closing stock price on the last trading day in 2017 and the exercise price, multiplied by the number of in-the-money options) that would have been received by the option holders had all option holders exercised their options on the last trading day of 2017. This amount will fluctuate based on the fair market value of our stock. The total intrinsic value of stock options exercised for the year ended December 31, 2017, 2016 and 2015 was $18.1 million, $18.2 million and $7.4 million, respectively. The total fair value of the options vested during the year ended December 31, 2015 was not material.</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fair value of restricted stock units (“RSUs”) is based on our closing stock price on the date of grant. A summary for the year ended December 31, 2017, is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0"/>
          </w:cols>
          <w:pgMar w:left="220" w:top="437"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left="312"/>
              <w:spacing w:after="0"/>
              <w:rPr>
                <w:sz w:val="20"/>
                <w:szCs w:val="20"/>
                <w:color w:val="auto"/>
              </w:rPr>
            </w:pPr>
            <w:r>
              <w:rPr>
                <w:rFonts w:ascii="Arial" w:cs="Arial" w:eastAsia="Arial" w:hAnsi="Arial"/>
                <w:sz w:val="10"/>
                <w:szCs w:val="10"/>
                <w:b w:val="1"/>
                <w:bCs w:val="1"/>
                <w:color w:val="auto"/>
                <w:w w:val="84"/>
              </w:rPr>
              <w:t>Weighted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ind w:right="270"/>
              <w:spacing w:after="0"/>
              <w:rPr>
                <w:sz w:val="20"/>
                <w:szCs w:val="20"/>
                <w:color w:val="auto"/>
              </w:rPr>
            </w:pPr>
            <w:r>
              <w:rPr>
                <w:rFonts w:ascii="Arial" w:cs="Arial" w:eastAsia="Arial" w:hAnsi="Arial"/>
                <w:sz w:val="10"/>
                <w:szCs w:val="10"/>
                <w:b w:val="1"/>
                <w:bCs w:val="1"/>
                <w:color w:val="auto"/>
                <w:w w:val="84"/>
              </w:rPr>
              <w:t>Aggregate</w:t>
            </w:r>
          </w:p>
        </w:tc>
      </w:tr>
      <w:tr>
        <w:trPr>
          <w:trHeight w:val="99"/>
        </w:trPr>
        <w:tc>
          <w:tcPr>
            <w:tcW w:w="4480" w:type="dxa"/>
            <w:vAlign w:val="bottom"/>
          </w:tcPr>
          <w:p>
            <w:pPr>
              <w:spacing w:after="0"/>
              <w:rPr>
                <w:sz w:val="8"/>
                <w:szCs w:val="8"/>
                <w:color w:val="auto"/>
              </w:rPr>
            </w:pPr>
          </w:p>
        </w:tc>
        <w:tc>
          <w:tcPr>
            <w:tcW w:w="120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3"/>
              </w:rPr>
              <w:t>Shares</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89"/>
              </w:rPr>
              <w:t>Remaining</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jc w:val="center"/>
              <w:ind w:right="250"/>
              <w:spacing w:after="0" w:line="99" w:lineRule="exact"/>
              <w:rPr>
                <w:sz w:val="20"/>
                <w:szCs w:val="20"/>
                <w:color w:val="auto"/>
              </w:rPr>
            </w:pPr>
            <w:r>
              <w:rPr>
                <w:rFonts w:ascii="Arial" w:cs="Arial" w:eastAsia="Arial" w:hAnsi="Arial"/>
                <w:sz w:val="10"/>
                <w:szCs w:val="10"/>
                <w:b w:val="1"/>
                <w:bCs w:val="1"/>
                <w:color w:val="auto"/>
                <w:w w:val="92"/>
              </w:rPr>
              <w:t>Intrinsic</w:t>
            </w:r>
          </w:p>
        </w:tc>
      </w:tr>
      <w:tr>
        <w:trPr>
          <w:trHeight w:val="99"/>
        </w:trPr>
        <w:tc>
          <w:tcPr>
            <w:tcW w:w="4480" w:type="dxa"/>
            <w:vAlign w:val="bottom"/>
          </w:tcPr>
          <w:p>
            <w:pPr>
              <w:spacing w:after="0"/>
              <w:rPr>
                <w:sz w:val="8"/>
                <w:szCs w:val="8"/>
                <w:color w:val="auto"/>
              </w:rPr>
            </w:pPr>
          </w:p>
        </w:tc>
        <w:tc>
          <w:tcPr>
            <w:tcW w:w="1200" w:type="dxa"/>
            <w:vAlign w:val="bottom"/>
          </w:tcPr>
          <w:p>
            <w:pPr>
              <w:jc w:val="center"/>
              <w:ind w:left="372"/>
              <w:spacing w:after="0" w:line="99" w:lineRule="exact"/>
              <w:rPr>
                <w:sz w:val="20"/>
                <w:szCs w:val="20"/>
                <w:color w:val="auto"/>
              </w:rPr>
            </w:pPr>
            <w:r>
              <w:rPr>
                <w:rFonts w:ascii="Arial" w:cs="Arial" w:eastAsia="Arial" w:hAnsi="Arial"/>
                <w:sz w:val="10"/>
                <w:szCs w:val="10"/>
                <w:b w:val="1"/>
                <w:bCs w:val="1"/>
                <w:color w:val="auto"/>
                <w:w w:val="90"/>
              </w:rPr>
              <w:t>Underlying RSUs</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85"/>
              </w:rPr>
              <w:t>Vesting Period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jc w:val="center"/>
              <w:ind w:right="250"/>
              <w:spacing w:after="0" w:line="99" w:lineRule="exact"/>
              <w:rPr>
                <w:sz w:val="20"/>
                <w:szCs w:val="20"/>
                <w:color w:val="auto"/>
              </w:rPr>
            </w:pPr>
            <w:r>
              <w:rPr>
                <w:rFonts w:ascii="Arial" w:cs="Arial" w:eastAsia="Arial" w:hAnsi="Arial"/>
                <w:sz w:val="10"/>
                <w:szCs w:val="10"/>
                <w:b w:val="1"/>
                <w:bCs w:val="1"/>
                <w:color w:val="auto"/>
                <w:w w:val="89"/>
              </w:rPr>
              <w:t>Value</w:t>
            </w:r>
          </w:p>
        </w:tc>
      </w:tr>
      <w:tr>
        <w:trPr>
          <w:trHeight w:val="128"/>
        </w:trPr>
        <w:tc>
          <w:tcPr>
            <w:tcW w:w="44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center"/>
              <w:ind w:left="372"/>
              <w:spacing w:after="0"/>
              <w:rPr>
                <w:sz w:val="20"/>
                <w:szCs w:val="20"/>
                <w:color w:val="auto"/>
              </w:rPr>
            </w:pPr>
            <w:r>
              <w:rPr>
                <w:rFonts w:ascii="Arial" w:cs="Arial" w:eastAsia="Arial" w:hAnsi="Arial"/>
                <w:sz w:val="10"/>
                <w:szCs w:val="10"/>
                <w:b w:val="1"/>
                <w:bCs w:val="1"/>
                <w:color w:val="auto"/>
                <w:w w:val="84"/>
              </w:rPr>
              <w:t>(in thousands)</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7"/>
              </w:rPr>
              <w:t>Weighted Average Grant Date Fair Value</w:t>
            </w: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center"/>
              <w:ind w:left="312"/>
              <w:spacing w:after="0"/>
              <w:rPr>
                <w:sz w:val="20"/>
                <w:szCs w:val="20"/>
                <w:color w:val="auto"/>
              </w:rPr>
            </w:pPr>
            <w:r>
              <w:rPr>
                <w:rFonts w:ascii="Arial" w:cs="Arial" w:eastAsia="Arial" w:hAnsi="Arial"/>
                <w:sz w:val="10"/>
                <w:szCs w:val="10"/>
                <w:b w:val="1"/>
                <w:bCs w:val="1"/>
                <w:color w:val="auto"/>
                <w:w w:val="85"/>
              </w:rPr>
              <w:t>(in years)</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0"/>
                <w:szCs w:val="10"/>
                <w:b w:val="1"/>
                <w:bCs w:val="1"/>
                <w:color w:val="auto"/>
                <w:w w:val="87"/>
              </w:rPr>
              <w:t>(in thousands)</w:t>
            </w:r>
          </w:p>
        </w:tc>
      </w:tr>
      <w:tr>
        <w:trPr>
          <w:trHeight w:val="17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2016</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1,789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58.39</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5680" w:type="dxa"/>
            <w:vAlign w:val="bottom"/>
            <w:gridSpan w:val="2"/>
          </w:tcPr>
          <w:p>
            <w:pPr>
              <w:ind w:left="240"/>
              <w:spacing w:after="0"/>
              <w:rPr>
                <w:sz w:val="20"/>
                <w:szCs w:val="20"/>
                <w:color w:val="auto"/>
              </w:rPr>
            </w:pPr>
            <w:r>
              <w:rPr>
                <w:rFonts w:ascii="Arial" w:cs="Arial" w:eastAsia="Arial" w:hAnsi="Arial"/>
                <w:sz w:val="12"/>
                <w:szCs w:val="12"/>
                <w:color w:val="auto"/>
              </w:rPr>
              <w:t>Granted</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487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right"/>
              <w:ind w:right="62"/>
              <w:spacing w:after="0"/>
              <w:rPr>
                <w:sz w:val="20"/>
                <w:szCs w:val="20"/>
                <w:color w:val="auto"/>
              </w:rPr>
            </w:pPr>
            <w:r>
              <w:rPr>
                <w:rFonts w:ascii="Arial" w:cs="Arial" w:eastAsia="Arial" w:hAnsi="Arial"/>
                <w:sz w:val="12"/>
                <w:szCs w:val="12"/>
                <w:color w:val="auto"/>
              </w:rPr>
              <w:t>118.77</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5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Vested and released</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54.24</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1"/>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Forfeited</w:t>
            </w:r>
          </w:p>
        </w:tc>
        <w:tc>
          <w:tcPr>
            <w:tcW w:w="1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69.06</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r>
      <w:tr>
        <w:trPr>
          <w:trHeight w:val="18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2017</w:t>
            </w:r>
          </w:p>
        </w:tc>
        <w:tc>
          <w:tcPr>
            <w:tcW w:w="12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3"/>
              </w:rPr>
              <w:t>1,341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82.30</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2"/>
                <w:szCs w:val="12"/>
                <w:color w:val="auto"/>
              </w:rPr>
              <w:t>297,973</w:t>
            </w: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aggregate intrinsic value in the table above represents the total pre-tax intrinsic value (calculated by multiplying our closing stock price on the last trading day of 2017 by the number of nonvested RSUs) that would have been received by the unit holders had all RSUs been vested and released as of the last trading day of 2017. This amount will fluctuate based on the fair market value of our stock. During 2017, of the 851,693 shares vested and released, 287,790 shares vested were withheld for employee minimum statutory tax obligations, resulting in a net issuance of 563,903 shares.</w:t>
      </w:r>
    </w:p>
    <w:p>
      <w:pPr>
        <w:spacing w:after="0" w:line="12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total intrinsic value of RSUs vested and released during 2017, 2016 and 2015 was $99.5 million, $59.8 million and $45.9 million, respectively. The total fair value of RSUs vested during the year ended December 31, 2017, 2016 and 2015 was $46.2 million, $39.1 million and $30.0 million, respectively. The weighted average grant date fair value of RSUs granted during 2017, 2016 and 2015 was $118.77, $67.82 and $57.78, respectively. As of December 31, 2017, there was $72.9 million of total unamortized compensation costs, net of estimated forfeitures, related to RSUs and these costs are expected to be recognized over a weighted average period of 2.1 years.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Market-Performance Based Restricted Stock Units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On an annual basis, we grant market-performance based restricted stock units (“MSUs”) to our executive officers. Each MSU represents the right to one share of Align’s common stock and will be issued through our amended 2005 Incentive Plan. The actual number of MSUs which will be eligible to vest will be based on the performance of Align’s stock price relative to the performance of the NASDAQ Composite Index over the vesting period, generally two to three years, up to 200% of the MSUs initially granted.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MSU performance as of December 31, 2017:</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Weighted Average</w:t>
            </w: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99"/>
        </w:trPr>
        <w:tc>
          <w:tcPr>
            <w:tcW w:w="4480" w:type="dxa"/>
            <w:vAlign w:val="bottom"/>
          </w:tcPr>
          <w:p>
            <w:pPr>
              <w:spacing w:after="0"/>
              <w:rPr>
                <w:sz w:val="8"/>
                <w:szCs w:val="8"/>
                <w:color w:val="auto"/>
              </w:rPr>
            </w:pPr>
          </w:p>
        </w:tc>
        <w:tc>
          <w:tcPr>
            <w:tcW w:w="122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5"/>
              </w:rPr>
              <w:t>Number of Shares</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9"/>
              </w:rPr>
              <w:t>Remaining</w:t>
            </w:r>
          </w:p>
        </w:tc>
        <w:tc>
          <w:tcPr>
            <w:tcW w:w="280" w:type="dxa"/>
            <w:vAlign w:val="bottom"/>
          </w:tcPr>
          <w:p>
            <w:pPr>
              <w:spacing w:after="0"/>
              <w:rPr>
                <w:sz w:val="8"/>
                <w:szCs w:val="8"/>
                <w:color w:val="auto"/>
              </w:rPr>
            </w:pPr>
          </w:p>
        </w:tc>
        <w:tc>
          <w:tcPr>
            <w:tcW w:w="1320" w:type="dxa"/>
            <w:vAlign w:val="bottom"/>
          </w:tcPr>
          <w:p>
            <w:pPr>
              <w:jc w:val="center"/>
              <w:ind w:right="249"/>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99"/>
        </w:trPr>
        <w:tc>
          <w:tcPr>
            <w:tcW w:w="4480" w:type="dxa"/>
            <w:vAlign w:val="bottom"/>
          </w:tcPr>
          <w:p>
            <w:pPr>
              <w:spacing w:after="0"/>
              <w:rPr>
                <w:sz w:val="8"/>
                <w:szCs w:val="8"/>
                <w:color w:val="auto"/>
              </w:rPr>
            </w:pPr>
          </w:p>
        </w:tc>
        <w:tc>
          <w:tcPr>
            <w:tcW w:w="122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9"/>
              </w:rPr>
              <w:t>Underlying MSUs</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Vesting Period</w:t>
            </w:r>
          </w:p>
        </w:tc>
        <w:tc>
          <w:tcPr>
            <w:tcW w:w="280" w:type="dxa"/>
            <w:vAlign w:val="bottom"/>
          </w:tcPr>
          <w:p>
            <w:pPr>
              <w:spacing w:after="0"/>
              <w:rPr>
                <w:sz w:val="8"/>
                <w:szCs w:val="8"/>
                <w:color w:val="auto"/>
              </w:rPr>
            </w:pPr>
          </w:p>
        </w:tc>
        <w:tc>
          <w:tcPr>
            <w:tcW w:w="1320" w:type="dxa"/>
            <w:vAlign w:val="bottom"/>
          </w:tcPr>
          <w:p>
            <w:pPr>
              <w:jc w:val="center"/>
              <w:ind w:right="229"/>
              <w:spacing w:after="0" w:line="99" w:lineRule="exact"/>
              <w:rPr>
                <w:sz w:val="20"/>
                <w:szCs w:val="20"/>
                <w:color w:val="auto"/>
              </w:rPr>
            </w:pPr>
            <w:r>
              <w:rPr>
                <w:rFonts w:ascii="Arial" w:cs="Arial" w:eastAsia="Arial" w:hAnsi="Arial"/>
                <w:sz w:val="10"/>
                <w:szCs w:val="10"/>
                <w:b w:val="1"/>
                <w:bCs w:val="1"/>
                <w:color w:val="auto"/>
                <w:w w:val="87"/>
              </w:rPr>
              <w:t>Intrinsic Value</w:t>
            </w:r>
          </w:p>
        </w:tc>
      </w:tr>
      <w:tr>
        <w:trPr>
          <w:trHeight w:val="128"/>
        </w:trPr>
        <w:tc>
          <w:tcPr>
            <w:tcW w:w="44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7"/>
              </w:rPr>
              <w:t>Weighted Average Grant Date Fair Value</w:t>
            </w:r>
          </w:p>
        </w:tc>
        <w:tc>
          <w:tcPr>
            <w:tcW w:w="12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(in years)</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229"/>
              <w:spacing w:after="0"/>
              <w:rPr>
                <w:sz w:val="20"/>
                <w:szCs w:val="20"/>
                <w:color w:val="auto"/>
              </w:rPr>
            </w:pPr>
            <w:r>
              <w:rPr>
                <w:rFonts w:ascii="Arial" w:cs="Arial" w:eastAsia="Arial" w:hAnsi="Arial"/>
                <w:sz w:val="10"/>
                <w:szCs w:val="10"/>
                <w:b w:val="1"/>
                <w:bCs w:val="1"/>
                <w:color w:val="auto"/>
                <w:w w:val="87"/>
              </w:rPr>
              <w:t>(in thousands)</w:t>
            </w:r>
          </w:p>
        </w:tc>
      </w:tr>
      <w:tr>
        <w:trPr>
          <w:trHeight w:val="17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2016</w:t>
            </w: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60.49</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1"/>
        </w:trPr>
        <w:tc>
          <w:tcPr>
            <w:tcW w:w="5700" w:type="dxa"/>
            <w:vAlign w:val="bottom"/>
            <w:gridSpan w:val="2"/>
          </w:tcPr>
          <w:p>
            <w:pPr>
              <w:ind w:left="20"/>
              <w:spacing w:after="0"/>
              <w:rPr>
                <w:sz w:val="20"/>
                <w:szCs w:val="20"/>
                <w:color w:val="auto"/>
              </w:rPr>
            </w:pPr>
            <w:r>
              <w:rPr>
                <w:rFonts w:ascii="Arial" w:cs="Arial" w:eastAsia="Arial" w:hAnsi="Arial"/>
                <w:sz w:val="12"/>
                <w:szCs w:val="12"/>
                <w:color w:val="auto"/>
              </w:rPr>
              <w:t>Granted</w:t>
            </w: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201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right"/>
              <w:ind w:right="62"/>
              <w:spacing w:after="0"/>
              <w:rPr>
                <w:sz w:val="20"/>
                <w:szCs w:val="20"/>
                <w:color w:val="auto"/>
              </w:rPr>
            </w:pPr>
            <w:r>
              <w:rPr>
                <w:rFonts w:ascii="Arial" w:cs="Arial" w:eastAsia="Arial" w:hAnsi="Arial"/>
                <w:sz w:val="12"/>
                <w:szCs w:val="12"/>
                <w:color w:val="auto"/>
              </w:rPr>
              <w:t>88.80</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Vested and released</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53.11</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71"/>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Forfeited</w:t>
            </w:r>
          </w:p>
        </w:tc>
        <w:tc>
          <w:tcPr>
            <w:tcW w:w="1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64.50</w:t>
            </w: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r>
      <w:tr>
        <w:trPr>
          <w:trHeight w:val="18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Nonvested as of December 31, 2017</w:t>
            </w:r>
          </w:p>
        </w:tc>
        <w:tc>
          <w:tcPr>
            <w:tcW w:w="1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78.53</w:t>
            </w: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0.97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2"/>
                <w:szCs w:val="12"/>
                <w:color w:val="auto"/>
              </w:rPr>
              <w:t>95,120</w:t>
            </w: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aggregate intrinsic value in the table above represents the total pre-tax intrinsic value (calculated by multiplying our closing stock price on the last trading day of 2017 by the number of nonvested MSUs) that would have been received by the unit holders had all MSUs been vested and released as of the last trading day of 2017. This amount will fluctuate based on the fair market value of our stock. During 2017, of the 282,548 shares vested and released 118,562 shares were withheld for tax payments, resulting in a net issuance of 163,986 shares.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total intrinsic value of MSUs vested and released during 2017, 2016 and 2015 was $28.8 million, $17.4 million and $9.2 million, respectively. The total fair value of MSUs vested during the year ended December 31, 2017, 2016 and 2015 was $15.0 million, $9.9 million and $4.9 million, respectively. As of December 31, 2017, we expect to recognize $12.2 million of total unamortized compensation cost, net of estimated forfeitures, related to MSUs over a weighted average period of 1.0 years.</w:t>
      </w:r>
    </w:p>
    <w:p>
      <w:pPr>
        <w:spacing w:after="0" w:line="123" w:lineRule="exact"/>
        <w:rPr>
          <w:sz w:val="20"/>
          <w:szCs w:val="20"/>
          <w:color w:val="auto"/>
        </w:rPr>
      </w:pPr>
    </w:p>
    <w:p>
      <w:pPr>
        <w:jc w:val="center"/>
        <w:ind w:right="120"/>
        <w:spacing w:after="0"/>
        <w:rPr>
          <w:sz w:val="20"/>
          <w:szCs w:val="20"/>
          <w:color w:val="auto"/>
        </w:rPr>
      </w:pPr>
      <w:r>
        <w:rPr>
          <w:rFonts w:ascii="Arial" w:cs="Arial" w:eastAsia="Arial" w:hAnsi="Arial"/>
          <w:sz w:val="11"/>
          <w:szCs w:val="11"/>
          <w:color w:val="auto"/>
        </w:rPr>
        <w:t>The fair value of MSUs is estimated at the grant date using a Monte Carlo simulation that includes factors for market conditions. The following weighted-average assumptions used in the Monte Carlo simulation were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80"/>
          </w:cols>
          <w:pgMar w:left="220" w:top="649" w:right="1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28"/>
        </w:trPr>
        <w:tc>
          <w:tcPr>
            <w:tcW w:w="67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73"/>
        </w:trPr>
        <w:tc>
          <w:tcPr>
            <w:tcW w:w="67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b w:val="1"/>
                <w:bCs w:val="1"/>
                <w:color w:val="auto"/>
              </w:rPr>
              <w:t>2015</w:t>
            </w:r>
          </w:p>
        </w:tc>
      </w:tr>
      <w:tr>
        <w:trPr>
          <w:trHeight w:val="160"/>
        </w:trPr>
        <w:tc>
          <w:tcPr>
            <w:tcW w:w="6780" w:type="dxa"/>
            <w:vAlign w:val="bottom"/>
          </w:tcPr>
          <w:p>
            <w:pPr>
              <w:ind w:left="20"/>
              <w:spacing w:after="0"/>
              <w:rPr>
                <w:sz w:val="20"/>
                <w:szCs w:val="20"/>
                <w:color w:val="auto"/>
              </w:rPr>
            </w:pPr>
            <w:r>
              <w:rPr>
                <w:rFonts w:ascii="Arial" w:cs="Arial" w:eastAsia="Arial" w:hAnsi="Arial"/>
                <w:sz w:val="12"/>
                <w:szCs w:val="12"/>
                <w:color w:val="auto"/>
              </w:rPr>
              <w:t>Expected term (in years)</w:t>
            </w:r>
          </w:p>
        </w:tc>
        <w:tc>
          <w:tcPr>
            <w:tcW w:w="940" w:type="dxa"/>
            <w:vAlign w:val="bottom"/>
          </w:tcPr>
          <w:p>
            <w:pPr>
              <w:spacing w:after="0"/>
              <w:rPr>
                <w:sz w:val="13"/>
                <w:szCs w:val="13"/>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83"/>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3.0</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0.9%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dividends</w:t>
            </w:r>
          </w:p>
        </w:tc>
        <w:tc>
          <w:tcPr>
            <w:tcW w:w="9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r>
      <w:tr>
        <w:trPr>
          <w:trHeight w:val="162"/>
        </w:trPr>
        <w:tc>
          <w:tcPr>
            <w:tcW w:w="6780" w:type="dxa"/>
            <w:vAlign w:val="bottom"/>
          </w:tcPr>
          <w:p>
            <w:pPr>
              <w:ind w:left="20"/>
              <w:spacing w:after="0"/>
              <w:rPr>
                <w:sz w:val="20"/>
                <w:szCs w:val="20"/>
                <w:color w:val="auto"/>
              </w:rPr>
            </w:pPr>
            <w:r>
              <w:rPr>
                <w:rFonts w:ascii="Arial" w:cs="Arial" w:eastAsia="Arial" w:hAnsi="Arial"/>
                <w:sz w:val="12"/>
                <w:szCs w:val="12"/>
                <w:color w:val="auto"/>
              </w:rPr>
              <w:t>Weighted average fair value per share at grant date</w:t>
            </w:r>
          </w:p>
        </w:tc>
        <w:tc>
          <w:tcPr>
            <w:tcW w:w="940" w:type="dxa"/>
            <w:vAlign w:val="bottom"/>
          </w:tcPr>
          <w:p>
            <w:pPr>
              <w:jc w:val="right"/>
              <w:ind w:right="806"/>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120.39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83"/>
              <w:spacing w:after="0"/>
              <w:rPr>
                <w:sz w:val="20"/>
                <w:szCs w:val="20"/>
                <w:color w:val="auto"/>
              </w:rPr>
            </w:pPr>
            <w:r>
              <w:rPr>
                <w:rFonts w:ascii="Arial" w:cs="Arial" w:eastAsia="Arial" w:hAnsi="Arial"/>
                <w:sz w:val="12"/>
                <w:szCs w:val="12"/>
                <w:color w:val="auto"/>
              </w:rPr>
              <w:t>68.88</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61.73</w:t>
            </w:r>
          </w:p>
        </w:tc>
      </w:tr>
    </w:tbl>
    <w:p>
      <w:pPr>
        <w:spacing w:after="0" w:line="15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Total payments to tax authorities for payroll taxes related to RSUs, including MSUs, that vested during the period were $46.2 million, $29.9 million and $20.7 million during the year ended December 31, 2017, 2016 and 2015, respectively, and are reflected as a financing activity in the Consolidated Statement of Cash Flows.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May 2010, our shareholders approved the 2010 Employee Stock Purchase Plan (the “2010 Purchase Plan”), which consists of consecutive overlapping twenty-four month offering periods with four six-month purchase periods in each offering period. Employees purchase shares at 85% of the lower of the fair market value of the common stock at either the beginning of the offering period or the end of the purchase period. The 2010 Purchase Plan will continue until terminated by either the Board of Directors or its administrator. The maximum number of shares available for issuance under the 2010 Purchase Plan is 2,400,000 shares.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the ESPP shares issued:</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28"/>
        </w:trPr>
        <w:tc>
          <w:tcPr>
            <w:tcW w:w="63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69"/>
        </w:trPr>
        <w:tc>
          <w:tcPr>
            <w:tcW w:w="636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b w:val="1"/>
                <w:bCs w:val="1"/>
                <w:color w:val="auto"/>
              </w:rPr>
              <w:t>2015</w:t>
            </w:r>
          </w:p>
        </w:tc>
      </w:tr>
      <w:tr>
        <w:trPr>
          <w:trHeight w:val="164"/>
        </w:trPr>
        <w:tc>
          <w:tcPr>
            <w:tcW w:w="6360" w:type="dxa"/>
            <w:vAlign w:val="bottom"/>
          </w:tcPr>
          <w:p>
            <w:pPr>
              <w:spacing w:after="0"/>
              <w:rPr>
                <w:sz w:val="20"/>
                <w:szCs w:val="20"/>
                <w:color w:val="auto"/>
              </w:rPr>
            </w:pPr>
            <w:r>
              <w:rPr>
                <w:rFonts w:ascii="Arial" w:cs="Arial" w:eastAsia="Arial" w:hAnsi="Arial"/>
                <w:sz w:val="12"/>
                <w:szCs w:val="12"/>
                <w:color w:val="auto"/>
              </w:rPr>
              <w:t>Number of shares issued (in thousands)</w:t>
            </w:r>
          </w:p>
        </w:tc>
        <w:tc>
          <w:tcPr>
            <w:tcW w:w="10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66"/>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64"/>
              <w:spacing w:after="0"/>
              <w:rPr>
                <w:sz w:val="20"/>
                <w:szCs w:val="20"/>
                <w:color w:val="auto"/>
              </w:rPr>
            </w:pPr>
            <w:r>
              <w:rPr>
                <w:rFonts w:ascii="Arial" w:cs="Arial" w:eastAsia="Arial" w:hAnsi="Arial"/>
                <w:sz w:val="12"/>
                <w:szCs w:val="12"/>
                <w:color w:val="auto"/>
              </w:rPr>
              <w:t>230</w:t>
            </w:r>
          </w:p>
        </w:tc>
      </w:tr>
      <w:tr>
        <w:trPr>
          <w:trHeight w:val="189"/>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price</w:t>
            </w:r>
          </w:p>
        </w:tc>
        <w:tc>
          <w:tcPr>
            <w:tcW w:w="1060" w:type="dxa"/>
            <w:vAlign w:val="bottom"/>
            <w:shd w:val="clear" w:color="auto" w:fill="CCEEFF"/>
          </w:tcPr>
          <w:p>
            <w:pPr>
              <w:jc w:val="right"/>
              <w:ind w:right="92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48.65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36.66</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2017, 735,301 shares remain available for future issuance.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fair value of the option component of the 2010 Purchase Plan shares was estimated at the grant date using the Black-Scholes option pricing model with the following weighted average assumptions: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73"/>
        </w:trPr>
        <w:tc>
          <w:tcPr>
            <w:tcW w:w="636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0"/>
                <w:szCs w:val="10"/>
                <w:b w:val="1"/>
                <w:bCs w:val="1"/>
                <w:color w:val="auto"/>
              </w:rPr>
              <w:t>2015</w:t>
            </w:r>
          </w:p>
        </w:tc>
      </w:tr>
      <w:tr>
        <w:trPr>
          <w:trHeight w:val="160"/>
        </w:trPr>
        <w:tc>
          <w:tcPr>
            <w:tcW w:w="6360" w:type="dxa"/>
            <w:vAlign w:val="bottom"/>
          </w:tcPr>
          <w:p>
            <w:pPr>
              <w:ind w:left="20"/>
              <w:spacing w:after="0"/>
              <w:rPr>
                <w:sz w:val="20"/>
                <w:szCs w:val="20"/>
                <w:color w:val="auto"/>
              </w:rPr>
            </w:pPr>
            <w:r>
              <w:rPr>
                <w:rFonts w:ascii="Arial" w:cs="Arial" w:eastAsia="Arial" w:hAnsi="Arial"/>
                <w:sz w:val="12"/>
                <w:szCs w:val="12"/>
                <w:color w:val="auto"/>
              </w:rPr>
              <w:t>Expected term (in years)</w:t>
            </w:r>
          </w:p>
        </w:tc>
        <w:tc>
          <w:tcPr>
            <w:tcW w:w="1040" w:type="dxa"/>
            <w:vAlign w:val="bottom"/>
          </w:tcPr>
          <w:p>
            <w:pPr>
              <w:spacing w:after="0"/>
              <w:rPr>
                <w:sz w:val="13"/>
                <w:szCs w:val="13"/>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63"/>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1.2</w:t>
            </w: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w:t>
            </w:r>
          </w:p>
        </w:tc>
      </w:tr>
      <w:tr>
        <w:trPr>
          <w:trHeight w:val="171"/>
        </w:trPr>
        <w:tc>
          <w:tcPr>
            <w:tcW w:w="636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0.3%</w:t>
            </w: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dividends</w:t>
            </w:r>
          </w:p>
        </w:tc>
        <w:tc>
          <w:tcPr>
            <w:tcW w:w="10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62"/>
        </w:trPr>
        <w:tc>
          <w:tcPr>
            <w:tcW w:w="6360" w:type="dxa"/>
            <w:vAlign w:val="bottom"/>
          </w:tcPr>
          <w:p>
            <w:pPr>
              <w:ind w:left="20"/>
              <w:spacing w:after="0"/>
              <w:rPr>
                <w:sz w:val="20"/>
                <w:szCs w:val="20"/>
                <w:color w:val="auto"/>
              </w:rPr>
            </w:pPr>
            <w:r>
              <w:rPr>
                <w:rFonts w:ascii="Arial" w:cs="Arial" w:eastAsia="Arial" w:hAnsi="Arial"/>
                <w:sz w:val="12"/>
                <w:szCs w:val="12"/>
                <w:color w:val="auto"/>
              </w:rPr>
              <w:t>Weighted average fair value at grant date</w:t>
            </w:r>
          </w:p>
        </w:tc>
        <w:tc>
          <w:tcPr>
            <w:tcW w:w="1040" w:type="dxa"/>
            <w:vAlign w:val="bottom"/>
          </w:tcPr>
          <w:p>
            <w:pPr>
              <w:jc w:val="right"/>
              <w:ind w:right="906"/>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31.36</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3"/>
              <w:spacing w:after="0"/>
              <w:rPr>
                <w:sz w:val="20"/>
                <w:szCs w:val="20"/>
                <w:color w:val="auto"/>
              </w:rPr>
            </w:pPr>
            <w:r>
              <w:rPr>
                <w:rFonts w:ascii="Arial" w:cs="Arial" w:eastAsia="Arial" w:hAnsi="Arial"/>
                <w:sz w:val="12"/>
                <w:szCs w:val="12"/>
                <w:color w:val="auto"/>
              </w:rPr>
              <w:t>22.23</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2"/>
                <w:szCs w:val="12"/>
                <w:color w:val="auto"/>
              </w:rPr>
              <w:t>16.19</w:t>
            </w:r>
          </w:p>
        </w:tc>
      </w:tr>
    </w:tbl>
    <w:p>
      <w:pPr>
        <w:spacing w:after="0" w:line="11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recognized stock-based compensation expense related to our employee stock purchase plan of $5.4 million, $2.7 million and $4.1 million for the year ended December 31, 2017, 2016 and 2015, respectively. As of December 31, 2017, there was $2.7 million of total unamortized compensation costs related to future employee stock purchases which we expect to be recognized over a weighted average period of 0.6 years.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Common Stock Repurchase Program</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April 2014 Repurchase Program</w:t>
      </w:r>
    </w:p>
    <w:p>
      <w:pPr>
        <w:spacing w:after="0" w:line="150" w:lineRule="exact"/>
        <w:rPr>
          <w:sz w:val="20"/>
          <w:szCs w:val="20"/>
          <w:color w:val="auto"/>
        </w:rPr>
      </w:pPr>
    </w:p>
    <w:p>
      <w:pPr>
        <w:ind w:right="20" w:firstLine="270"/>
        <w:spacing w:after="0" w:line="276" w:lineRule="auto"/>
        <w:rPr>
          <w:sz w:val="20"/>
          <w:szCs w:val="20"/>
          <w:color w:val="auto"/>
        </w:rPr>
      </w:pPr>
      <w:r>
        <w:rPr>
          <w:rFonts w:ascii="Arial" w:cs="Arial" w:eastAsia="Arial" w:hAnsi="Arial"/>
          <w:sz w:val="12"/>
          <w:szCs w:val="12"/>
          <w:color w:val="auto"/>
        </w:rPr>
        <w:t>On April 23, 2014, we announced that our Board of Directors had authorized a stock repurchase program ("April 2014 Repurchase Program") pursuant to which we may purchase up to $300.0 million of our common stock over a three year period.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0"/>
          </w:cols>
          <w:pgMar w:left="220" w:top="539" w:right="199" w:bottom="1440" w:gutter="0" w:footer="0" w:header="0"/>
        </w:sectPr>
      </w:pPr>
    </w:p>
    <w:bookmarkStart w:id="86" w:name="page87"/>
    <w:bookmarkEnd w:id="86"/>
    <w:p>
      <w:pPr>
        <w:jc w:val="both"/>
        <w:ind w:firstLine="270"/>
        <w:spacing w:after="0" w:line="263" w:lineRule="auto"/>
        <w:rPr>
          <w:sz w:val="20"/>
          <w:szCs w:val="20"/>
          <w:color w:val="auto"/>
        </w:rPr>
      </w:pPr>
      <w:r>
        <w:rPr>
          <w:rFonts w:ascii="Arial" w:cs="Arial" w:eastAsia="Arial" w:hAnsi="Arial"/>
          <w:sz w:val="12"/>
          <w:szCs w:val="12"/>
          <w:color w:val="auto"/>
        </w:rPr>
        <w:t xml:space="preserve">In 2015, </w:t>
      </w:r>
      <w:r>
        <w:rPr>
          <w:rFonts w:ascii="Arial" w:cs="Arial" w:eastAsia="Arial" w:hAnsi="Arial"/>
          <w:sz w:val="12"/>
          <w:szCs w:val="12"/>
          <w:color w:val="252525"/>
        </w:rPr>
        <w:t>we</w:t>
      </w:r>
      <w:r>
        <w:rPr>
          <w:rFonts w:ascii="Arial" w:cs="Arial" w:eastAsia="Arial" w:hAnsi="Arial"/>
          <w:sz w:val="12"/>
          <w:szCs w:val="12"/>
          <w:color w:val="auto"/>
        </w:rPr>
        <w:t xml:space="preserve"> entered into an accelerated share purchase agreement ("2015 ASR") to repurchase $70.0 million of our common stock. The 2015 ASR was completed in July 2015. We received a total of approximately 1.2 million shares for an average share price of $60.52. During 2015, we repurchased on the open market approximately 0.5 million shares of our common stock at an average price of $58.89 per share, including commissions, for an aggregate purchase price of approximately $31.8 million.</w:t>
      </w:r>
    </w:p>
    <w:p>
      <w:pPr>
        <w:spacing w:after="0" w:line="12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 2016, we entered into an accelerated share repurchase agreement ("2016 ASR") to repurchase $50.0 million of our common stock. The 2016 ASR was completed in September 2016. We received a total of approximately 0.6 million shares for an average share price of $81.89. During 2016, we repurchased on the open market approximately 0.5 million shares of our common stock at an average price of $92.58 per share, including commissions, for an aggregate purchase price of approximately $46.2 million.</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2017, we repurchased on the open market approximately 0.04 million shares of our common stock at an average price of $96.37 per share, including commission for an aggregate purchase price of approximately $3.8 million, completing the April 2014 Repurchase Program.</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April 2016 Repurchase Program</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April 28, 2016, we announced that our Board of Directors had authorized a plan to repurchase up to $300.0 million of the Company's stock ("April 2016 Repurchase Plan"). In 2016, we had no repurchases under this plan. In 2017, we entered into an accelerated share repurchase agreement ("2017 ASR") to repurchase $50.0 million of our common stock. The 2017 ASR was completed in August 2017. We received a total of approximately 0.4 million shares for an average share price of $146.48. During 2017, we repurchased on the open market approximately 0.2 million shares of our common stock at an average price of $243.40 per share, including commissions, for an aggregate purchase price of approximately $50.0 million. As of December 31, 2017, we have $200.0 million remaining under the April 2016 Repurchase Program.</w:t>
      </w:r>
    </w:p>
    <w:p>
      <w:pPr>
        <w:spacing w:after="0" w:line="1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February 2018, we repurchased on the open market approximately 0.4 million shares of our common stock at an average price of $252.24 per share, including commission for an aggregate purchase price of approximately $100.0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Employee Benefit Plans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401(k) Plan</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have defined contribution retirement plan under Section 401(k) of the Internal Revenue Code for our U.S. employees which covers substantially all U.S. employees who meet minimum age and service requirements and allows participants to defer a portion of their annual compensation on a pre-tax basis. We match 50% of our employee’s salary deferral contributions up to a 6% of the employee’s eligible compensation effective 2010. We contributed approximately $4.3 million, $3.4 million and $2.7 million to the 401(k) plan during the year ended December 31, 2017, 2016 and 2015, respectively.</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Israeli Funds</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Under the Israeli severance fund law, we are required to make payments to dismissed employees and employees leaving employment in certain circumstances. The funding requirement is calculated based on the salary of the employee multiplied by the number of years of employment as of the applicable balance sheet date. Our Israeli employees are entitled to one month’s salary for each year of employment, or a pro-rata portion thereof. We fund the liability through monthly deposits into funds, and the values of these contributions are recorded in other current assets in the Consolidated Balance Sheet.</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and 2016, the balance of the fund liability was approximately $3.2 million and $3.1 million, respectively.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80"/>
          </w:cols>
          <w:pgMar w:left="220" w:top="437" w:right="19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t>Note 13. Income Taxes</w:t>
      </w:r>
    </w:p>
    <w:p>
      <w:pPr>
        <w:spacing w:after="0" w:line="154"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The U.S. Tax Cuts and Jobs Act (the “TCJA”) was enacted into law on December 22, 2017, and impacted our effective tax rate for the year ended December 31, 2017.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We have estimated the impact of the TCJA and recorded $84.3 million of additional income tax expense in the fourth quarter of 2017, the period in which the legislation was enacted. The components of this expense are as follows:</w:t>
      </w:r>
    </w:p>
    <w:p>
      <w:pPr>
        <w:spacing w:after="0" w:line="162" w:lineRule="exact"/>
        <w:rPr>
          <w:sz w:val="20"/>
          <w:szCs w:val="20"/>
          <w:color w:val="auto"/>
        </w:rPr>
      </w:pPr>
    </w:p>
    <w:p>
      <w:pPr>
        <w:jc w:val="both"/>
        <w:ind w:left="420" w:hanging="212"/>
        <w:spacing w:after="0" w:line="259" w:lineRule="auto"/>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recorded a provisional tax amount of $73.9 million for the transition tax liability. We have not yet completed the calculation of the total post-1986 foreign Earnings and Profits ("E&amp;P") and the income tax pools for all foreign subsidiaries. Further, the transition tax is based in part on the amount of those earnings held in cash and other specified assets. This amount may change when we finalize the calculation of post-1986 foreign E&amp;P previously deferred from U.S. federal taxation and the amounts held in cash or other specified assets. In addition, further interpretations from U.S. federal and state governments and regulatory organizations may change the provisional liability or the accounting treatment of the provisional liability.</w:t>
      </w:r>
    </w:p>
    <w:p>
      <w:pPr>
        <w:spacing w:after="0" w:line="12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We recorded a provisional tax amount of $10.4 million to remeasure certain deferred tax assets and liabilities as a result of the enactment of the Act. We are still analyzing certain aspects of the TCJA and refining the estimate of the expected reversal of the deferred tax balances. The TCJA can potentially affect the measurement of these balances or potentially give rise to new deferred tax amounts.</w:t>
      </w:r>
    </w:p>
    <w:p>
      <w:pPr>
        <w:spacing w:after="0" w:line="11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The TCJA also includes provisions for certain foreign-sourced earnings referred to as Global Intangible Low-Taxed Income (“GILTI”), which impose a tax on foreign income in excess of a deemed return on tangible assets of foreign corporations. FASB guidance issued in January 2018 allows companies to make an accounting policy election to either (i) account for GILTI as a component of tax expense in the period in which the tax is incurred (the “period cost method”), or (ii) account for GILTI in the measurement of deferred taxes (the “deferred method”). Because of the complexity of the new provisions, we are continuing to evaluate the accounting impact under GAAP, and will make an election once this analysis has been completed.</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income before provision for income taxes and equity in losses of investee consists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47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2017</w:t>
            </w: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0"/>
                <w:szCs w:val="10"/>
                <w:b w:val="1"/>
                <w:bCs w:val="1"/>
                <w:color w:val="auto"/>
              </w:rPr>
              <w:t>2015</w:t>
            </w:r>
          </w:p>
        </w:tc>
      </w:tr>
      <w:tr>
        <w:trPr>
          <w:trHeight w:val="160"/>
        </w:trPr>
        <w:tc>
          <w:tcPr>
            <w:tcW w:w="4700" w:type="dxa"/>
            <w:vAlign w:val="bottom"/>
          </w:tcPr>
          <w:p>
            <w:pPr>
              <w:ind w:left="20"/>
              <w:spacing w:after="0"/>
              <w:rPr>
                <w:sz w:val="20"/>
                <w:szCs w:val="20"/>
                <w:color w:val="auto"/>
              </w:rPr>
            </w:pPr>
            <w:r>
              <w:rPr>
                <w:rFonts w:ascii="Arial" w:cs="Arial" w:eastAsia="Arial" w:hAnsi="Arial"/>
                <w:sz w:val="12"/>
                <w:szCs w:val="12"/>
                <w:color w:val="auto"/>
              </w:rPr>
              <w:t>Domestic</w:t>
            </w:r>
          </w:p>
        </w:tc>
        <w:tc>
          <w:tcPr>
            <w:tcW w:w="2460" w:type="dxa"/>
            <w:vAlign w:val="bottom"/>
            <w:gridSpan w:val="2"/>
          </w:tcPr>
          <w:p>
            <w:pPr>
              <w:jc w:val="right"/>
              <w:ind w:right="97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123,696</w:t>
            </w:r>
          </w:p>
        </w:tc>
        <w:tc>
          <w:tcPr>
            <w:tcW w:w="12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45"/>
              <w:spacing w:after="0"/>
              <w:rPr>
                <w:sz w:val="20"/>
                <w:szCs w:val="20"/>
                <w:color w:val="auto"/>
              </w:rPr>
            </w:pPr>
            <w:r>
              <w:rPr>
                <w:rFonts w:ascii="Arial" w:cs="Arial" w:eastAsia="Arial" w:hAnsi="Arial"/>
                <w:sz w:val="12"/>
                <w:szCs w:val="12"/>
                <w:color w:val="auto"/>
              </w:rPr>
              <w:t>118,871</w:t>
            </w:r>
          </w:p>
        </w:tc>
        <w:tc>
          <w:tcPr>
            <w:tcW w:w="10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2"/>
                <w:szCs w:val="12"/>
                <w:color w:val="auto"/>
              </w:rPr>
              <w:t>87,803</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w:t>
            </w:r>
          </w:p>
        </w:tc>
        <w:tc>
          <w:tcPr>
            <w:tcW w:w="13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241,103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123,695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98,298</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Net income before provision for income taxes and equity in losses of investee</w:t>
            </w:r>
          </w:p>
        </w:tc>
        <w:tc>
          <w:tcPr>
            <w:tcW w:w="2460" w:type="dxa"/>
            <w:vAlign w:val="bottom"/>
            <w:gridSpan w:val="2"/>
          </w:tcPr>
          <w:p>
            <w:pPr>
              <w:jc w:val="right"/>
              <w:ind w:right="97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364,799</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45"/>
              <w:spacing w:after="0"/>
              <w:rPr>
                <w:sz w:val="20"/>
                <w:szCs w:val="20"/>
                <w:color w:val="auto"/>
              </w:rPr>
            </w:pPr>
            <w:r>
              <w:rPr>
                <w:rFonts w:ascii="Arial" w:cs="Arial" w:eastAsia="Arial" w:hAnsi="Arial"/>
                <w:sz w:val="12"/>
                <w:szCs w:val="12"/>
                <w:color w:val="auto"/>
              </w:rPr>
              <w:t>242,566</w:t>
            </w:r>
          </w:p>
        </w:tc>
        <w:tc>
          <w:tcPr>
            <w:tcW w:w="100" w:type="dxa"/>
            <w:vAlign w:val="bottom"/>
          </w:tcPr>
          <w:p>
            <w:pPr>
              <w:spacing w:after="0"/>
              <w:rPr>
                <w:sz w:val="15"/>
                <w:szCs w:val="15"/>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2"/>
                <w:szCs w:val="12"/>
                <w:color w:val="auto"/>
              </w:rPr>
              <w:t>186,101</w:t>
            </w:r>
          </w:p>
        </w:tc>
      </w:tr>
      <w:tr>
        <w:trPr>
          <w:trHeight w:val="306"/>
        </w:trPr>
        <w:tc>
          <w:tcPr>
            <w:tcW w:w="4700" w:type="dxa"/>
            <w:vAlign w:val="bottom"/>
          </w:tcPr>
          <w:p>
            <w:pPr>
              <w:spacing w:after="0"/>
              <w:rPr>
                <w:sz w:val="24"/>
                <w:szCs w:val="24"/>
                <w:color w:val="auto"/>
              </w:rPr>
            </w:pP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88</w:t>
            </w: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433" w:right="199" w:bottom="1440" w:gutter="0" w:footer="0" w:header="0"/>
        </w:sectPr>
      </w:pPr>
    </w:p>
    <w:bookmarkStart w:id="88" w:name="page89"/>
    <w:bookmarkEnd w:id="88"/>
    <w:p>
      <w:pPr>
        <w:ind w:left="280"/>
        <w:spacing w:after="0"/>
        <w:rPr>
          <w:sz w:val="20"/>
          <w:szCs w:val="20"/>
          <w:color w:val="auto"/>
        </w:rPr>
      </w:pPr>
      <w:r>
        <w:rPr>
          <w:rFonts w:ascii="Arial" w:cs="Arial" w:eastAsia="Arial" w:hAnsi="Arial"/>
          <w:sz w:val="12"/>
          <w:szCs w:val="12"/>
          <w:color w:val="auto"/>
        </w:rPr>
        <w:t>The provision for income taxes consists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ind w:left="20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73"/>
        </w:trPr>
        <w:tc>
          <w:tcPr>
            <w:tcW w:w="6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b w:val="1"/>
                <w:bCs w:val="1"/>
                <w:color w:val="auto"/>
              </w:rPr>
              <w:t>2016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0"/>
                <w:szCs w:val="10"/>
                <w:b w:val="1"/>
                <w:bCs w:val="1"/>
                <w:color w:val="auto"/>
              </w:rPr>
              <w:t>2015</w:t>
            </w:r>
          </w:p>
        </w:tc>
      </w:tr>
      <w:tr>
        <w:trPr>
          <w:trHeight w:val="142"/>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Federal</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62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91,214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40,235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28,596</w:t>
            </w:r>
          </w:p>
        </w:tc>
      </w:tr>
      <w:tr>
        <w:trPr>
          <w:trHeight w:val="171"/>
        </w:trPr>
        <w:tc>
          <w:tcPr>
            <w:tcW w:w="6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Deferred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15,724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24,794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6,679</w:t>
            </w:r>
          </w:p>
        </w:tc>
      </w:tr>
      <w:tr>
        <w:trPr>
          <w:trHeight w:val="178"/>
        </w:trPr>
        <w:tc>
          <w:tcPr>
            <w:tcW w:w="6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106,938</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65,029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35,275</w:t>
            </w:r>
          </w:p>
        </w:tc>
      </w:tr>
      <w:tr>
        <w:trPr>
          <w:trHeight w:val="142"/>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62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2,580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2,603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3,271</w:t>
            </w:r>
          </w:p>
        </w:tc>
      </w:tr>
      <w:tr>
        <w:trPr>
          <w:trHeight w:val="171"/>
        </w:trPr>
        <w:tc>
          <w:tcPr>
            <w:tcW w:w="6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Deferred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2,677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2,636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(703)</w:t>
            </w:r>
          </w:p>
        </w:tc>
      </w:tr>
      <w:tr>
        <w:trPr>
          <w:trHeight w:val="178"/>
        </w:trPr>
        <w:tc>
          <w:tcPr>
            <w:tcW w:w="6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5,257</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5,239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2,568</w:t>
            </w:r>
          </w:p>
        </w:tc>
      </w:tr>
      <w:tr>
        <w:trPr>
          <w:trHeight w:val="142"/>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Foreign</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62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15,285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8,964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4,305</w:t>
            </w:r>
          </w:p>
        </w:tc>
      </w:tr>
      <w:tr>
        <w:trPr>
          <w:trHeight w:val="171"/>
        </w:trPr>
        <w:tc>
          <w:tcPr>
            <w:tcW w:w="6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Deferred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2,682</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(28,032)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(67)</w:t>
            </w:r>
          </w:p>
        </w:tc>
      </w:tr>
      <w:tr>
        <w:trPr>
          <w:trHeight w:val="178"/>
        </w:trPr>
        <w:tc>
          <w:tcPr>
            <w:tcW w:w="6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17,967</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(19,068)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4,238</w:t>
            </w:r>
          </w:p>
        </w:tc>
      </w:tr>
      <w:tr>
        <w:trPr>
          <w:trHeight w:val="187"/>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Provision for income taxes</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130,162</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51,200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42,081</w:t>
            </w:r>
          </w:p>
        </w:tc>
      </w:tr>
      <w:tr>
        <w:trPr>
          <w:trHeight w:val="241"/>
        </w:trPr>
        <w:tc>
          <w:tcPr>
            <w:tcW w:w="6640" w:type="dxa"/>
            <w:vAlign w:val="bottom"/>
            <w:gridSpan w:val="3"/>
          </w:tcPr>
          <w:p>
            <w:pPr>
              <w:ind w:left="280"/>
              <w:spacing w:after="0"/>
              <w:rPr>
                <w:sz w:val="20"/>
                <w:szCs w:val="20"/>
                <w:color w:val="auto"/>
              </w:rPr>
            </w:pPr>
            <w:r>
              <w:rPr>
                <w:rFonts w:ascii="Arial" w:cs="Arial" w:eastAsia="Arial" w:hAnsi="Arial"/>
                <w:sz w:val="12"/>
                <w:szCs w:val="12"/>
                <w:color w:val="auto"/>
                <w:w w:val="92"/>
              </w:rPr>
              <w:t>The differences between income taxes using the federal statutory income tax rate of 35% and our effective tax rate are as follows: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1"/>
        </w:trPr>
        <w:tc>
          <w:tcPr>
            <w:tcW w:w="6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69"/>
        </w:trPr>
        <w:tc>
          <w:tcPr>
            <w:tcW w:w="60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0"/>
                <w:szCs w:val="10"/>
                <w:b w:val="1"/>
                <w:bCs w:val="1"/>
                <w:color w:val="auto"/>
              </w:rPr>
              <w:t>2016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0"/>
                <w:szCs w:val="10"/>
                <w:b w:val="1"/>
                <w:bCs w:val="1"/>
                <w:color w:val="auto"/>
              </w:rPr>
              <w:t>2015</w:t>
            </w:r>
          </w:p>
        </w:tc>
      </w:tr>
      <w:tr>
        <w:trPr>
          <w:trHeight w:val="164"/>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U.S. federal statutory income tax rate</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35.0 %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35.0 %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35.0 %</w:t>
            </w:r>
          </w:p>
        </w:tc>
      </w:tr>
      <w:tr>
        <w:trPr>
          <w:trHeight w:val="18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State income taxes, net of federal tax benefit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w:t>
            </w:r>
          </w:p>
        </w:tc>
      </w:tr>
      <w:tr>
        <w:trPr>
          <w:trHeight w:val="171"/>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Impact of U.S. Tax Cuts and Jobs Act</w:t>
            </w:r>
          </w:p>
        </w:tc>
        <w:tc>
          <w:tcPr>
            <w:tcW w:w="36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Impact of differences in foreign tax rates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(16.2)</w:t>
            </w:r>
          </w:p>
        </w:tc>
      </w:tr>
      <w:tr>
        <w:trPr>
          <w:trHeight w:val="171"/>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Valuation allowance release for Israel</w:t>
            </w:r>
          </w:p>
        </w:tc>
        <w:tc>
          <w:tcPr>
            <w:tcW w:w="360" w:type="dxa"/>
            <w:vAlign w:val="bottom"/>
          </w:tcPr>
          <w:p>
            <w:pPr>
              <w:spacing w:after="0"/>
              <w:rPr>
                <w:sz w:val="14"/>
                <w:szCs w:val="14"/>
                <w:color w:val="auto"/>
              </w:rPr>
            </w:pPr>
          </w:p>
        </w:tc>
        <w:tc>
          <w:tcPr>
            <w:tcW w:w="1380" w:type="dxa"/>
            <w:vAlign w:val="bottom"/>
            <w:gridSpan w:val="4"/>
          </w:tcPr>
          <w:p>
            <w:pPr>
              <w:jc w:val="right"/>
              <w:ind w:righ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(12.9)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1.6</w:t>
            </w:r>
          </w:p>
        </w:tc>
      </w:tr>
      <w:tr>
        <w:trPr>
          <w:trHeight w:val="171"/>
        </w:trPr>
        <w:tc>
          <w:tcPr>
            <w:tcW w:w="6280" w:type="dxa"/>
            <w:vAlign w:val="bottom"/>
            <w:gridSpan w:val="2"/>
          </w:tcPr>
          <w:p>
            <w:pPr>
              <w:ind w:left="20"/>
              <w:spacing w:after="0"/>
              <w:rPr>
                <w:sz w:val="20"/>
                <w:szCs w:val="20"/>
                <w:color w:val="auto"/>
              </w:rPr>
            </w:pPr>
            <w:r>
              <w:rPr>
                <w:rFonts w:ascii="Arial" w:cs="Arial" w:eastAsia="Arial" w:hAnsi="Arial"/>
                <w:sz w:val="12"/>
                <w:szCs w:val="12"/>
                <w:color w:val="auto"/>
              </w:rPr>
              <w:t>Other items not individually material</w:t>
            </w:r>
          </w:p>
        </w:tc>
        <w:tc>
          <w:tcPr>
            <w:tcW w:w="36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02"/>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0.7</w:t>
            </w:r>
          </w:p>
        </w:tc>
      </w:tr>
      <w:tr>
        <w:trPr>
          <w:trHeight w:val="185"/>
        </w:trPr>
        <w:tc>
          <w:tcPr>
            <w:tcW w:w="60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21.1 %</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22.6 %</w:t>
            </w:r>
          </w:p>
        </w:tc>
      </w:tr>
    </w:tbl>
    <w:p>
      <w:pPr>
        <w:spacing w:after="0" w:line="135"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As of December 31, 2017, undistributed earnings of the company totaled $606.5 million. We reassessed our capital needs and investment strategy with regard to the indefinite reinvestment of the undistributed earnings from certain of our foreign subsidiaries as a result of the one-time transition tax on cumulative foreign earnings under the TCJA. During the fourth quarter of 2017, we determined that approximately $591.9 million of the total undistributed foreign earnings are no longer be considered to be indefinitely reinvested outside the U.S. As a result, we have recorded a deferred tax liability of approximately $3.3 million, which represents the provisional amount of U.S. state income taxes that would be due in the event these foreign earnings are distributed. The remaining amount of undistributed foreign earnings of approximately $14.7 million continues to be indefinitely reinvested in our international operations. Since U.S. federal income tax has already been provided under the provisions of the TCJA, the additional tax impact of the distribution of such foreign earnings to the United States parent would be limited to U.S. state income and withholding taxes and is not significant.</w:t>
      </w:r>
    </w:p>
    <w:p>
      <w:pPr>
        <w:spacing w:after="0" w:line="1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 Although the license of intellectual property rights between consolidated entities did not result in any gain in the consolidated financial statements, the Company generated taxable income in certain jurisdictions in 2016 resulting in a tax expense of $34.3 million. Additionally, as a result of the restructuring, we reassessed the need for a valuation allowance against our deferred tax assets considering all available evidence. Given the current earnings and anticipated future earnings of our subsidiary in Israel, we concluded that we have sufficient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80"/>
          </w:cols>
          <w:pgMar w:left="220" w:top="545" w:right="199" w:bottom="1440" w:gutter="0" w:footer="0" w:header="0"/>
        </w:sectPr>
      </w:pPr>
    </w:p>
    <w:bookmarkStart w:id="89" w:name="page90"/>
    <w:bookmarkEnd w:id="89"/>
    <w:p>
      <w:pPr>
        <w:spacing w:after="0"/>
        <w:rPr>
          <w:sz w:val="20"/>
          <w:szCs w:val="20"/>
          <w:color w:val="auto"/>
        </w:rPr>
      </w:pPr>
      <w:r>
        <w:rPr>
          <w:rFonts w:ascii="Arial" w:cs="Arial" w:eastAsia="Arial" w:hAnsi="Arial"/>
          <w:sz w:val="12"/>
          <w:szCs w:val="12"/>
          <w:color w:val="auto"/>
        </w:rPr>
        <w:t>positive evidence to release the valuation allowance against our Israel operating loss carryforwards of $31.4 million, which resulted in an income tax benefit in this period of the same amount.</w:t>
      </w:r>
    </w:p>
    <w:p>
      <w:pPr>
        <w:spacing w:after="0" w:line="15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a specified number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2016 and 2015. As a result of these incentives, our income taxes were reduced by $1.8 million, $19.1 million and $32.7 million in the year ended December 31, 2017, 2016 and 2015, respectively, representing a benefit to diluted net income per share of $0.02, $0.23 and $0.40 in the year ended December 31, 2017, 2016 and 2015, respectively.</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and 2016, the significant components of our deferred tax assets and liabilities are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Year Ended December 31,</w:t>
            </w:r>
          </w:p>
        </w:tc>
        <w:tc>
          <w:tcPr>
            <w:tcW w:w="1020" w:type="dxa"/>
            <w:vAlign w:val="bottom"/>
            <w:tcBorders>
              <w:bottom w:val="single" w:sz="8" w:color="auto"/>
            </w:tcBorders>
          </w:tcPr>
          <w:p>
            <w:pPr>
              <w:spacing w:after="0"/>
              <w:rPr>
                <w:sz w:val="11"/>
                <w:szCs w:val="11"/>
                <w:color w:val="auto"/>
              </w:rPr>
            </w:pPr>
          </w:p>
        </w:tc>
      </w:tr>
      <w:tr>
        <w:trPr>
          <w:trHeight w:val="173"/>
        </w:trPr>
        <w:tc>
          <w:tcPr>
            <w:tcW w:w="81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0"/>
                <w:szCs w:val="10"/>
                <w:b w:val="1"/>
                <w:bCs w:val="1"/>
                <w:color w:val="auto"/>
              </w:rPr>
              <w:t>2017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0"/>
                <w:szCs w:val="10"/>
                <w:b w:val="1"/>
                <w:bCs w:val="1"/>
                <w:color w:val="auto"/>
              </w:rPr>
              <w:t>2016</w:t>
            </w: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0"/>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operating loss and capital loss carryforwards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24,971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25,445</w:t>
            </w:r>
          </w:p>
        </w:tc>
      </w:tr>
      <w:tr>
        <w:trPr>
          <w:trHeight w:val="171"/>
        </w:trPr>
        <w:tc>
          <w:tcPr>
            <w:tcW w:w="8160" w:type="dxa"/>
            <w:vAlign w:val="bottom"/>
          </w:tcPr>
          <w:p>
            <w:pPr>
              <w:ind w:left="240"/>
              <w:spacing w:after="0"/>
              <w:rPr>
                <w:sz w:val="20"/>
                <w:szCs w:val="20"/>
                <w:color w:val="auto"/>
              </w:rPr>
            </w:pPr>
            <w:r>
              <w:rPr>
                <w:rFonts w:ascii="Arial" w:cs="Arial" w:eastAsia="Arial" w:hAnsi="Arial"/>
                <w:sz w:val="12"/>
                <w:szCs w:val="12"/>
                <w:color w:val="auto"/>
              </w:rPr>
              <w:t>Reserves and accruals</w:t>
            </w:r>
          </w:p>
        </w:tc>
        <w:tc>
          <w:tcPr>
            <w:tcW w:w="3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12,547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22,954</w:t>
            </w:r>
          </w:p>
        </w:tc>
      </w:tr>
      <w:tr>
        <w:trPr>
          <w:trHeight w:val="189"/>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10,074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16,399</w:t>
            </w:r>
          </w:p>
        </w:tc>
      </w:tr>
      <w:tr>
        <w:trPr>
          <w:trHeight w:val="171"/>
        </w:trPr>
        <w:tc>
          <w:tcPr>
            <w:tcW w:w="816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3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10,811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13,975</w:t>
            </w:r>
          </w:p>
        </w:tc>
      </w:tr>
      <w:tr>
        <w:trPr>
          <w:trHeight w:val="189"/>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translation losses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1,928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1,634</w:t>
            </w:r>
          </w:p>
        </w:tc>
      </w:tr>
      <w:tr>
        <w:trPr>
          <w:trHeight w:val="171"/>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Credit carryforwards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792</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679</w:t>
            </w:r>
          </w:p>
        </w:tc>
      </w:tr>
      <w:tr>
        <w:trPr>
          <w:trHeight w:val="178"/>
        </w:trPr>
        <w:tc>
          <w:tcPr>
            <w:tcW w:w="81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61,123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81,086</w:t>
            </w: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Deferred tax liabilities: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0"/>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 and amortization</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7,522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12,034</w:t>
            </w:r>
          </w:p>
        </w:tc>
      </w:tr>
      <w:tr>
        <w:trPr>
          <w:trHeight w:val="171"/>
        </w:trPr>
        <w:tc>
          <w:tcPr>
            <w:tcW w:w="8160" w:type="dxa"/>
            <w:vAlign w:val="bottom"/>
          </w:tcPr>
          <w:p>
            <w:pPr>
              <w:ind w:left="240"/>
              <w:spacing w:after="0"/>
              <w:rPr>
                <w:sz w:val="20"/>
                <w:szCs w:val="20"/>
                <w:color w:val="auto"/>
              </w:rPr>
            </w:pPr>
            <w:r>
              <w:rPr>
                <w:rFonts w:ascii="Arial" w:cs="Arial" w:eastAsia="Arial" w:hAnsi="Arial"/>
                <w:sz w:val="12"/>
                <w:szCs w:val="12"/>
                <w:color w:val="auto"/>
              </w:rPr>
              <w:t>Unremitted foreign earnings</w:t>
            </w:r>
          </w:p>
        </w:tc>
        <w:tc>
          <w:tcPr>
            <w:tcW w:w="3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3,305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0"/>
        </w:trPr>
        <w:tc>
          <w:tcPr>
            <w:tcW w:w="8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751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969</w:t>
            </w:r>
          </w:p>
        </w:tc>
      </w:tr>
      <w:tr>
        <w:trPr>
          <w:trHeight w:val="169"/>
        </w:trPr>
        <w:tc>
          <w:tcPr>
            <w:tcW w:w="8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11,578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13,003</w:t>
            </w:r>
          </w:p>
        </w:tc>
      </w:tr>
      <w:tr>
        <w:trPr>
          <w:trHeight w:val="178"/>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deferred tax assets before valuation allowance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49,545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68,083</w:t>
            </w:r>
          </w:p>
        </w:tc>
      </w:tr>
      <w:tr>
        <w:trPr>
          <w:trHeight w:val="171"/>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Valuation allowance</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(278)</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(256)</w:t>
            </w:r>
          </w:p>
        </w:tc>
      </w:tr>
      <w:tr>
        <w:trPr>
          <w:trHeight w:val="18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deferred tax assets</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49,267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67,827</w:t>
            </w:r>
          </w:p>
        </w:tc>
      </w:tr>
    </w:tbl>
    <w:p>
      <w:pPr>
        <w:spacing w:after="0" w:line="135" w:lineRule="exact"/>
        <w:rPr>
          <w:sz w:val="20"/>
          <w:szCs w:val="20"/>
          <w:color w:val="auto"/>
        </w:rPr>
      </w:pPr>
    </w:p>
    <w:p>
      <w:pPr>
        <w:ind w:right="160" w:firstLine="270"/>
        <w:spacing w:after="0" w:line="276" w:lineRule="auto"/>
        <w:rPr>
          <w:sz w:val="20"/>
          <w:szCs w:val="20"/>
          <w:color w:val="auto"/>
        </w:rPr>
      </w:pPr>
      <w:r>
        <w:rPr>
          <w:rFonts w:ascii="Arial" w:cs="Arial" w:eastAsia="Arial" w:hAnsi="Arial"/>
          <w:sz w:val="12"/>
          <w:szCs w:val="12"/>
          <w:color w:val="auto"/>
        </w:rPr>
        <w:t>The total valuation allowance as of December 31, 2017 was not material. During the year ended December 31, 2017, the valuation allowance increased by a nominal amount which was mainly related to foreign currency translation adjustments.</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As of December 31, 2017, we have fully utilized California net operating loss carryforwards. As of December 31, 2017, we have California research credit carryforwards of approximately $4.1 million which can be carried forward indefinitely. In addition, we have foreign net operating loss carryforwards of approximately $104.7 million, the majority of which can be carried forward indefinitely, and a minor portion of which, if not utilized, will expire beginning in 2027.</w:t>
      </w:r>
    </w:p>
    <w:p>
      <w:pPr>
        <w:spacing w:after="0" w:line="123"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In the event of a change in ownership, as defined under federal and state tax laws, our tax credit carryforwards may be subject to annual limitations. The annual limitations may result in the expiration of the tax credit carryforwards before utilization.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80"/>
          </w:cols>
          <w:pgMar w:left="220" w:top="437" w:right="199" w:bottom="1440" w:gutter="0" w:footer="0" w:header="0"/>
        </w:sectPr>
      </w:pPr>
    </w:p>
    <w:bookmarkStart w:id="90" w:name="page91"/>
    <w:bookmarkEnd w:id="90"/>
    <w:p>
      <w:pPr>
        <w:ind w:left="260"/>
        <w:spacing w:after="0"/>
        <w:rPr>
          <w:sz w:val="20"/>
          <w:szCs w:val="20"/>
          <w:color w:val="auto"/>
        </w:rPr>
      </w:pPr>
      <w:r>
        <w:rPr>
          <w:rFonts w:ascii="Arial" w:cs="Arial" w:eastAsia="Arial" w:hAnsi="Arial"/>
          <w:sz w:val="12"/>
          <w:szCs w:val="12"/>
          <w:color w:val="auto"/>
        </w:rPr>
        <w:t>The changes in the balance of gross unrecognized tax benefits, which exclude interest and penalties, for the year ended December 31, 2017, 2016 and 2015,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tcPr>
          <w:p>
            <w:pPr>
              <w:ind w:left="20"/>
              <w:spacing w:after="0"/>
              <w:rPr>
                <w:sz w:val="20"/>
                <w:szCs w:val="20"/>
                <w:color w:val="auto"/>
              </w:rPr>
            </w:pPr>
            <w:r>
              <w:rPr>
                <w:rFonts w:ascii="Arial" w:cs="Arial" w:eastAsia="Arial" w:hAnsi="Arial"/>
                <w:sz w:val="12"/>
                <w:szCs w:val="12"/>
                <w:color w:val="auto"/>
              </w:rPr>
              <w:t>Unrecognized tax benefit as of December 31, 2014</w:t>
            </w: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33,067</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current year:</w:t>
            </w:r>
          </w:p>
        </w:tc>
        <w:tc>
          <w:tcPr>
            <w:tcW w:w="9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928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Additions for uncertain tax positions</w:t>
            </w: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6,346</w:t>
            </w:r>
          </w:p>
        </w:tc>
      </w:tr>
      <w:tr>
        <w:trPr>
          <w:trHeight w:val="178"/>
        </w:trPr>
        <w:tc>
          <w:tcPr>
            <w:tcW w:w="9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Unrecognized tax benefit as of December 31, 2015</w:t>
            </w:r>
          </w:p>
        </w:tc>
        <w:tc>
          <w:tcPr>
            <w:tcW w:w="9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39,413</w:t>
            </w:r>
          </w:p>
        </w:tc>
      </w:tr>
      <w:tr>
        <w:trPr>
          <w:trHeight w:val="171"/>
        </w:trPr>
        <w:tc>
          <w:tcPr>
            <w:tcW w:w="9280" w:type="dxa"/>
            <w:vAlign w:val="bottom"/>
          </w:tcPr>
          <w:p>
            <w:pPr>
              <w:ind w:left="240"/>
              <w:spacing w:after="0"/>
              <w:rPr>
                <w:sz w:val="20"/>
                <w:szCs w:val="20"/>
                <w:color w:val="auto"/>
              </w:rPr>
            </w:pPr>
            <w:r>
              <w:rPr>
                <w:rFonts w:ascii="Arial" w:cs="Arial" w:eastAsia="Arial" w:hAnsi="Arial"/>
                <w:sz w:val="12"/>
                <w:szCs w:val="12"/>
                <w:color w:val="auto"/>
              </w:rPr>
              <w:t>Tax positions related to current year:</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Additions for uncertain tax positions</w:t>
            </w:r>
          </w:p>
        </w:tc>
        <w:tc>
          <w:tcPr>
            <w:tcW w:w="9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6,971</w:t>
            </w:r>
          </w:p>
        </w:tc>
      </w:tr>
      <w:tr>
        <w:trPr>
          <w:trHeight w:val="160"/>
        </w:trPr>
        <w:tc>
          <w:tcPr>
            <w:tcW w:w="9280" w:type="dxa"/>
            <w:vAlign w:val="bottom"/>
          </w:tcPr>
          <w:p>
            <w:pPr>
              <w:ind w:left="20"/>
              <w:spacing w:after="0"/>
              <w:rPr>
                <w:sz w:val="20"/>
                <w:szCs w:val="20"/>
                <w:color w:val="auto"/>
              </w:rPr>
            </w:pPr>
            <w:r>
              <w:rPr>
                <w:rFonts w:ascii="Arial" w:cs="Arial" w:eastAsia="Arial" w:hAnsi="Arial"/>
                <w:sz w:val="12"/>
                <w:szCs w:val="12"/>
                <w:color w:val="auto"/>
              </w:rPr>
              <w:t>Unrecognized tax benefit as of December 31, 2016</w:t>
            </w:r>
          </w:p>
        </w:tc>
        <w:tc>
          <w:tcPr>
            <w:tcW w:w="900" w:type="dxa"/>
            <w:vAlign w:val="bottom"/>
          </w:tcPr>
          <w:p>
            <w:pPr>
              <w:spacing w:after="0"/>
              <w:rPr>
                <w:sz w:val="13"/>
                <w:szCs w:val="13"/>
                <w:color w:val="auto"/>
              </w:rPr>
            </w:pP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46,384</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current year:</w:t>
            </w:r>
          </w:p>
        </w:tc>
        <w:tc>
          <w:tcPr>
            <w:tcW w:w="9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Additions for uncertain tax positions</w:t>
            </w:r>
          </w:p>
        </w:tc>
        <w:tc>
          <w:tcPr>
            <w:tcW w:w="900" w:type="dxa"/>
            <w:vAlign w:val="bottom"/>
          </w:tcPr>
          <w:p>
            <w:pPr>
              <w:spacing w:after="0"/>
              <w:rPr>
                <w:sz w:val="14"/>
                <w:szCs w:val="14"/>
                <w:color w:val="auto"/>
              </w:rPr>
            </w:pP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1,819</w:t>
            </w:r>
          </w:p>
        </w:tc>
      </w:tr>
      <w:tr>
        <w:trPr>
          <w:trHeight w:val="189"/>
        </w:trPr>
        <w:tc>
          <w:tcPr>
            <w:tcW w:w="9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positions related to prior year:</w:t>
            </w:r>
          </w:p>
        </w:tc>
        <w:tc>
          <w:tcPr>
            <w:tcW w:w="9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Additions for uncertain tax positions</w:t>
            </w:r>
          </w:p>
        </w:tc>
        <w:tc>
          <w:tcPr>
            <w:tcW w:w="900" w:type="dxa"/>
            <w:vAlign w:val="bottom"/>
          </w:tcPr>
          <w:p>
            <w:pPr>
              <w:spacing w:after="0"/>
              <w:rPr>
                <w:sz w:val="14"/>
                <w:szCs w:val="14"/>
                <w:color w:val="auto"/>
              </w:rPr>
            </w:pP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1,809</w:t>
            </w: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Decreases for uncertain tax positions</w:t>
            </w:r>
          </w:p>
        </w:tc>
        <w:tc>
          <w:tcPr>
            <w:tcW w:w="9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w:t>
            </w:r>
          </w:p>
        </w:tc>
      </w:tr>
      <w:tr>
        <w:trPr>
          <w:trHeight w:val="171"/>
        </w:trPr>
        <w:tc>
          <w:tcPr>
            <w:tcW w:w="9280" w:type="dxa"/>
            <w:vAlign w:val="bottom"/>
          </w:tcPr>
          <w:p>
            <w:pPr>
              <w:ind w:left="460"/>
              <w:spacing w:after="0"/>
              <w:rPr>
                <w:sz w:val="20"/>
                <w:szCs w:val="20"/>
                <w:color w:val="auto"/>
              </w:rPr>
            </w:pPr>
            <w:r>
              <w:rPr>
                <w:rFonts w:ascii="Arial" w:cs="Arial" w:eastAsia="Arial" w:hAnsi="Arial"/>
                <w:sz w:val="12"/>
                <w:szCs w:val="12"/>
                <w:color w:val="auto"/>
              </w:rPr>
              <w:t>Settlements with tax authorities</w:t>
            </w:r>
          </w:p>
        </w:tc>
        <w:tc>
          <w:tcPr>
            <w:tcW w:w="9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(1,527)</w:t>
            </w:r>
          </w:p>
        </w:tc>
      </w:tr>
      <w:tr>
        <w:trPr>
          <w:trHeight w:val="189"/>
        </w:trPr>
        <w:tc>
          <w:tcPr>
            <w:tcW w:w="9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Reductions due to lapse of applicable statute of limitations</w:t>
            </w:r>
          </w:p>
        </w:tc>
        <w:tc>
          <w:tcPr>
            <w:tcW w:w="9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76"/>
        </w:trPr>
        <w:tc>
          <w:tcPr>
            <w:tcW w:w="9280" w:type="dxa"/>
            <w:vAlign w:val="bottom"/>
          </w:tcPr>
          <w:p>
            <w:pPr>
              <w:ind w:left="20"/>
              <w:spacing w:after="0"/>
              <w:rPr>
                <w:sz w:val="20"/>
                <w:szCs w:val="20"/>
                <w:color w:val="auto"/>
              </w:rPr>
            </w:pPr>
            <w:r>
              <w:rPr>
                <w:rFonts w:ascii="Arial" w:cs="Arial" w:eastAsia="Arial" w:hAnsi="Arial"/>
                <w:sz w:val="12"/>
                <w:szCs w:val="12"/>
                <w:color w:val="auto"/>
              </w:rPr>
              <w:t>Unrecognized tax benefit as of December 31, 2017</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47,656</w:t>
            </w:r>
          </w:p>
        </w:tc>
      </w:tr>
    </w:tbl>
    <w:p>
      <w:pPr>
        <w:spacing w:after="0" w:line="13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$39.8 million of our unrecognized tax benefits would impact our effective tax rate if recognized.</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We have elected to recognize interest and penalties related to unrecognized tax benefits as a component of income taxes. For the year ended December 31, 2017 and 2016, interest and penalties included in tax expense was $0.8 million and $1.4 million, respectively. Our total interest and penalties accrued as of December 31, 2017 and 2016 was $2.9 million and $2.1 million, respectively. We do not expect any significant changes to the amount of unrecognized tax benefit within the next twelve months.</w:t>
      </w:r>
    </w:p>
    <w:p>
      <w:pPr>
        <w:spacing w:after="0" w:line="123"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We file U.S. federal, U.S. state, and non-U.S. income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2010.</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Net Income per Share</w:t>
      </w:r>
    </w:p>
    <w:p>
      <w:pPr>
        <w:spacing w:after="0" w:line="154"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RSUs, MSUs, stock options and our ESPP.</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sets forth the computation of basic and diluted net income per share attributable to common stock (in thousands,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24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424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jc w:val="right"/>
              <w:ind w:right="70"/>
              <w:spacing w:after="0"/>
              <w:rPr>
                <w:sz w:val="20"/>
                <w:szCs w:val="20"/>
                <w:color w:val="auto"/>
              </w:rPr>
            </w:pPr>
            <w:r>
              <w:rPr>
                <w:rFonts w:ascii="Arial" w:cs="Arial" w:eastAsia="Arial" w:hAnsi="Arial"/>
                <w:sz w:val="10"/>
                <w:szCs w:val="10"/>
                <w:b w:val="1"/>
                <w:bCs w:val="1"/>
                <w:color w:val="auto"/>
              </w:rPr>
              <w:t>2017</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03"/>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82"/>
              <w:spacing w:after="0"/>
              <w:rPr>
                <w:sz w:val="20"/>
                <w:szCs w:val="20"/>
                <w:color w:val="auto"/>
              </w:rPr>
            </w:pPr>
            <w:r>
              <w:rPr>
                <w:rFonts w:ascii="Arial" w:cs="Arial" w:eastAsia="Arial" w:hAnsi="Arial"/>
                <w:sz w:val="10"/>
                <w:szCs w:val="10"/>
                <w:b w:val="1"/>
                <w:bCs w:val="1"/>
                <w:color w:val="auto"/>
              </w:rPr>
              <w:t>2015</w:t>
            </w:r>
          </w:p>
        </w:tc>
      </w:tr>
      <w:tr>
        <w:trPr>
          <w:trHeight w:val="142"/>
        </w:trPr>
        <w:tc>
          <w:tcPr>
            <w:tcW w:w="4240" w:type="dxa"/>
            <w:vAlign w:val="bottom"/>
          </w:tcPr>
          <w:p>
            <w:pPr>
              <w:ind w:left="20"/>
              <w:spacing w:after="0"/>
              <w:rPr>
                <w:sz w:val="20"/>
                <w:szCs w:val="20"/>
                <w:color w:val="auto"/>
              </w:rPr>
            </w:pPr>
            <w:r>
              <w:rPr>
                <w:rFonts w:ascii="Arial" w:cs="Arial" w:eastAsia="Arial" w:hAnsi="Arial"/>
                <w:sz w:val="12"/>
                <w:szCs w:val="12"/>
                <w:color w:val="auto"/>
              </w:rPr>
              <w:t>Numerator:</w:t>
            </w:r>
          </w:p>
        </w:tc>
        <w:tc>
          <w:tcPr>
            <w:tcW w:w="18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7"/>
        </w:trPr>
        <w:tc>
          <w:tcPr>
            <w:tcW w:w="4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1"/>
        </w:trPr>
        <w:tc>
          <w:tcPr>
            <w:tcW w:w="4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2920" w:type="dxa"/>
            <w:vAlign w:val="bottom"/>
            <w:gridSpan w:val="2"/>
            <w:shd w:val="clear" w:color="auto" w:fill="CCEEFF"/>
          </w:tcPr>
          <w:p>
            <w:pPr>
              <w:jc w:val="right"/>
              <w:ind w:right="97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231,418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189,682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144,020</w:t>
            </w:r>
          </w:p>
        </w:tc>
      </w:tr>
      <w:tr>
        <w:trPr>
          <w:trHeight w:val="140"/>
        </w:trPr>
        <w:tc>
          <w:tcPr>
            <w:tcW w:w="424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Denominator:</w:t>
            </w:r>
          </w:p>
        </w:tc>
        <w:tc>
          <w:tcPr>
            <w:tcW w:w="184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36"/>
        </w:trPr>
        <w:tc>
          <w:tcPr>
            <w:tcW w:w="42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0"/>
        </w:trPr>
        <w:tc>
          <w:tcPr>
            <w:tcW w:w="42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Weighted-average common shares outstanding, basic</w:t>
            </w:r>
          </w:p>
        </w:tc>
        <w:tc>
          <w:tcPr>
            <w:tcW w:w="18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80,085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79,856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79,998</w:t>
            </w:r>
          </w:p>
        </w:tc>
      </w:tr>
      <w:tr>
        <w:trPr>
          <w:trHeight w:val="171"/>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Dilutive effect of potential common stock</w:t>
            </w:r>
          </w:p>
        </w:tc>
        <w:tc>
          <w:tcPr>
            <w:tcW w:w="18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1,747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1,628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1,523</w:t>
            </w:r>
          </w:p>
        </w:tc>
      </w:tr>
      <w:tr>
        <w:trPr>
          <w:trHeight w:val="178"/>
        </w:trPr>
        <w:tc>
          <w:tcPr>
            <w:tcW w:w="42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shares, diluted</w:t>
            </w:r>
          </w:p>
        </w:tc>
        <w:tc>
          <w:tcPr>
            <w:tcW w:w="18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81,832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81,484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81,521</w:t>
            </w:r>
          </w:p>
        </w:tc>
      </w:tr>
      <w:tr>
        <w:trPr>
          <w:trHeight w:val="192"/>
        </w:trPr>
        <w:tc>
          <w:tcPr>
            <w:tcW w:w="424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income per share, basic</w:t>
            </w:r>
          </w:p>
        </w:tc>
        <w:tc>
          <w:tcPr>
            <w:tcW w:w="18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ind w:right="97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2.38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1.80</w:t>
            </w:r>
          </w:p>
        </w:tc>
      </w:tr>
      <w:tr>
        <w:trPr>
          <w:trHeight w:val="180"/>
        </w:trPr>
        <w:tc>
          <w:tcPr>
            <w:tcW w:w="4240" w:type="dxa"/>
            <w:vAlign w:val="bottom"/>
            <w:tcBorders>
              <w:top w:val="single" w:sz="8" w:color="CCEEFF"/>
              <w:bottom w:val="single" w:sz="8" w:color="CCEEFF"/>
            </w:tcBorders>
            <w:shd w:val="clear" w:color="auto" w:fill="CCEEFF"/>
          </w:tcPr>
          <w:p>
            <w:pPr>
              <w:ind w:left="460"/>
              <w:spacing w:after="0" w:line="133" w:lineRule="exact"/>
              <w:rPr>
                <w:sz w:val="20"/>
                <w:szCs w:val="20"/>
                <w:color w:val="auto"/>
              </w:rPr>
            </w:pPr>
            <w:r>
              <w:rPr>
                <w:rFonts w:ascii="Arial" w:cs="Arial" w:eastAsia="Arial" w:hAnsi="Arial"/>
                <w:sz w:val="12"/>
                <w:szCs w:val="12"/>
                <w:color w:val="auto"/>
              </w:rPr>
              <w:t>Net income per share, diluted</w:t>
            </w:r>
          </w:p>
        </w:tc>
        <w:tc>
          <w:tcPr>
            <w:tcW w:w="184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1.77</w:t>
            </w:r>
          </w:p>
        </w:tc>
      </w:tr>
      <w:tr>
        <w:trPr>
          <w:trHeight w:val="302"/>
        </w:trPr>
        <w:tc>
          <w:tcPr>
            <w:tcW w:w="4240" w:type="dxa"/>
            <w:vAlign w:val="bottom"/>
          </w:tcPr>
          <w:p>
            <w:pPr>
              <w:spacing w:after="0"/>
              <w:rPr>
                <w:sz w:val="24"/>
                <w:szCs w:val="24"/>
                <w:color w:val="auto"/>
              </w:rPr>
            </w:pPr>
          </w:p>
        </w:tc>
        <w:tc>
          <w:tcPr>
            <w:tcW w:w="1840" w:type="dxa"/>
            <w:vAlign w:val="bottom"/>
          </w:tcPr>
          <w:p>
            <w:pPr>
              <w:jc w:val="right"/>
              <w:ind w:right="224"/>
              <w:spacing w:after="0"/>
              <w:rPr>
                <w:sz w:val="20"/>
                <w:szCs w:val="20"/>
                <w:color w:val="auto"/>
              </w:rPr>
            </w:pPr>
            <w:r>
              <w:rPr>
                <w:rFonts w:ascii="Arial" w:cs="Arial" w:eastAsia="Arial" w:hAnsi="Arial"/>
                <w:sz w:val="12"/>
                <w:szCs w:val="12"/>
                <w:color w:val="auto"/>
              </w:rPr>
              <w:t>91</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80"/>
          </w:cols>
          <w:pgMar w:left="220" w:top="437" w:right="199" w:bottom="1440" w:gutter="0" w:footer="0" w:header="0"/>
        </w:sectPr>
      </w:pPr>
    </w:p>
    <w:bookmarkStart w:id="91" w:name="page92"/>
    <w:bookmarkEnd w:id="91"/>
    <w:p>
      <w:pPr>
        <w:ind w:left="280"/>
        <w:spacing w:after="0"/>
        <w:rPr>
          <w:sz w:val="20"/>
          <w:szCs w:val="20"/>
          <w:color w:val="auto"/>
        </w:rPr>
      </w:pPr>
      <w:r>
        <w:rPr>
          <w:rFonts w:ascii="Arial" w:cs="Arial" w:eastAsia="Arial" w:hAnsi="Arial"/>
          <w:sz w:val="12"/>
          <w:szCs w:val="12"/>
          <w:color w:val="auto"/>
        </w:rPr>
        <w:t>For the year ended December 31, 2017, 2016 and 2015, potentially anti-dilutive shares excluded from diluted net income per share related to RSUs, MSUs, stock options and ESPP were not material.</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Supplemental Cash Flow Information</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supplemental cash flow information consists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3"/>
        </w:trPr>
        <w:tc>
          <w:tcPr>
            <w:tcW w:w="60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0"/>
                <w:szCs w:val="10"/>
                <w:b w:val="1"/>
                <w:bCs w:val="1"/>
                <w:color w:val="auto"/>
              </w:rPr>
              <w:t>2015</w:t>
            </w:r>
          </w:p>
        </w:tc>
      </w:tr>
      <w:tr>
        <w:trPr>
          <w:trHeight w:val="17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Taxes paid</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51,231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47,289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40,621</w:t>
            </w: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Non-cash investing activities:</w:t>
            </w:r>
          </w:p>
        </w:tc>
        <w:tc>
          <w:tcPr>
            <w:tcW w:w="4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r>
      <w:tr>
        <w:trPr>
          <w:trHeight w:val="187"/>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Fixed assets acquired with accounts payable or accrued liabilities</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15,105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4,434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14,636</w:t>
            </w:r>
          </w:p>
        </w:tc>
      </w:tr>
      <w:tr>
        <w:trPr>
          <w:trHeight w:val="187"/>
        </w:trPr>
        <w:tc>
          <w:tcPr>
            <w:tcW w:w="6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Fair value of option to purchase property</w:t>
            </w:r>
          </w:p>
        </w:tc>
        <w:tc>
          <w:tcPr>
            <w:tcW w:w="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3,936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Segments and Geographical Information</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150" w:lineRule="exact"/>
        <w:rPr>
          <w:sz w:val="20"/>
          <w:szCs w:val="20"/>
          <w:color w:val="auto"/>
        </w:rPr>
      </w:pPr>
    </w:p>
    <w:p>
      <w:pPr>
        <w:jc w:val="both"/>
        <w:ind w:firstLine="288"/>
        <w:spacing w:after="0" w:line="316" w:lineRule="auto"/>
        <w:rPr>
          <w:sz w:val="20"/>
          <w:szCs w:val="20"/>
          <w:color w:val="auto"/>
        </w:rPr>
      </w:pPr>
      <w:r>
        <w:rPr>
          <w:rFonts w:ascii="Arial" w:cs="Arial" w:eastAsia="Arial" w:hAnsi="Arial"/>
          <w:sz w:val="10"/>
          <w:szCs w:val="10"/>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gross profit and income from operations.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accounting and finance, legal and regulatory, and other separately managed general and administrative costs outside the operating segments.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group our operations into two reportable segments: Clear Aligner segment and Scanner segment.</w:t>
      </w:r>
    </w:p>
    <w:p>
      <w:pPr>
        <w:spacing w:after="0" w:line="150" w:lineRule="exact"/>
        <w:rPr>
          <w:sz w:val="20"/>
          <w:szCs w:val="20"/>
          <w:color w:val="auto"/>
        </w:rPr>
      </w:pPr>
    </w:p>
    <w:p>
      <w:pPr>
        <w:ind w:left="640" w:hanging="324"/>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Clear Aligner segment consists of Comprehensive Products, Non-Comprehensive Products and Non-Case revenues as defined below:</w:t>
      </w:r>
    </w:p>
    <w:p>
      <w:pPr>
        <w:spacing w:after="0" w:line="150" w:lineRule="exact"/>
        <w:rPr>
          <w:rFonts w:ascii="Arial" w:cs="Arial" w:eastAsia="Arial" w:hAnsi="Arial"/>
          <w:sz w:val="12"/>
          <w:szCs w:val="12"/>
          <w:color w:val="auto"/>
        </w:rPr>
      </w:pPr>
    </w:p>
    <w:p>
      <w:pPr>
        <w:ind w:left="1080" w:hanging="331"/>
        <w:spacing w:after="0"/>
        <w:tabs>
          <w:tab w:leader="none" w:pos="10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Comprehensive Products include our Invisalign Full, Teen and Assist products.</w:t>
      </w:r>
    </w:p>
    <w:p>
      <w:pPr>
        <w:spacing w:after="0" w:line="150" w:lineRule="exact"/>
        <w:rPr>
          <w:rFonts w:ascii="Arial" w:cs="Arial" w:eastAsia="Arial" w:hAnsi="Arial"/>
          <w:sz w:val="12"/>
          <w:szCs w:val="12"/>
          <w:color w:val="auto"/>
        </w:rPr>
      </w:pPr>
    </w:p>
    <w:p>
      <w:pPr>
        <w:ind w:left="1080" w:right="20" w:hanging="331"/>
        <w:spacing w:after="0" w:line="276" w:lineRule="auto"/>
        <w:tabs>
          <w:tab w:leader="none" w:pos="10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Non-Comprehensive Products include our Invisalign Express, Invisalign Lite, Invisalign i7 and Invisalign Go products in addition to revenues from the sale of aligners to SmileDirectClub (“SDC”) under our supply agreement. Revenue from SDC is recorded after eliminating outstanding intercompany transactions.</w:t>
      </w:r>
    </w:p>
    <w:p>
      <w:pPr>
        <w:spacing w:after="0" w:line="114" w:lineRule="exact"/>
        <w:rPr>
          <w:rFonts w:ascii="Arial" w:cs="Arial" w:eastAsia="Arial" w:hAnsi="Arial"/>
          <w:sz w:val="12"/>
          <w:szCs w:val="12"/>
          <w:color w:val="auto"/>
        </w:rPr>
      </w:pPr>
    </w:p>
    <w:p>
      <w:pPr>
        <w:ind w:left="1080" w:hanging="331"/>
        <w:spacing w:after="0"/>
        <w:tabs>
          <w:tab w:leader="none" w:pos="1080" w:val="left"/>
        </w:tabs>
        <w:numPr>
          <w:ilvl w:val="1"/>
          <w:numId w:val="45"/>
        </w:numPr>
        <w:rPr>
          <w:rFonts w:ascii="Arial" w:cs="Arial" w:eastAsia="Arial" w:hAnsi="Arial"/>
          <w:sz w:val="12"/>
          <w:szCs w:val="12"/>
          <w:color w:val="auto"/>
        </w:rPr>
      </w:pPr>
      <w:r>
        <w:rPr>
          <w:rFonts w:ascii="Arial" w:cs="Arial" w:eastAsia="Arial" w:hAnsi="Arial"/>
          <w:sz w:val="12"/>
          <w:szCs w:val="12"/>
          <w:color w:val="auto"/>
        </w:rPr>
        <w:t>Non-Case includes our Vivera retainers along with our training and ancillary products for treating malocclusion.</w:t>
      </w:r>
    </w:p>
    <w:p>
      <w:pPr>
        <w:spacing w:after="0" w:line="150" w:lineRule="exact"/>
        <w:rPr>
          <w:rFonts w:ascii="Arial" w:cs="Arial" w:eastAsia="Arial" w:hAnsi="Arial"/>
          <w:sz w:val="12"/>
          <w:szCs w:val="12"/>
          <w:color w:val="auto"/>
        </w:rPr>
      </w:pPr>
    </w:p>
    <w:p>
      <w:pPr>
        <w:ind w:left="640" w:right="20" w:hanging="324"/>
        <w:spacing w:after="0" w:line="276"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These reportable operating segments are based on how our CODM views and evaluates our operations as well as allocation of resources. The following information relates to these segments (in thousands):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80"/>
          </w:cols>
          <w:pgMar w:left="220" w:top="545" w:right="199" w:bottom="1440" w:gutter="0" w:footer="0" w:header="0"/>
        </w:sectPr>
      </w:pPr>
    </w:p>
    <w:bookmarkStart w:id="92" w:name="page93"/>
    <w:bookmarkEnd w:id="92"/>
    <w:tbl>
      <w:tblPr>
        <w:tblLayout w:type="fixed"/>
        <w:tblInd w:w="28" w:type="dxa"/>
        <w:tblCellMar>
          <w:top w:w="0" w:type="dxa"/>
          <w:left w:w="0" w:type="dxa"/>
          <w:bottom w:w="0" w:type="dxa"/>
          <w:right w:w="0" w:type="dxa"/>
        </w:tblCellMar>
      </w:tblPr>
      <w:tr>
        <w:trPr>
          <w:trHeight w:val="128"/>
        </w:trPr>
        <w:tc>
          <w:tcPr>
            <w:tcW w:w="57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For the Year Ended December 31,</w:t>
            </w: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17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Net revenues</w:t>
            </w:r>
          </w:p>
        </w:tc>
        <w:tc>
          <w:tcPr>
            <w:tcW w:w="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0"/>
                <w:szCs w:val="10"/>
                <w:b w:val="1"/>
                <w:bCs w:val="1"/>
                <w:color w:val="auto"/>
              </w:rPr>
              <w:t>2017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0"/>
                <w:szCs w:val="10"/>
                <w:b w:val="1"/>
                <w:bCs w:val="1"/>
                <w:color w:val="auto"/>
              </w:rPr>
              <w:t>2015</w:t>
            </w:r>
          </w:p>
        </w:tc>
      </w:tr>
      <w:tr>
        <w:trPr>
          <w:trHeight w:val="160"/>
        </w:trPr>
        <w:tc>
          <w:tcPr>
            <w:tcW w:w="5720" w:type="dxa"/>
            <w:vAlign w:val="bottom"/>
          </w:tcPr>
          <w:p>
            <w:pPr>
              <w:ind w:left="120"/>
              <w:spacing w:after="0"/>
              <w:rPr>
                <w:sz w:val="20"/>
                <w:szCs w:val="20"/>
                <w:color w:val="auto"/>
              </w:rPr>
            </w:pPr>
            <w:r>
              <w:rPr>
                <w:rFonts w:ascii="Arial" w:cs="Arial" w:eastAsia="Arial" w:hAnsi="Arial"/>
                <w:sz w:val="12"/>
                <w:szCs w:val="12"/>
                <w:color w:val="auto"/>
              </w:rPr>
              <w:t>Clear Aligner</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1,309,262</w:t>
            </w:r>
          </w:p>
        </w:tc>
        <w:tc>
          <w:tcPr>
            <w:tcW w:w="12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958,327</w:t>
            </w:r>
          </w:p>
        </w:tc>
        <w:tc>
          <w:tcPr>
            <w:tcW w:w="10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800,186</w:t>
            </w:r>
          </w:p>
        </w:tc>
      </w:tr>
      <w:tr>
        <w:trPr>
          <w:trHeight w:val="189"/>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Scanner</w:t>
            </w:r>
          </w:p>
        </w:tc>
        <w:tc>
          <w:tcPr>
            <w:tcW w:w="4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164,151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121,547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45,300</w:t>
            </w:r>
          </w:p>
        </w:tc>
      </w:tr>
      <w:tr>
        <w:trPr>
          <w:trHeight w:val="176"/>
        </w:trPr>
        <w:tc>
          <w:tcPr>
            <w:tcW w:w="57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net revenues</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1,473,413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1,079,874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845,486</w:t>
            </w:r>
          </w:p>
        </w:tc>
      </w:tr>
      <w:tr>
        <w:trPr>
          <w:trHeight w:val="16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Gross profit</w:t>
            </w:r>
          </w:p>
        </w:tc>
        <w:tc>
          <w:tcPr>
            <w:tcW w:w="46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r>
      <w:tr>
        <w:trPr>
          <w:trHeight w:val="171"/>
        </w:trPr>
        <w:tc>
          <w:tcPr>
            <w:tcW w:w="5720" w:type="dxa"/>
            <w:vAlign w:val="bottom"/>
          </w:tcPr>
          <w:p>
            <w:pPr>
              <w:ind w:left="120"/>
              <w:spacing w:after="0"/>
              <w:rPr>
                <w:sz w:val="20"/>
                <w:szCs w:val="20"/>
                <w:color w:val="auto"/>
              </w:rPr>
            </w:pPr>
            <w:r>
              <w:rPr>
                <w:rFonts w:ascii="Arial" w:cs="Arial" w:eastAsia="Arial" w:hAnsi="Arial"/>
                <w:sz w:val="12"/>
                <w:szCs w:val="12"/>
                <w:color w:val="auto"/>
              </w:rPr>
              <w:t>Clear Aligner</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1,019,563</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747,494</w:t>
            </w:r>
          </w:p>
        </w:tc>
        <w:tc>
          <w:tcPr>
            <w:tcW w:w="1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628,187</w:t>
            </w:r>
          </w:p>
        </w:tc>
      </w:tr>
      <w:tr>
        <w:trPr>
          <w:trHeight w:val="189"/>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Scanner</w:t>
            </w:r>
          </w:p>
        </w:tc>
        <w:tc>
          <w:tcPr>
            <w:tcW w:w="4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97,384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67,800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11,923</w:t>
            </w:r>
          </w:p>
        </w:tc>
      </w:tr>
      <w:tr>
        <w:trPr>
          <w:trHeight w:val="176"/>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gross profit</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1,116,947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815,294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640,110</w:t>
            </w:r>
          </w:p>
        </w:tc>
      </w:tr>
      <w:tr>
        <w:trPr>
          <w:trHeight w:val="16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46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r>
      <w:tr>
        <w:trPr>
          <w:trHeight w:val="171"/>
        </w:trPr>
        <w:tc>
          <w:tcPr>
            <w:tcW w:w="5720" w:type="dxa"/>
            <w:vAlign w:val="bottom"/>
          </w:tcPr>
          <w:p>
            <w:pPr>
              <w:ind w:left="120"/>
              <w:spacing w:after="0"/>
              <w:rPr>
                <w:sz w:val="20"/>
                <w:szCs w:val="20"/>
                <w:color w:val="auto"/>
              </w:rPr>
            </w:pPr>
            <w:r>
              <w:rPr>
                <w:rFonts w:ascii="Arial" w:cs="Arial" w:eastAsia="Arial" w:hAnsi="Arial"/>
                <w:sz w:val="12"/>
                <w:szCs w:val="12"/>
                <w:color w:val="auto"/>
              </w:rPr>
              <w:t>Clear Aligner</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564,648</w:t>
            </w:r>
          </w:p>
        </w:tc>
        <w:tc>
          <w:tcPr>
            <w:tcW w:w="12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411,817</w:t>
            </w:r>
          </w:p>
        </w:tc>
        <w:tc>
          <w:tcPr>
            <w:tcW w:w="1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371,113</w:t>
            </w:r>
          </w:p>
        </w:tc>
      </w:tr>
      <w:tr>
        <w:trPr>
          <w:trHeight w:val="189"/>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Scanner</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49,613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37,498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(12,337)</w:t>
            </w:r>
          </w:p>
        </w:tc>
      </w:tr>
      <w:tr>
        <w:trPr>
          <w:trHeight w:val="171"/>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Unallocated corporate expenses</w:t>
            </w: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(260,650)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(200,394)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(170,142)</w:t>
            </w:r>
          </w:p>
        </w:tc>
      </w:tr>
      <w:tr>
        <w:trPr>
          <w:trHeight w:val="18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Total income from operations</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353,611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248,921</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188,634</w:t>
            </w:r>
          </w:p>
        </w:tc>
      </w:tr>
      <w:tr>
        <w:trPr>
          <w:trHeight w:val="140"/>
        </w:trPr>
        <w:tc>
          <w:tcPr>
            <w:tcW w:w="57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36"/>
        </w:trPr>
        <w:tc>
          <w:tcPr>
            <w:tcW w:w="5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80"/>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Clear Aligner</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21,581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13,742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9,842</w:t>
            </w:r>
          </w:p>
        </w:tc>
      </w:tr>
      <w:tr>
        <w:trPr>
          <w:trHeight w:val="171"/>
        </w:trPr>
        <w:tc>
          <w:tcPr>
            <w:tcW w:w="5720" w:type="dxa"/>
            <w:vAlign w:val="bottom"/>
          </w:tcPr>
          <w:p>
            <w:pPr>
              <w:ind w:left="120"/>
              <w:spacing w:after="0"/>
              <w:rPr>
                <w:sz w:val="20"/>
                <w:szCs w:val="20"/>
                <w:color w:val="auto"/>
              </w:rPr>
            </w:pPr>
            <w:r>
              <w:rPr>
                <w:rFonts w:ascii="Arial" w:cs="Arial" w:eastAsia="Arial" w:hAnsi="Arial"/>
                <w:sz w:val="12"/>
                <w:szCs w:val="12"/>
                <w:color w:val="auto"/>
              </w:rPr>
              <w:t>Scanner</w:t>
            </w:r>
          </w:p>
        </w:tc>
        <w:tc>
          <w:tcPr>
            <w:tcW w:w="46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4,385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61"/>
              <w:spacing w:after="0"/>
              <w:rPr>
                <w:sz w:val="20"/>
                <w:szCs w:val="20"/>
                <w:color w:val="auto"/>
              </w:rPr>
            </w:pPr>
            <w:r>
              <w:rPr>
                <w:rFonts w:ascii="Arial" w:cs="Arial" w:eastAsia="Arial" w:hAnsi="Arial"/>
                <w:sz w:val="12"/>
                <w:szCs w:val="12"/>
                <w:color w:val="auto"/>
              </w:rPr>
              <w:t>3,871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3,839</w:t>
            </w:r>
          </w:p>
        </w:tc>
      </w:tr>
      <w:tr>
        <w:trPr>
          <w:trHeight w:val="189"/>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Unallocated corporate expenses</w:t>
            </w:r>
          </w:p>
        </w:tc>
        <w:tc>
          <w:tcPr>
            <w:tcW w:w="4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11,773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6,389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4,323</w:t>
            </w:r>
          </w:p>
        </w:tc>
      </w:tr>
      <w:tr>
        <w:trPr>
          <w:trHeight w:val="176"/>
        </w:trPr>
        <w:tc>
          <w:tcPr>
            <w:tcW w:w="5720" w:type="dxa"/>
            <w:vAlign w:val="bottom"/>
          </w:tcPr>
          <w:p>
            <w:pPr>
              <w:ind w:left="280"/>
              <w:spacing w:after="0"/>
              <w:rPr>
                <w:sz w:val="20"/>
                <w:szCs w:val="20"/>
                <w:color w:val="auto"/>
              </w:rPr>
            </w:pPr>
            <w:r>
              <w:rPr>
                <w:rFonts w:ascii="Arial" w:cs="Arial" w:eastAsia="Arial" w:hAnsi="Arial"/>
                <w:sz w:val="12"/>
                <w:szCs w:val="12"/>
                <w:color w:val="auto"/>
              </w:rPr>
              <w:t>Total depreciation and amortization</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37,739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24,002</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18,004</w:t>
            </w:r>
          </w:p>
        </w:tc>
      </w:tr>
    </w:tbl>
    <w:p>
      <w:pPr>
        <w:spacing w:after="0" w:line="135" w:lineRule="exact"/>
        <w:rPr>
          <w:sz w:val="20"/>
          <w:szCs w:val="20"/>
          <w:color w:val="auto"/>
        </w:rPr>
      </w:pPr>
    </w:p>
    <w:p>
      <w:pPr>
        <w:ind w:left="268"/>
        <w:spacing w:after="0"/>
        <w:rPr>
          <w:sz w:val="20"/>
          <w:szCs w:val="20"/>
          <w:color w:val="auto"/>
        </w:rPr>
      </w:pPr>
      <w:r>
        <w:rPr>
          <w:rFonts w:ascii="Arial" w:cs="Arial" w:eastAsia="Arial" w:hAnsi="Arial"/>
          <w:sz w:val="12"/>
          <w:szCs w:val="12"/>
          <w:color w:val="auto"/>
        </w:rPr>
        <w:t>The following table reconciles total segment income from operations in the table above to net income before provision for income taxes and equity losses of investee (in thousands):</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For the Year Ended December 31,</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b w:val="1"/>
                <w:bCs w:val="1"/>
                <w:color w:val="auto"/>
              </w:rPr>
              <w:t>2017</w:t>
            </w:r>
          </w:p>
        </w:tc>
        <w:tc>
          <w:tcPr>
            <w:tcW w:w="7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0"/>
                <w:szCs w:val="10"/>
                <w:b w:val="1"/>
                <w:bCs w:val="1"/>
                <w:color w:val="auto"/>
              </w:rPr>
              <w:t>2016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2"/>
                <w:szCs w:val="12"/>
                <w:color w:val="auto"/>
              </w:rPr>
              <w:t>Total segment income from operations</w:t>
            </w:r>
          </w:p>
        </w:tc>
        <w:tc>
          <w:tcPr>
            <w:tcW w:w="1140" w:type="dxa"/>
            <w:vAlign w:val="bottom"/>
          </w:tcPr>
          <w:p>
            <w:pPr>
              <w:jc w:val="right"/>
              <w:ind w:right="1007"/>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614,261</w:t>
            </w:r>
          </w:p>
        </w:tc>
        <w:tc>
          <w:tcPr>
            <w:tcW w:w="20" w:type="dxa"/>
            <w:vAlign w:val="bottom"/>
          </w:tcPr>
          <w:p>
            <w:pPr>
              <w:spacing w:after="0"/>
              <w:rPr>
                <w:sz w:val="14"/>
                <w:szCs w:val="1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64"/>
              <w:spacing w:after="0"/>
              <w:rPr>
                <w:sz w:val="20"/>
                <w:szCs w:val="20"/>
                <w:color w:val="auto"/>
              </w:rPr>
            </w:pPr>
            <w:r>
              <w:rPr>
                <w:rFonts w:ascii="Arial" w:cs="Arial" w:eastAsia="Arial" w:hAnsi="Arial"/>
                <w:sz w:val="12"/>
                <w:szCs w:val="12"/>
                <w:color w:val="auto"/>
              </w:rPr>
              <w:t>449,315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358,776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Unallocated corporate expenses</w:t>
            </w:r>
          </w:p>
        </w:tc>
        <w:tc>
          <w:tcPr>
            <w:tcW w:w="1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(260,650)</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(200,394)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(170,142)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Total income from operations</w:t>
            </w:r>
          </w:p>
        </w:tc>
        <w:tc>
          <w:tcPr>
            <w:tcW w:w="1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353,611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248,921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188,634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and other income (expense), net</w:t>
            </w:r>
          </w:p>
        </w:tc>
        <w:tc>
          <w:tcPr>
            <w:tcW w:w="1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11,188</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(6,355)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(2,533)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gridSpan w:val="2"/>
          </w:tcPr>
          <w:p>
            <w:pPr>
              <w:ind w:left="120"/>
              <w:spacing w:after="0"/>
              <w:rPr>
                <w:sz w:val="20"/>
                <w:szCs w:val="20"/>
                <w:color w:val="auto"/>
              </w:rPr>
            </w:pPr>
            <w:r>
              <w:rPr>
                <w:rFonts w:ascii="Arial" w:cs="Arial" w:eastAsia="Arial" w:hAnsi="Arial"/>
                <w:sz w:val="12"/>
                <w:szCs w:val="12"/>
                <w:color w:val="auto"/>
              </w:rPr>
              <w:t>Net income before provision for income taxes and equity losses of investee</w:t>
            </w:r>
          </w:p>
        </w:tc>
        <w:tc>
          <w:tcPr>
            <w:tcW w:w="1140" w:type="dxa"/>
            <w:vAlign w:val="bottom"/>
            <w:vMerge w:val="restart"/>
          </w:tcPr>
          <w:p>
            <w:pPr>
              <w:jc w:val="right"/>
              <w:ind w:right="1007"/>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ind w:right="40"/>
              <w:spacing w:after="0"/>
              <w:rPr>
                <w:sz w:val="20"/>
                <w:szCs w:val="20"/>
                <w:color w:val="auto"/>
              </w:rPr>
            </w:pPr>
            <w:r>
              <w:rPr>
                <w:rFonts w:ascii="Arial" w:cs="Arial" w:eastAsia="Arial" w:hAnsi="Arial"/>
                <w:sz w:val="12"/>
                <w:szCs w:val="12"/>
                <w:color w:val="auto"/>
              </w:rPr>
              <w:t>364,799</w:t>
            </w:r>
          </w:p>
        </w:tc>
        <w:tc>
          <w:tcPr>
            <w:tcW w:w="20" w:type="dxa"/>
            <w:vAlign w:val="bottom"/>
          </w:tcPr>
          <w:p>
            <w:pPr>
              <w:spacing w:after="0"/>
              <w:rPr>
                <w:sz w:val="12"/>
                <w:szCs w:val="12"/>
                <w:color w:val="auto"/>
              </w:rPr>
            </w:pPr>
          </w:p>
        </w:tc>
        <w:tc>
          <w:tcPr>
            <w:tcW w:w="220" w:type="dxa"/>
            <w:vAlign w:val="bottom"/>
            <w:gridSpan w:val="3"/>
            <w:vMerge w:val="restart"/>
          </w:tcPr>
          <w:p>
            <w:pPr>
              <w:jc w:val="right"/>
              <w:ind w:right="40"/>
              <w:spacing w:after="0"/>
              <w:rPr>
                <w:sz w:val="20"/>
                <w:szCs w:val="20"/>
                <w:color w:val="auto"/>
              </w:rPr>
            </w:pPr>
            <w:r>
              <w:rPr>
                <w:rFonts w:ascii="Arial" w:cs="Arial" w:eastAsia="Arial" w:hAnsi="Arial"/>
                <w:sz w:val="12"/>
                <w:szCs w:val="12"/>
                <w:color w:val="auto"/>
              </w:rPr>
              <w:t>$</w:t>
            </w:r>
          </w:p>
        </w:tc>
        <w:tc>
          <w:tcPr>
            <w:tcW w:w="1620" w:type="dxa"/>
            <w:vAlign w:val="bottom"/>
            <w:vMerge w:val="restart"/>
          </w:tcPr>
          <w:p>
            <w:pPr>
              <w:jc w:val="right"/>
              <w:ind w:right="64"/>
              <w:spacing w:after="0"/>
              <w:rPr>
                <w:sz w:val="20"/>
                <w:szCs w:val="20"/>
                <w:color w:val="auto"/>
              </w:rPr>
            </w:pPr>
            <w:r>
              <w:rPr>
                <w:rFonts w:ascii="Arial" w:cs="Arial" w:eastAsia="Arial" w:hAnsi="Arial"/>
                <w:sz w:val="12"/>
                <w:szCs w:val="12"/>
                <w:color w:val="auto"/>
              </w:rPr>
              <w:t>242,566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Pr>
          <w:p>
            <w:pPr>
              <w:spacing w:after="0"/>
              <w:rPr>
                <w:sz w:val="12"/>
                <w:szCs w:val="12"/>
                <w:color w:val="auto"/>
              </w:rPr>
            </w:pPr>
          </w:p>
        </w:tc>
        <w:tc>
          <w:tcPr>
            <w:tcW w:w="1340" w:type="dxa"/>
            <w:vAlign w:val="bottom"/>
            <w:vMerge w:val="restart"/>
          </w:tcPr>
          <w:p>
            <w:pPr>
              <w:jc w:val="right"/>
              <w:ind w:right="62"/>
              <w:spacing w:after="0"/>
              <w:rPr>
                <w:sz w:val="20"/>
                <w:szCs w:val="20"/>
                <w:color w:val="auto"/>
              </w:rPr>
            </w:pPr>
            <w:r>
              <w:rPr>
                <w:rFonts w:ascii="Arial" w:cs="Arial" w:eastAsia="Arial" w:hAnsi="Arial"/>
                <w:sz w:val="12"/>
                <w:szCs w:val="12"/>
                <w:color w:val="auto"/>
              </w:rPr>
              <w:t>186,101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7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Geographical Information</w:t>
            </w:r>
          </w:p>
        </w:tc>
        <w:tc>
          <w:tcPr>
            <w:tcW w:w="1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720" w:type="dxa"/>
            <w:vAlign w:val="bottom"/>
            <w:gridSpan w:val="2"/>
          </w:tcPr>
          <w:p>
            <w:pPr>
              <w:ind w:left="260"/>
              <w:spacing w:after="0"/>
              <w:rPr>
                <w:sz w:val="20"/>
                <w:szCs w:val="20"/>
                <w:color w:val="auto"/>
              </w:rPr>
            </w:pPr>
            <w:r>
              <w:rPr>
                <w:rFonts w:ascii="Arial" w:cs="Arial" w:eastAsia="Arial" w:hAnsi="Arial"/>
                <w:sz w:val="12"/>
                <w:szCs w:val="12"/>
                <w:color w:val="auto"/>
              </w:rPr>
              <w:t>Net revenues are presented below by geographic area (in thousands):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57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For the Year Ended December 31,</w:t>
            </w: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0"/>
                <w:szCs w:val="10"/>
                <w:b w:val="1"/>
                <w:bCs w:val="1"/>
                <w:color w:val="auto"/>
              </w:rPr>
              <w:t>2017</w:t>
            </w:r>
          </w:p>
        </w:tc>
        <w:tc>
          <w:tcPr>
            <w:tcW w:w="7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0"/>
                <w:szCs w:val="10"/>
                <w:b w:val="1"/>
                <w:bCs w:val="1"/>
                <w:color w:val="auto"/>
              </w:rPr>
              <w:t>2015</w:t>
            </w: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40" w:type="dxa"/>
            <w:vAlign w:val="bottom"/>
            <w:gridSpan w:val="3"/>
          </w:tcPr>
          <w:p>
            <w:pPr>
              <w:ind w:left="20"/>
              <w:spacing w:after="0"/>
              <w:rPr>
                <w:sz w:val="20"/>
                <w:szCs w:val="20"/>
                <w:color w:val="auto"/>
              </w:rPr>
            </w:pPr>
            <w:r>
              <w:rPr>
                <w:rFonts w:ascii="Arial" w:cs="Arial" w:eastAsia="Arial" w:hAnsi="Arial"/>
                <w:sz w:val="12"/>
                <w:szCs w:val="12"/>
                <w:color w:val="auto"/>
              </w:rPr>
              <w:t xml:space="preserve">Net revenues </w:t>
            </w:r>
            <w:r>
              <w:rPr>
                <w:rFonts w:ascii="Arial" w:cs="Arial" w:eastAsia="Arial" w:hAnsi="Arial"/>
                <w:sz w:val="14"/>
                <w:szCs w:val="14"/>
                <w:color w:val="auto"/>
                <w:vertAlign w:val="superscript"/>
              </w:rPr>
              <w:t>(1)</w:t>
            </w:r>
            <w:r>
              <w:rPr>
                <w:rFonts w:ascii="Arial" w:cs="Arial" w:eastAsia="Arial" w:hAnsi="Arial"/>
                <w:sz w:val="12"/>
                <w:szCs w:val="12"/>
                <w:color w:val="auto"/>
              </w:rPr>
              <w:t>:</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xml:space="preserve">United States </w:t>
            </w:r>
            <w:r>
              <w:rPr>
                <w:rFonts w:ascii="Arial" w:cs="Arial" w:eastAsia="Arial" w:hAnsi="Arial"/>
                <w:sz w:val="14"/>
                <w:szCs w:val="14"/>
                <w:color w:val="auto"/>
                <w:vertAlign w:val="superscript"/>
              </w:rPr>
              <w:t>(2)</w:t>
            </w:r>
          </w:p>
        </w:tc>
        <w:tc>
          <w:tcPr>
            <w:tcW w:w="1140" w:type="dxa"/>
            <w:vAlign w:val="bottom"/>
            <w:shd w:val="clear" w:color="auto" w:fill="CCEEFF"/>
          </w:tcPr>
          <w:p>
            <w:pPr>
              <w:jc w:val="right"/>
              <w:ind w:right="102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836,200</w:t>
            </w: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692,254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585,874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20" w:type="dxa"/>
            <w:vAlign w:val="bottom"/>
            <w:gridSpan w:val="2"/>
          </w:tcPr>
          <w:p>
            <w:pPr>
              <w:ind w:left="220"/>
              <w:spacing w:after="0"/>
              <w:rPr>
                <w:sz w:val="20"/>
                <w:szCs w:val="20"/>
                <w:color w:val="auto"/>
              </w:rPr>
            </w:pPr>
            <w:r>
              <w:rPr>
                <w:rFonts w:ascii="Arial" w:cs="Arial" w:eastAsia="Arial" w:hAnsi="Arial"/>
                <w:sz w:val="12"/>
                <w:szCs w:val="12"/>
                <w:color w:val="auto"/>
              </w:rPr>
              <w:t xml:space="preserve">The Netherlands </w:t>
            </w:r>
            <w:r>
              <w:rPr>
                <w:rFonts w:ascii="Arial" w:cs="Arial" w:eastAsia="Arial" w:hAnsi="Arial"/>
                <w:sz w:val="14"/>
                <w:szCs w:val="14"/>
                <w:color w:val="auto"/>
                <w:vertAlign w:val="superscript"/>
              </w:rPr>
              <w:t>(2)</w:t>
            </w:r>
          </w:p>
        </w:tc>
        <w:tc>
          <w:tcPr>
            <w:tcW w:w="114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456,108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286,911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167,128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International</w:t>
            </w:r>
          </w:p>
        </w:tc>
        <w:tc>
          <w:tcPr>
            <w:tcW w:w="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181,105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100,709</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92,484</w:t>
            </w: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20" w:type="dxa"/>
            <w:vAlign w:val="bottom"/>
            <w:gridSpan w:val="2"/>
          </w:tcPr>
          <w:p>
            <w:pPr>
              <w:ind w:left="20"/>
              <w:spacing w:after="0"/>
              <w:rPr>
                <w:sz w:val="20"/>
                <w:szCs w:val="20"/>
                <w:color w:val="auto"/>
              </w:rPr>
            </w:pPr>
            <w:r>
              <w:rPr>
                <w:rFonts w:ascii="Arial" w:cs="Arial" w:eastAsia="Arial" w:hAnsi="Arial"/>
                <w:sz w:val="12"/>
                <w:szCs w:val="12"/>
                <w:color w:val="auto"/>
              </w:rPr>
              <w:t>Total net revenues</w:t>
            </w: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27"/>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1,473,413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1,079,874</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845,486</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8" w:hanging="208"/>
        <w:spacing w:after="0"/>
        <w:tabs>
          <w:tab w:leader="none" w:pos="208" w:val="left"/>
        </w:tabs>
        <w:numPr>
          <w:ilvl w:val="0"/>
          <w:numId w:val="46"/>
        </w:numPr>
        <w:rPr>
          <w:rFonts w:ascii="Arial" w:cs="Arial" w:eastAsia="Arial" w:hAnsi="Arial"/>
          <w:sz w:val="14"/>
          <w:szCs w:val="14"/>
          <w:color w:val="auto"/>
          <w:vertAlign w:val="superscript"/>
        </w:rPr>
      </w:pPr>
      <w:r>
        <w:rPr>
          <w:rFonts w:ascii="Arial" w:cs="Arial" w:eastAsia="Arial" w:hAnsi="Arial"/>
          <w:sz w:val="11"/>
          <w:szCs w:val="11"/>
          <w:color w:val="auto"/>
        </w:rPr>
        <w:t>Net revenues are attributed to countries based on location of where revenue is recognized.</w:t>
      </w:r>
    </w:p>
    <w:p>
      <w:pPr>
        <w:ind w:left="108" w:hanging="108"/>
        <w:spacing w:after="0" w:line="205" w:lineRule="auto"/>
        <w:tabs>
          <w:tab w:leader="none" w:pos="108" w:val="left"/>
        </w:tabs>
        <w:numPr>
          <w:ilvl w:val="0"/>
          <w:numId w:val="46"/>
        </w:numPr>
        <w:rPr>
          <w:rFonts w:ascii="Arial" w:cs="Arial" w:eastAsia="Arial" w:hAnsi="Arial"/>
          <w:sz w:val="13"/>
          <w:szCs w:val="13"/>
          <w:color w:val="auto"/>
          <w:vertAlign w:val="superscript"/>
        </w:rPr>
      </w:pPr>
      <w:r>
        <w:rPr>
          <w:rFonts w:ascii="Arial" w:cs="Arial" w:eastAsia="Arial" w:hAnsi="Arial"/>
          <w:sz w:val="10"/>
          <w:szCs w:val="10"/>
          <w:color w:val="auto"/>
        </w:rPr>
        <w:t>Effective July 2016, we implemented a new international corporate structure. This changed the structure of our international procurement and sales operations.</w:t>
      </w: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68"/>
          </w:cols>
          <w:pgMar w:left="212" w:top="584" w:right="219" w:bottom="1440" w:gutter="0" w:footer="0" w:header="0"/>
        </w:sectPr>
      </w:pPr>
    </w:p>
    <w:bookmarkStart w:id="93" w:name="page94"/>
    <w:bookmarkEnd w:id="93"/>
    <w:p>
      <w:pPr>
        <w:ind w:left="200"/>
        <w:spacing w:after="0"/>
        <w:rPr>
          <w:sz w:val="20"/>
          <w:szCs w:val="20"/>
          <w:color w:val="auto"/>
        </w:rPr>
      </w:pPr>
      <w:r>
        <w:rPr>
          <w:rFonts w:ascii="Arial" w:cs="Arial" w:eastAsia="Arial" w:hAnsi="Arial"/>
          <w:sz w:val="12"/>
          <w:szCs w:val="12"/>
          <w:color w:val="auto"/>
        </w:rPr>
        <w:t>Tangible long-lived assets are presented below by geographic area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664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As of December 31,</w:t>
            </w:r>
          </w:p>
        </w:tc>
        <w:tc>
          <w:tcPr>
            <w:tcW w:w="1240" w:type="dxa"/>
            <w:vAlign w:val="bottom"/>
            <w:tcBorders>
              <w:bottom w:val="single" w:sz="8" w:color="auto"/>
            </w:tcBorders>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2017</w:t>
            </w: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0"/>
                <w:szCs w:val="10"/>
                <w:b w:val="1"/>
                <w:bCs w:val="1"/>
                <w:color w:val="auto"/>
              </w:rPr>
              <w:t>2016</w:t>
            </w:r>
          </w:p>
        </w:tc>
      </w:tr>
      <w:tr>
        <w:trPr>
          <w:trHeight w:val="169"/>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auto"/>
                <w:w w:val="91"/>
              </w:rPr>
              <w:t xml:space="preserve">Long-lived assets </w:t>
            </w:r>
            <w:r>
              <w:rPr>
                <w:rFonts w:ascii="Arial" w:cs="Arial" w:eastAsia="Arial" w:hAnsi="Arial"/>
                <w:sz w:val="14"/>
                <w:szCs w:val="14"/>
                <w:color w:val="auto"/>
                <w:w w:val="91"/>
                <w:vertAlign w:val="superscript"/>
              </w:rPr>
              <w:t>(1)</w:t>
            </w:r>
            <w:r>
              <w:rPr>
                <w:rFonts w:ascii="Arial" w:cs="Arial" w:eastAsia="Arial" w:hAnsi="Arial"/>
                <w:sz w:val="12"/>
                <w:szCs w:val="12"/>
                <w:color w:val="auto"/>
                <w:w w:val="91"/>
              </w:rPr>
              <w:t>:</w:t>
            </w:r>
          </w:p>
        </w:tc>
        <w:tc>
          <w:tcPr>
            <w:tcW w:w="6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2"/>
                <w:szCs w:val="12"/>
                <w:color w:val="auto"/>
                <w:w w:val="87"/>
              </w:rPr>
              <w:t>The Netherlands</w:t>
            </w:r>
          </w:p>
        </w:tc>
        <w:tc>
          <w:tcPr>
            <w:tcW w:w="66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5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143,673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104,039</w:t>
            </w:r>
          </w:p>
        </w:tc>
      </w:tr>
      <w:tr>
        <w:trPr>
          <w:trHeight w:val="171"/>
        </w:trPr>
        <w:tc>
          <w:tcPr>
            <w:tcW w:w="2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2"/>
                <w:szCs w:val="12"/>
                <w:color w:val="auto"/>
              </w:rPr>
              <w:t>United States</w:t>
            </w:r>
          </w:p>
        </w:tc>
        <w:tc>
          <w:tcPr>
            <w:tcW w:w="6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128,171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43,278</w:t>
            </w: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Costa Rica</w:t>
            </w:r>
          </w:p>
        </w:tc>
        <w:tc>
          <w:tcPr>
            <w:tcW w:w="6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30,738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2,657</w:t>
            </w:r>
          </w:p>
        </w:tc>
      </w:tr>
      <w:tr>
        <w:trPr>
          <w:trHeight w:val="171"/>
        </w:trPr>
        <w:tc>
          <w:tcPr>
            <w:tcW w:w="2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2"/>
                <w:szCs w:val="12"/>
                <w:color w:val="auto"/>
              </w:rPr>
              <w:t>Mexico</w:t>
            </w:r>
          </w:p>
        </w:tc>
        <w:tc>
          <w:tcPr>
            <w:tcW w:w="6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25,090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17,918</w:t>
            </w: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China</w:t>
            </w:r>
          </w:p>
        </w:tc>
        <w:tc>
          <w:tcPr>
            <w:tcW w:w="6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5,480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461</w:t>
            </w: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International</w:t>
            </w:r>
          </w:p>
        </w:tc>
        <w:tc>
          <w:tcPr>
            <w:tcW w:w="1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15,641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6,814</w:t>
            </w:r>
          </w:p>
        </w:tc>
      </w:tr>
      <w:tr>
        <w:trPr>
          <w:trHeight w:val="189"/>
        </w:trPr>
        <w:tc>
          <w:tcPr>
            <w:tcW w:w="20" w:type="dxa"/>
            <w:vAlign w:val="bottom"/>
          </w:tcPr>
          <w:p>
            <w:pPr>
              <w:spacing w:after="0"/>
              <w:rPr>
                <w:sz w:val="16"/>
                <w:szCs w:val="16"/>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long-lived assets</w:t>
            </w:r>
          </w:p>
        </w:tc>
        <w:tc>
          <w:tcPr>
            <w:tcW w:w="1160" w:type="dxa"/>
            <w:vAlign w:val="bottom"/>
            <w:tcBorders>
              <w:bottom w:val="single" w:sz="8" w:color="auto"/>
            </w:tcBorders>
            <w:shd w:val="clear" w:color="auto" w:fill="CCEEFF"/>
          </w:tcPr>
          <w:p>
            <w:pPr>
              <w:jc w:val="right"/>
              <w:ind w:right="105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348,793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175,167</w:t>
            </w:r>
          </w:p>
        </w:tc>
      </w:tr>
      <w:tr>
        <w:trPr>
          <w:trHeight w:val="446"/>
        </w:trPr>
        <w:tc>
          <w:tcPr>
            <w:tcW w:w="7700" w:type="dxa"/>
            <w:vAlign w:val="bottom"/>
            <w:gridSpan w:val="3"/>
          </w:tcPr>
          <w:p>
            <w:pPr>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Long-lived assets are attributed to countries based on entity that owns the assets.</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5"/>
        </w:trPr>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ITEM 9.</w:t>
            </w:r>
          </w:p>
        </w:tc>
        <w:tc>
          <w:tcPr>
            <w:tcW w:w="6640" w:type="dxa"/>
            <w:vAlign w:val="bottom"/>
          </w:tcPr>
          <w:p>
            <w:pPr>
              <w:ind w:left="20"/>
              <w:spacing w:after="0"/>
              <w:rPr>
                <w:sz w:val="20"/>
                <w:szCs w:val="20"/>
                <w:color w:val="auto"/>
              </w:rPr>
            </w:pPr>
            <w:r>
              <w:rPr>
                <w:rFonts w:ascii="Arial" w:cs="Arial" w:eastAsia="Arial" w:hAnsi="Arial"/>
                <w:sz w:val="12"/>
                <w:szCs w:val="12"/>
                <w:b w:val="1"/>
                <w:bCs w:val="1"/>
                <w:color w:val="auto"/>
              </w:rPr>
              <w:t>CHANGES IN AND DISAGREEMENTS WITH ACCOUNTANTS ON ACCOUNTING AND FINANCIAL DISCLOSURE</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7"/>
        </w:trPr>
        <w:tc>
          <w:tcPr>
            <w:tcW w:w="2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Arial" w:cs="Arial" w:eastAsia="Arial" w:hAnsi="Arial"/>
                <w:sz w:val="12"/>
                <w:szCs w:val="12"/>
                <w:color w:val="auto"/>
              </w:rPr>
              <w:t>None</w:t>
            </w:r>
          </w:p>
        </w:tc>
        <w:tc>
          <w:tcPr>
            <w:tcW w:w="6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60"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2017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Management's annual report on internal control over financial reporting.</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See “Report of Management on Internal Control over Financial Reporting” of this Annual Report on Form 10-K.</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There have been no changes in our internal control over financial reporting during the quarter ended December 31, 2017 that have materially affected, or are reasonably likely to materially affect, our internal control over financial reporting.</w:t>
      </w:r>
    </w:p>
    <w:p>
      <w:pPr>
        <w:spacing w:after="0" w:line="27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480"/>
          </w:cols>
          <w:pgMar w:left="220" w:top="437" w:right="199" w:bottom="1440" w:gutter="0" w:footer="0" w:header="0"/>
        </w:sectPr>
      </w:pPr>
    </w:p>
    <w:bookmarkStart w:id="94" w:name="page95"/>
    <w:bookmarkEnd w:id="94"/>
    <w:p>
      <w:pPr>
        <w:jc w:val="center"/>
        <w:spacing w:after="0"/>
        <w:rPr>
          <w:sz w:val="20"/>
          <w:szCs w:val="20"/>
          <w:color w:val="auto"/>
        </w:rPr>
      </w:pPr>
      <w:r>
        <w:rPr>
          <w:rFonts w:ascii="Arial" w:cs="Arial" w:eastAsia="Arial" w:hAnsi="Arial"/>
          <w:sz w:val="12"/>
          <w:szCs w:val="12"/>
          <w:b w:val="1"/>
          <w:bCs w:val="1"/>
          <w:color w:val="auto"/>
        </w:rPr>
        <w:t>PART III</w:t>
      </w:r>
    </w:p>
    <w:p>
      <w:pPr>
        <w:spacing w:after="0" w:line="11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Certain information required by Part III is omitted from this Form 10-K because we intend to file a definitive Proxy Statement for our 2018 Annual Meeting of Stockholders (the “Proxy Statement”) not later than 120 days after the end of the fiscal year covered by this Annual Report on Form 10-K, and certain information to be included therein is incorporated herein by reference.</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63"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w:t>
      </w:r>
      <w:r>
        <w:rPr>
          <w:rFonts w:ascii="Arial" w:cs="Arial" w:eastAsia="Arial" w:hAnsi="Arial"/>
          <w:sz w:val="12"/>
          <w:szCs w:val="12"/>
          <w:i w:val="1"/>
          <w:iCs w:val="1"/>
          <w:color w:val="auto"/>
        </w:rPr>
        <w:t>Item 1— “Business” of this Annual Report on Form 10-K</w:t>
      </w:r>
      <w:r>
        <w:rPr>
          <w:rFonts w:ascii="Arial" w:cs="Arial" w:eastAsia="Arial" w:hAnsi="Arial"/>
          <w:sz w:val="12"/>
          <w:szCs w:val="12"/>
          <w:color w:val="auto"/>
        </w:rPr>
        <w:t>. The information required by Item 405 of Regulation S-K is incorporated by reference to the section entitled “Section 16(a) Beneficial Ownership Reporting Compliance” contained in the Proxy Statement. The information required by Item 407(c)(3), 407(d)(4) and 407(d)(5) of Regulation S-K is incorporated by reference to the Proxy Statement under the section entitled “Corporate Governance”.</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Code of Ethics</w:t>
      </w:r>
    </w:p>
    <w:p>
      <w:pPr>
        <w:spacing w:after="0" w:line="15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2"/>
          <w:szCs w:val="12"/>
          <w:i w:val="1"/>
          <w:iCs w:val="1"/>
          <w:u w:val="single" w:color="auto"/>
          <w:color w:val="auto"/>
        </w:rPr>
        <w:t>www.aligntech.com</w:t>
      </w:r>
      <w:r>
        <w:rPr>
          <w:rFonts w:ascii="Arial" w:cs="Arial" w:eastAsia="Arial" w:hAnsi="Arial"/>
          <w:sz w:val="12"/>
          <w:szCs w:val="12"/>
          <w:color w:val="auto"/>
        </w:rPr>
        <w:t>, and the code of ethics may be found on the “Corporate Governance” section of our “Investor Relations” webpage.</w:t>
      </w:r>
    </w:p>
    <w:p>
      <w:pPr>
        <w:spacing w:after="0" w:line="115"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63"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80"/>
          </w:cols>
          <w:pgMar w:left="220" w:top="433" w:right="199" w:bottom="1440" w:gutter="0" w:footer="0" w:header="0"/>
        </w:sectPr>
      </w:pPr>
    </w:p>
    <w:bookmarkStart w:id="95" w:name="page96"/>
    <w:bookmarkEnd w:id="95"/>
    <w:p>
      <w:pPr>
        <w:spacing w:after="0"/>
        <w:tabs>
          <w:tab w:leader="none" w:pos="11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information required by Item 403 of Regulation S-K is incorporated by reference to the Proxy Statement under the section captioned “Security Ownership of Certain Beneficial Owners and Management.”</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Equity Compensation Plan Information</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following table provides information as of December 31, 2017 about our common stock that may be issued upon the exercise of options and awards granted to employees, consultants or members of our Board of Directors under all existing equity compensation plans, including the 2005 Incentive Plan and the Employee Stock Purchase Plan ("ESPP"), each as amended, and certain individual arrangements (</w:t>
      </w:r>
      <w:r>
        <w:rPr>
          <w:rFonts w:ascii="Arial" w:cs="Arial" w:eastAsia="Arial" w:hAnsi="Arial"/>
          <w:sz w:val="12"/>
          <w:szCs w:val="12"/>
          <w:i w:val="1"/>
          <w:iCs w:val="1"/>
          <w:color w:val="auto"/>
        </w:rPr>
        <w:t>Refer to Note 10“Stockholders’ Equity” of the Notes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Consolidated Financial Statements </w:t>
      </w:r>
      <w:r>
        <w:rPr>
          <w:rFonts w:ascii="Arial" w:cs="Arial" w:eastAsia="Arial" w:hAnsi="Arial"/>
          <w:sz w:val="12"/>
          <w:szCs w:val="12"/>
          <w:color w:val="auto"/>
        </w:rPr>
        <w:t>for a description of our equity compensation plans).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jc w:val="center"/>
              <w:spacing w:after="0"/>
              <w:rPr>
                <w:sz w:val="20"/>
                <w:szCs w:val="20"/>
                <w:color w:val="auto"/>
              </w:rPr>
            </w:pPr>
            <w:r>
              <w:rPr>
                <w:rFonts w:ascii="Arial" w:cs="Arial" w:eastAsia="Arial" w:hAnsi="Arial"/>
                <w:sz w:val="10"/>
                <w:szCs w:val="10"/>
                <w:b w:val="1"/>
                <w:bCs w:val="1"/>
                <w:color w:val="auto"/>
                <w:w w:val="86"/>
              </w:rPr>
              <w:t>Number of securities</w:t>
            </w:r>
          </w:p>
        </w:tc>
        <w:tc>
          <w:tcPr>
            <w:tcW w:w="32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6"/>
              </w:rPr>
              <w:t>Number of securities</w:t>
            </w: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remaining available for</w:t>
            </w:r>
          </w:p>
        </w:tc>
        <w:tc>
          <w:tcPr>
            <w:tcW w:w="3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2"/>
              </w:rPr>
              <w:t>to be issued upon exercise</w:t>
            </w:r>
          </w:p>
        </w:tc>
        <w:tc>
          <w:tcPr>
            <w:tcW w:w="260" w:type="dxa"/>
            <w:vAlign w:val="bottom"/>
          </w:tcPr>
          <w:p>
            <w:pPr>
              <w:spacing w:after="0"/>
              <w:rPr>
                <w:sz w:val="8"/>
                <w:szCs w:val="8"/>
                <w:color w:val="auto"/>
              </w:rPr>
            </w:pPr>
          </w:p>
        </w:tc>
        <w:tc>
          <w:tcPr>
            <w:tcW w:w="14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Weighted average</w:t>
            </w:r>
          </w:p>
        </w:tc>
        <w:tc>
          <w:tcPr>
            <w:tcW w:w="24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future issuance under</w:t>
            </w:r>
          </w:p>
        </w:tc>
        <w:tc>
          <w:tcPr>
            <w:tcW w:w="3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3"/>
              </w:rPr>
              <w:t>of outstanding options</w:t>
            </w:r>
          </w:p>
        </w:tc>
        <w:tc>
          <w:tcPr>
            <w:tcW w:w="260" w:type="dxa"/>
            <w:vAlign w:val="bottom"/>
          </w:tcPr>
          <w:p>
            <w:pPr>
              <w:spacing w:after="0"/>
              <w:rPr>
                <w:sz w:val="8"/>
                <w:szCs w:val="8"/>
                <w:color w:val="auto"/>
              </w:rPr>
            </w:pPr>
          </w:p>
        </w:tc>
        <w:tc>
          <w:tcPr>
            <w:tcW w:w="144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3"/>
              </w:rPr>
              <w:t>exercise price of</w:t>
            </w:r>
          </w:p>
        </w:tc>
        <w:tc>
          <w:tcPr>
            <w:tcW w:w="24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equity compensation plans</w:t>
            </w:r>
          </w:p>
        </w:tc>
        <w:tc>
          <w:tcPr>
            <w:tcW w:w="3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5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6"/>
              </w:rPr>
              <w:t>and restricted stock</w:t>
            </w:r>
          </w:p>
        </w:tc>
        <w:tc>
          <w:tcPr>
            <w:tcW w:w="260" w:type="dxa"/>
            <w:vAlign w:val="bottom"/>
          </w:tcPr>
          <w:p>
            <w:pPr>
              <w:spacing w:after="0"/>
              <w:rPr>
                <w:sz w:val="8"/>
                <w:szCs w:val="8"/>
                <w:color w:val="auto"/>
              </w:rPr>
            </w:pPr>
          </w:p>
        </w:tc>
        <w:tc>
          <w:tcPr>
            <w:tcW w:w="14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3"/>
              </w:rPr>
              <w:t>outstanding</w:t>
            </w:r>
          </w:p>
        </w:tc>
        <w:tc>
          <w:tcPr>
            <w:tcW w:w="24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2"/>
              </w:rPr>
              <w:t>(excluding securities</w:t>
            </w:r>
          </w:p>
        </w:tc>
        <w:tc>
          <w:tcPr>
            <w:tcW w:w="320" w:type="dxa"/>
            <w:vAlign w:val="bottom"/>
          </w:tcPr>
          <w:p>
            <w:pPr>
              <w:spacing w:after="0"/>
              <w:rPr>
                <w:sz w:val="8"/>
                <w:szCs w:val="8"/>
                <w:color w:val="auto"/>
              </w:rPr>
            </w:pPr>
          </w:p>
        </w:tc>
      </w:tr>
      <w:tr>
        <w:trPr>
          <w:trHeight w:val="105"/>
        </w:trPr>
        <w:tc>
          <w:tcPr>
            <w:tcW w:w="448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Plan Category</w:t>
            </w:r>
          </w:p>
        </w:tc>
        <w:tc>
          <w:tcPr>
            <w:tcW w:w="25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2"/>
              </w:rPr>
              <w:t>units(a)</w:t>
            </w:r>
          </w:p>
        </w:tc>
        <w:tc>
          <w:tcPr>
            <w:tcW w:w="260" w:type="dxa"/>
            <w:vAlign w:val="bottom"/>
          </w:tcPr>
          <w:p>
            <w:pPr>
              <w:spacing w:after="0"/>
              <w:rPr>
                <w:sz w:val="9"/>
                <w:szCs w:val="9"/>
                <w:color w:val="auto"/>
              </w:rPr>
            </w:pPr>
          </w:p>
        </w:tc>
        <w:tc>
          <w:tcPr>
            <w:tcW w:w="14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1"/>
              </w:rPr>
              <w:t>options(b)</w:t>
            </w:r>
          </w:p>
        </w:tc>
        <w:tc>
          <w:tcPr>
            <w:tcW w:w="24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7"/>
              </w:rPr>
              <w:t>reflected in column(a))</w:t>
            </w:r>
          </w:p>
        </w:tc>
        <w:tc>
          <w:tcPr>
            <w:tcW w:w="320" w:type="dxa"/>
            <w:vAlign w:val="bottom"/>
          </w:tcPr>
          <w:p>
            <w:pPr>
              <w:spacing w:after="0"/>
              <w:rPr>
                <w:sz w:val="9"/>
                <w:szCs w:val="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56"/>
        </w:trPr>
        <w:tc>
          <w:tcPr>
            <w:tcW w:w="448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Equity compensation plans approved by security holders</w:t>
            </w:r>
          </w:p>
        </w:tc>
        <w:tc>
          <w:tcPr>
            <w:tcW w:w="254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2"/>
                <w:szCs w:val="12"/>
                <w:color w:val="auto"/>
              </w:rPr>
              <w:t xml:space="preserve">1,843,573  </w:t>
            </w:r>
            <w:r>
              <w:rPr>
                <w:rFonts w:ascii="Arial" w:cs="Arial" w:eastAsia="Arial" w:hAnsi="Arial"/>
                <w:sz w:val="16"/>
                <w:szCs w:val="16"/>
                <w:color w:val="auto"/>
                <w:vertAlign w:val="superscript"/>
              </w:rPr>
              <w:t>1</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2"/>
                <w:szCs w:val="12"/>
                <w:color w:val="auto"/>
              </w:rPr>
              <w:t>11.36</w:t>
            </w: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jc w:val="right"/>
              <w:ind w:right="88"/>
              <w:spacing w:after="0"/>
              <w:rPr>
                <w:sz w:val="20"/>
                <w:szCs w:val="20"/>
                <w:color w:val="auto"/>
              </w:rPr>
            </w:pPr>
            <w:r>
              <w:rPr>
                <w:rFonts w:ascii="Arial" w:cs="Arial" w:eastAsia="Arial" w:hAnsi="Arial"/>
                <w:sz w:val="12"/>
                <w:szCs w:val="12"/>
                <w:color w:val="auto"/>
              </w:rPr>
              <w:t>7,620,549</w:t>
            </w:r>
          </w:p>
        </w:tc>
        <w:tc>
          <w:tcPr>
            <w:tcW w:w="3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2, 3</w:t>
            </w:r>
          </w:p>
        </w:tc>
      </w:tr>
      <w:tr>
        <w:trPr>
          <w:trHeight w:val="171"/>
        </w:trPr>
        <w:tc>
          <w:tcPr>
            <w:tcW w:w="4480" w:type="dxa"/>
            <w:vAlign w:val="bottom"/>
            <w:gridSpan w:val="3"/>
          </w:tcPr>
          <w:p>
            <w:pPr>
              <w:ind w:left="20"/>
              <w:spacing w:after="0"/>
              <w:rPr>
                <w:sz w:val="20"/>
                <w:szCs w:val="20"/>
                <w:color w:val="auto"/>
              </w:rPr>
            </w:pPr>
            <w:r>
              <w:rPr>
                <w:rFonts w:ascii="Arial" w:cs="Arial" w:eastAsia="Arial" w:hAnsi="Arial"/>
                <w:sz w:val="12"/>
                <w:szCs w:val="12"/>
                <w:color w:val="auto"/>
              </w:rPr>
              <w:t>Equity compensation plans not approved by security holders</w:t>
            </w:r>
          </w:p>
        </w:tc>
        <w:tc>
          <w:tcPr>
            <w:tcW w:w="25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40" w:type="dxa"/>
            <w:vAlign w:val="bottom"/>
          </w:tcPr>
          <w:p>
            <w:pPr>
              <w:jc w:val="right"/>
              <w:ind w:right="88"/>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r>
      <w:tr>
        <w:trPr>
          <w:trHeight w:val="178"/>
        </w:trPr>
        <w:tc>
          <w:tcPr>
            <w:tcW w:w="4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1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2"/>
                <w:szCs w:val="12"/>
                <w:color w:val="auto"/>
              </w:rPr>
              <w:t>1,843,573</w:t>
            </w: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CCEEFF"/>
            </w:tcBorders>
            <w:shd w:val="clear" w:color="auto" w:fill="CCEEFF"/>
          </w:tcPr>
          <w:p>
            <w:pPr>
              <w:jc w:val="right"/>
              <w:ind w:right="47"/>
              <w:spacing w:after="0"/>
              <w:rPr>
                <w:sz w:val="20"/>
                <w:szCs w:val="20"/>
                <w:color w:val="auto"/>
              </w:rPr>
            </w:pPr>
            <w:r>
              <w:rPr>
                <w:rFonts w:ascii="Arial" w:cs="Arial" w:eastAsia="Arial" w:hAnsi="Arial"/>
                <w:sz w:val="12"/>
                <w:szCs w:val="12"/>
                <w:color w:val="auto"/>
              </w:rPr>
              <w:t>11.36</w:t>
            </w:r>
          </w:p>
        </w:tc>
        <w:tc>
          <w:tcPr>
            <w:tcW w:w="100" w:type="dxa"/>
            <w:vAlign w:val="bottom"/>
            <w:tcBorders>
              <w:top w:val="single" w:sz="8" w:color="CCEEFF"/>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2"/>
                <w:szCs w:val="12"/>
                <w:color w:val="auto"/>
              </w:rPr>
              <w:t>7,620,549</w:t>
            </w:r>
          </w:p>
        </w:tc>
        <w:tc>
          <w:tcPr>
            <w:tcW w:w="320" w:type="dxa"/>
            <w:vAlign w:val="bottom"/>
            <w:tcBorders>
              <w:top w:val="single" w:sz="8" w:color="auto"/>
            </w:tcBorders>
            <w:shd w:val="clear" w:color="auto" w:fill="CCEEFF"/>
          </w:tcPr>
          <w:p>
            <w:pPr>
              <w:spacing w:after="0"/>
              <w:rPr>
                <w:sz w:val="15"/>
                <w:szCs w:val="15"/>
                <w:color w:val="auto"/>
              </w:rPr>
            </w:pPr>
          </w:p>
        </w:tc>
      </w:tr>
    </w:tbl>
    <w:p>
      <w:pPr>
        <w:spacing w:after="0" w:line="27" w:lineRule="exact"/>
        <w:rPr>
          <w:sz w:val="20"/>
          <w:szCs w:val="20"/>
          <w:color w:val="auto"/>
        </w:rPr>
      </w:pPr>
    </w:p>
    <w:p>
      <w:pPr>
        <w:ind w:left="420" w:hanging="212"/>
        <w:spacing w:after="0"/>
        <w:tabs>
          <w:tab w:leader="none" w:pos="420" w:val="left"/>
        </w:tabs>
        <w:numPr>
          <w:ilvl w:val="0"/>
          <w:numId w:val="47"/>
        </w:numPr>
        <w:rPr>
          <w:rFonts w:ascii="Arial" w:cs="Arial" w:eastAsia="Arial" w:hAnsi="Arial"/>
          <w:sz w:val="17"/>
          <w:szCs w:val="17"/>
          <w:b w:val="1"/>
          <w:bCs w:val="1"/>
          <w:color w:val="auto"/>
          <w:vertAlign w:val="superscript"/>
        </w:rPr>
      </w:pPr>
      <w:r>
        <w:rPr>
          <w:rFonts w:ascii="Arial" w:cs="Arial" w:eastAsia="Arial" w:hAnsi="Arial"/>
          <w:sz w:val="12"/>
          <w:szCs w:val="12"/>
          <w:color w:val="auto"/>
        </w:rPr>
        <w:t>Includes 1,340,759 restricted stock units and 428,100 market-performance based restricted stock units at target, which have an exercise price of zero.</w:t>
      </w:r>
    </w:p>
    <w:p>
      <w:pPr>
        <w:ind w:left="420" w:right="20" w:hanging="212"/>
        <w:spacing w:after="0" w:line="207" w:lineRule="auto"/>
        <w:tabs>
          <w:tab w:leader="none" w:pos="420" w:val="left"/>
        </w:tabs>
        <w:numPr>
          <w:ilvl w:val="0"/>
          <w:numId w:val="48"/>
        </w:numPr>
        <w:rPr>
          <w:rFonts w:ascii="Arial" w:cs="Arial" w:eastAsia="Arial" w:hAnsi="Arial"/>
          <w:sz w:val="17"/>
          <w:szCs w:val="17"/>
          <w:b w:val="1"/>
          <w:bCs w:val="1"/>
          <w:color w:val="auto"/>
          <w:vertAlign w:val="superscript"/>
        </w:rPr>
      </w:pPr>
      <w:r>
        <w:rPr>
          <w:rFonts w:ascii="Arial" w:cs="Arial" w:eastAsia="Arial" w:hAnsi="Arial"/>
          <w:sz w:val="12"/>
          <w:szCs w:val="12"/>
          <w:color w:val="auto"/>
        </w:rPr>
        <w:t>Includes 735,301 shares available for issuance under our ESPP. We are unable to ascertain with specificity the number of securities to be issued upon exercise of outstanding rights or the weighted average exercise price of outstanding rights under the ESPP.</w:t>
      </w:r>
    </w:p>
    <w:p>
      <w:pPr>
        <w:ind w:left="420" w:hanging="212"/>
        <w:spacing w:after="0" w:line="181" w:lineRule="auto"/>
        <w:tabs>
          <w:tab w:leader="none" w:pos="420" w:val="left"/>
        </w:tabs>
        <w:numPr>
          <w:ilvl w:val="0"/>
          <w:numId w:val="49"/>
        </w:numPr>
        <w:rPr>
          <w:rFonts w:ascii="Arial" w:cs="Arial" w:eastAsia="Arial" w:hAnsi="Arial"/>
          <w:sz w:val="17"/>
          <w:szCs w:val="17"/>
          <w:b w:val="1"/>
          <w:bCs w:val="1"/>
          <w:color w:val="auto"/>
          <w:vertAlign w:val="superscript"/>
        </w:rPr>
      </w:pPr>
      <w:r>
        <w:rPr>
          <w:rFonts w:ascii="Arial" w:cs="Arial" w:eastAsia="Arial" w:hAnsi="Arial"/>
          <w:sz w:val="12"/>
          <w:szCs w:val="12"/>
          <w:color w:val="auto"/>
        </w:rPr>
        <w:t>Excludes 507,775 of potentially issuable MSUs if performance targets are achieved at maximum payout.</w:t>
      </w:r>
    </w:p>
    <w:p>
      <w:pPr>
        <w:spacing w:after="0" w:line="149"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63"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163" w:lineRule="exact"/>
        <w:rPr>
          <w:sz w:val="20"/>
          <w:szCs w:val="20"/>
          <w:color w:val="auto"/>
        </w:rPr>
      </w:pPr>
    </w:p>
    <w:p>
      <w:pPr>
        <w:ind w:right="20" w:firstLine="288"/>
        <w:spacing w:after="0" w:line="276" w:lineRule="auto"/>
        <w:rPr>
          <w:sz w:val="20"/>
          <w:szCs w:val="20"/>
          <w:color w:val="auto"/>
        </w:rPr>
      </w:pPr>
      <w:r>
        <w:rPr>
          <w:rFonts w:ascii="Arial" w:cs="Arial" w:eastAsia="Arial" w:hAnsi="Arial"/>
          <w:sz w:val="12"/>
          <w:szCs w:val="12"/>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80"/>
          </w:cols>
          <w:pgMar w:left="220" w:top="451" w:right="199" w:bottom="1440" w:gutter="0" w:footer="0" w:header="0"/>
        </w:sectPr>
      </w:pPr>
    </w:p>
    <w:bookmarkStart w:id="96" w:name="page97"/>
    <w:bookmarkEnd w:id="96"/>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tabs>
          <w:tab w:leader="none" w:pos="1128"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2"/>
          <w:szCs w:val="12"/>
          <w:b w:val="1"/>
          <w:bCs w:val="1"/>
          <w:color w:val="auto"/>
        </w:rPr>
        <w:t>EXHIBITS, FINANCIAL STATEMENT SCHEDULES</w:t>
      </w:r>
    </w:p>
    <w:p>
      <w:pPr>
        <w:spacing w:after="0" w:line="91" w:lineRule="exact"/>
        <w:rPr>
          <w:sz w:val="20"/>
          <w:szCs w:val="20"/>
          <w:color w:val="auto"/>
        </w:rPr>
      </w:pPr>
    </w:p>
    <w:p>
      <w:pPr>
        <w:ind w:left="428" w:hanging="428"/>
        <w:spacing w:after="0"/>
        <w:tabs>
          <w:tab w:leader="none" w:pos="4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Financial Statements</w:t>
      </w:r>
    </w:p>
    <w:p>
      <w:pPr>
        <w:spacing w:after="0" w:line="78" w:lineRule="exact"/>
        <w:rPr>
          <w:sz w:val="20"/>
          <w:szCs w:val="20"/>
          <w:color w:val="auto"/>
        </w:rPr>
      </w:pPr>
    </w:p>
    <w:p>
      <w:pPr>
        <w:ind w:left="428" w:hanging="428"/>
        <w:spacing w:after="0"/>
        <w:tabs>
          <w:tab w:leader="none" w:pos="428"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Consolidated financial statements</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The following documents are filed as part of this Annual Report on Form 10-K:</w:t>
      </w:r>
    </w:p>
    <w:p>
      <w:pPr>
        <w:spacing w:after="0" w:line="22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840" w:type="dxa"/>
            <w:vAlign w:val="bottom"/>
          </w:tcPr>
          <w:p>
            <w:pPr>
              <w:ind w:left="20"/>
              <w:spacing w:after="0"/>
              <w:rPr>
                <w:sz w:val="20"/>
                <w:szCs w:val="20"/>
                <w:color w:val="auto"/>
              </w:rPr>
            </w:pPr>
            <w:r>
              <w:rPr>
                <w:rFonts w:ascii="Arial" w:cs="Arial" w:eastAsia="Arial" w:hAnsi="Arial"/>
                <w:sz w:val="12"/>
                <w:szCs w:val="12"/>
                <w:color w:val="auto"/>
              </w:rPr>
              <w:t>Report of Independent Registered Public Accounting Firm</w:t>
            </w:r>
          </w:p>
        </w:tc>
        <w:tc>
          <w:tcPr>
            <w:tcW w:w="120" w:type="dxa"/>
            <w:vAlign w:val="bottom"/>
            <w:tcBorders>
              <w:bottom w:val="single" w:sz="8" w:color="0000EE"/>
            </w:tcBorders>
          </w:tcPr>
          <w:p>
            <w:pPr>
              <w:jc w:val="right"/>
              <w:spacing w:after="0"/>
              <w:rPr>
                <w:rFonts w:ascii="Arial" w:cs="Arial" w:eastAsia="Arial" w:hAnsi="Arial"/>
                <w:sz w:val="12"/>
                <w:szCs w:val="12"/>
                <w:color w:val="0000EE"/>
                <w:w w:val="74"/>
              </w:rPr>
            </w:pPr>
            <w:hyperlink w:anchor="page56">
              <w:r>
                <w:rPr>
                  <w:rFonts w:ascii="Arial" w:cs="Arial" w:eastAsia="Arial" w:hAnsi="Arial"/>
                  <w:sz w:val="12"/>
                  <w:szCs w:val="12"/>
                  <w:color w:val="0000EE"/>
                  <w:w w:val="74"/>
                </w:rPr>
                <w:t>56</w:t>
              </w:r>
            </w:hyperlink>
          </w:p>
        </w:tc>
        <w:tc>
          <w:tcPr>
            <w:tcW w:w="520" w:type="dxa"/>
            <w:vAlign w:val="bottom"/>
          </w:tcPr>
          <w:p>
            <w:pPr>
              <w:spacing w:after="0"/>
              <w:rPr>
                <w:sz w:val="12"/>
                <w:szCs w:val="12"/>
                <w:color w:val="auto"/>
              </w:rPr>
            </w:pPr>
          </w:p>
        </w:tc>
      </w:tr>
      <w:tr>
        <w:trPr>
          <w:trHeight w:val="25"/>
        </w:trPr>
        <w:tc>
          <w:tcPr>
            <w:tcW w:w="10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5"/>
        </w:trPr>
        <w:tc>
          <w:tcPr>
            <w:tcW w:w="108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Consolidated Statements of Operations for the year ended December 31, 2017, 2016 and 2015</w:t>
            </w: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58">
              <w:r>
                <w:rPr>
                  <w:rFonts w:ascii="Arial" w:cs="Arial" w:eastAsia="Arial" w:hAnsi="Arial"/>
                  <w:sz w:val="12"/>
                  <w:szCs w:val="12"/>
                  <w:color w:val="0000EE"/>
                  <w:w w:val="74"/>
                </w:rPr>
                <w:t>58</w:t>
              </w:r>
            </w:hyperlink>
          </w:p>
        </w:tc>
        <w:tc>
          <w:tcPr>
            <w:tcW w:w="520" w:type="dxa"/>
            <w:vAlign w:val="bottom"/>
            <w:tcBorders>
              <w:bottom w:val="single" w:sz="8" w:color="CCEEFF"/>
            </w:tcBorders>
            <w:shd w:val="clear" w:color="auto" w:fill="CCEEFF"/>
          </w:tcPr>
          <w:p>
            <w:pPr>
              <w:spacing w:after="0"/>
              <w:rPr>
                <w:sz w:val="13"/>
                <w:szCs w:val="13"/>
                <w:color w:val="auto"/>
              </w:rPr>
            </w:pPr>
          </w:p>
        </w:tc>
      </w:tr>
      <w:tr>
        <w:trPr>
          <w:trHeight w:val="135"/>
        </w:trPr>
        <w:tc>
          <w:tcPr>
            <w:tcW w:w="108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Consolidated Statements of Comprehensive Income for the year ended December 31, 2017, 2016 and 2015</w:t>
            </w:r>
          </w:p>
        </w:tc>
        <w:tc>
          <w:tcPr>
            <w:tcW w:w="120" w:type="dxa"/>
            <w:vAlign w:val="bottom"/>
            <w:tcBorders>
              <w:top w:val="single" w:sz="8" w:color="CCEEFF"/>
              <w:bottom w:val="single" w:sz="8" w:color="0000EE"/>
            </w:tcBorders>
          </w:tcPr>
          <w:p>
            <w:pPr>
              <w:jc w:val="right"/>
              <w:spacing w:after="0" w:line="135" w:lineRule="exact"/>
              <w:rPr>
                <w:rFonts w:ascii="Arial" w:cs="Arial" w:eastAsia="Arial" w:hAnsi="Arial"/>
                <w:sz w:val="12"/>
                <w:szCs w:val="12"/>
                <w:color w:val="0000EE"/>
                <w:w w:val="74"/>
              </w:rPr>
            </w:pPr>
            <w:hyperlink w:anchor="page59">
              <w:r>
                <w:rPr>
                  <w:rFonts w:ascii="Arial" w:cs="Arial" w:eastAsia="Arial" w:hAnsi="Arial"/>
                  <w:sz w:val="12"/>
                  <w:szCs w:val="12"/>
                  <w:color w:val="0000EE"/>
                  <w:w w:val="74"/>
                </w:rPr>
                <w:t>59</w:t>
              </w:r>
            </w:hyperlink>
          </w:p>
        </w:tc>
        <w:tc>
          <w:tcPr>
            <w:tcW w:w="520" w:type="dxa"/>
            <w:vAlign w:val="bottom"/>
            <w:tcBorders>
              <w:top w:val="single" w:sz="8" w:color="CCEEFF"/>
            </w:tcBorders>
          </w:tcPr>
          <w:p>
            <w:pPr>
              <w:spacing w:after="0"/>
              <w:rPr>
                <w:sz w:val="11"/>
                <w:szCs w:val="11"/>
                <w:color w:val="auto"/>
              </w:rPr>
            </w:pPr>
          </w:p>
        </w:tc>
      </w:tr>
      <w:tr>
        <w:trPr>
          <w:trHeight w:val="25"/>
        </w:trPr>
        <w:tc>
          <w:tcPr>
            <w:tcW w:w="10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5"/>
        </w:trPr>
        <w:tc>
          <w:tcPr>
            <w:tcW w:w="108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Consolidated Balance Sheets as of December 31, 2017 and 2016</w:t>
            </w: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60">
              <w:r>
                <w:rPr>
                  <w:rFonts w:ascii="Arial" w:cs="Arial" w:eastAsia="Arial" w:hAnsi="Arial"/>
                  <w:sz w:val="12"/>
                  <w:szCs w:val="12"/>
                  <w:color w:val="0000EE"/>
                  <w:w w:val="74"/>
                </w:rPr>
                <w:t>60</w:t>
              </w:r>
            </w:hyperlink>
          </w:p>
        </w:tc>
        <w:tc>
          <w:tcPr>
            <w:tcW w:w="520" w:type="dxa"/>
            <w:vAlign w:val="bottom"/>
            <w:tcBorders>
              <w:bottom w:val="single" w:sz="8" w:color="CCEEFF"/>
            </w:tcBorders>
            <w:shd w:val="clear" w:color="auto" w:fill="CCEEFF"/>
          </w:tcPr>
          <w:p>
            <w:pPr>
              <w:spacing w:after="0"/>
              <w:rPr>
                <w:sz w:val="13"/>
                <w:szCs w:val="13"/>
                <w:color w:val="auto"/>
              </w:rPr>
            </w:pPr>
          </w:p>
        </w:tc>
      </w:tr>
      <w:tr>
        <w:trPr>
          <w:trHeight w:val="135"/>
        </w:trPr>
        <w:tc>
          <w:tcPr>
            <w:tcW w:w="108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Consolidated Statements of Stockholders’ Equity for the year ended December 31, 2017, 2016 and 2015</w:t>
            </w:r>
          </w:p>
        </w:tc>
        <w:tc>
          <w:tcPr>
            <w:tcW w:w="120" w:type="dxa"/>
            <w:vAlign w:val="bottom"/>
            <w:tcBorders>
              <w:top w:val="single" w:sz="8" w:color="CCEEFF"/>
              <w:bottom w:val="single" w:sz="8" w:color="0000EE"/>
            </w:tcBorders>
          </w:tcPr>
          <w:p>
            <w:pPr>
              <w:jc w:val="right"/>
              <w:spacing w:after="0" w:line="135" w:lineRule="exact"/>
              <w:rPr>
                <w:rFonts w:ascii="Arial" w:cs="Arial" w:eastAsia="Arial" w:hAnsi="Arial"/>
                <w:sz w:val="12"/>
                <w:szCs w:val="12"/>
                <w:color w:val="0000EE"/>
                <w:w w:val="74"/>
              </w:rPr>
            </w:pPr>
            <w:hyperlink w:anchor="page61">
              <w:r>
                <w:rPr>
                  <w:rFonts w:ascii="Arial" w:cs="Arial" w:eastAsia="Arial" w:hAnsi="Arial"/>
                  <w:sz w:val="12"/>
                  <w:szCs w:val="12"/>
                  <w:color w:val="0000EE"/>
                  <w:w w:val="74"/>
                </w:rPr>
                <w:t>61</w:t>
              </w:r>
            </w:hyperlink>
          </w:p>
        </w:tc>
        <w:tc>
          <w:tcPr>
            <w:tcW w:w="520" w:type="dxa"/>
            <w:vAlign w:val="bottom"/>
            <w:tcBorders>
              <w:top w:val="single" w:sz="8" w:color="CCEEFF"/>
            </w:tcBorders>
          </w:tcPr>
          <w:p>
            <w:pPr>
              <w:spacing w:after="0"/>
              <w:rPr>
                <w:sz w:val="11"/>
                <w:szCs w:val="11"/>
                <w:color w:val="auto"/>
              </w:rPr>
            </w:pPr>
          </w:p>
        </w:tc>
      </w:tr>
      <w:tr>
        <w:trPr>
          <w:trHeight w:val="25"/>
        </w:trPr>
        <w:tc>
          <w:tcPr>
            <w:tcW w:w="10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65"/>
        </w:trPr>
        <w:tc>
          <w:tcPr>
            <w:tcW w:w="1084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Consolidated Statements of Cash Flows for the year ended December 31, 2017, 2016 and 2015</w:t>
            </w:r>
          </w:p>
        </w:tc>
        <w:tc>
          <w:tcPr>
            <w:tcW w:w="120" w:type="dxa"/>
            <w:vAlign w:val="bottom"/>
            <w:tcBorders>
              <w:bottom w:val="single" w:sz="8" w:color="0000EE"/>
            </w:tcBorders>
            <w:shd w:val="clear" w:color="auto" w:fill="CCEEFF"/>
          </w:tcPr>
          <w:p>
            <w:pPr>
              <w:jc w:val="right"/>
              <w:spacing w:after="0" w:line="135" w:lineRule="exact"/>
              <w:rPr>
                <w:rFonts w:ascii="Arial" w:cs="Arial" w:eastAsia="Arial" w:hAnsi="Arial"/>
                <w:sz w:val="12"/>
                <w:szCs w:val="12"/>
                <w:color w:val="0000EE"/>
                <w:w w:val="74"/>
              </w:rPr>
            </w:pPr>
            <w:hyperlink w:anchor="page62">
              <w:r>
                <w:rPr>
                  <w:rFonts w:ascii="Arial" w:cs="Arial" w:eastAsia="Arial" w:hAnsi="Arial"/>
                  <w:sz w:val="12"/>
                  <w:szCs w:val="12"/>
                  <w:color w:val="0000EE"/>
                  <w:w w:val="74"/>
                </w:rPr>
                <w:t>62</w:t>
              </w:r>
            </w:hyperlink>
          </w:p>
        </w:tc>
        <w:tc>
          <w:tcPr>
            <w:tcW w:w="520" w:type="dxa"/>
            <w:vAlign w:val="bottom"/>
            <w:tcBorders>
              <w:bottom w:val="single" w:sz="8" w:color="CCEEFF"/>
            </w:tcBorders>
            <w:shd w:val="clear" w:color="auto" w:fill="CCEEFF"/>
          </w:tcPr>
          <w:p>
            <w:pPr>
              <w:spacing w:after="0"/>
              <w:rPr>
                <w:sz w:val="13"/>
                <w:szCs w:val="13"/>
                <w:color w:val="auto"/>
              </w:rPr>
            </w:pPr>
          </w:p>
        </w:tc>
      </w:tr>
      <w:tr>
        <w:trPr>
          <w:trHeight w:val="135"/>
        </w:trPr>
        <w:tc>
          <w:tcPr>
            <w:tcW w:w="1084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2"/>
                <w:szCs w:val="12"/>
                <w:color w:val="auto"/>
              </w:rPr>
              <w:t>Notes to Consolidated Financial Statements</w:t>
            </w:r>
          </w:p>
        </w:tc>
        <w:tc>
          <w:tcPr>
            <w:tcW w:w="120" w:type="dxa"/>
            <w:vAlign w:val="bottom"/>
            <w:tcBorders>
              <w:top w:val="single" w:sz="8" w:color="CCEEFF"/>
              <w:bottom w:val="single" w:sz="8" w:color="0000EE"/>
            </w:tcBorders>
          </w:tcPr>
          <w:p>
            <w:pPr>
              <w:jc w:val="right"/>
              <w:spacing w:after="0" w:line="135" w:lineRule="exact"/>
              <w:rPr>
                <w:rFonts w:ascii="Arial" w:cs="Arial" w:eastAsia="Arial" w:hAnsi="Arial"/>
                <w:sz w:val="12"/>
                <w:szCs w:val="12"/>
                <w:color w:val="0000EE"/>
                <w:w w:val="74"/>
              </w:rPr>
            </w:pPr>
            <w:hyperlink w:anchor="page63">
              <w:r>
                <w:rPr>
                  <w:rFonts w:ascii="Arial" w:cs="Arial" w:eastAsia="Arial" w:hAnsi="Arial"/>
                  <w:sz w:val="12"/>
                  <w:szCs w:val="12"/>
                  <w:color w:val="0000EE"/>
                  <w:w w:val="74"/>
                </w:rPr>
                <w:t>63</w:t>
              </w:r>
            </w:hyperlink>
          </w:p>
        </w:tc>
        <w:tc>
          <w:tcPr>
            <w:tcW w:w="520" w:type="dxa"/>
            <w:vAlign w:val="bottom"/>
            <w:tcBorders>
              <w:top w:val="single" w:sz="8" w:color="CCEEFF"/>
            </w:tcBorders>
          </w:tcPr>
          <w:p>
            <w:pPr>
              <w:spacing w:after="0"/>
              <w:rPr>
                <w:sz w:val="11"/>
                <w:szCs w:val="11"/>
                <w:color w:val="auto"/>
              </w:rPr>
            </w:pPr>
          </w:p>
        </w:tc>
      </w:tr>
    </w:tbl>
    <w:p>
      <w:pPr>
        <w:spacing w:after="0" w:line="153" w:lineRule="exact"/>
        <w:rPr>
          <w:sz w:val="20"/>
          <w:szCs w:val="20"/>
          <w:color w:val="auto"/>
        </w:rPr>
      </w:pPr>
    </w:p>
    <w:p>
      <w:pPr>
        <w:ind w:left="428" w:hanging="428"/>
        <w:spacing w:after="0"/>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following financial statement schedule is filed as part of this Annual Report on Form 10-K:</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Schedule II—Valuation and Qualifying Accounts and Reserves For the Year Ended December 31, 2017, 2016 and 2015</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All other schedules have been omitted as they are not required, not applicable, or the required information is otherwise included.</w:t>
      </w:r>
    </w:p>
    <w:p>
      <w:pPr>
        <w:spacing w:after="0" w:line="2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SCHEDULE II: VALUATION AND QUALIFYING ACCOUNTS AND RESERVES</w:t>
      </w:r>
    </w:p>
    <w:p>
      <w:pPr>
        <w:spacing w:after="0" w:line="22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jc w:val="center"/>
              <w:ind w:right="166"/>
              <w:spacing w:after="0"/>
              <w:rPr>
                <w:sz w:val="20"/>
                <w:szCs w:val="20"/>
                <w:color w:val="auto"/>
              </w:rPr>
            </w:pPr>
            <w:r>
              <w:rPr>
                <w:rFonts w:ascii="Arial" w:cs="Arial" w:eastAsia="Arial" w:hAnsi="Arial"/>
                <w:sz w:val="10"/>
                <w:szCs w:val="10"/>
                <w:b w:val="1"/>
                <w:bCs w:val="1"/>
                <w:color w:val="auto"/>
                <w:w w:val="86"/>
              </w:rPr>
              <w:t>Additions</w:t>
            </w:r>
          </w:p>
        </w:tc>
        <w:tc>
          <w:tcPr>
            <w:tcW w:w="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99"/>
        </w:trPr>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tcPr>
          <w:p>
            <w:pPr>
              <w:jc w:val="center"/>
              <w:ind w:right="166"/>
              <w:spacing w:after="0" w:line="99" w:lineRule="exact"/>
              <w:rPr>
                <w:sz w:val="20"/>
                <w:szCs w:val="20"/>
                <w:color w:val="auto"/>
              </w:rPr>
            </w:pPr>
            <w:r>
              <w:rPr>
                <w:rFonts w:ascii="Arial" w:cs="Arial" w:eastAsia="Arial" w:hAnsi="Arial"/>
                <w:sz w:val="10"/>
                <w:szCs w:val="10"/>
                <w:b w:val="1"/>
                <w:bCs w:val="1"/>
                <w:color w:val="auto"/>
                <w:w w:val="85"/>
              </w:rPr>
              <w:t>(Reductions)</w:t>
            </w: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99"/>
        </w:trPr>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jc w:val="center"/>
              <w:ind w:right="384"/>
              <w:spacing w:after="0" w:line="99" w:lineRule="exact"/>
              <w:rPr>
                <w:sz w:val="20"/>
                <w:szCs w:val="20"/>
                <w:color w:val="auto"/>
              </w:rPr>
            </w:pPr>
            <w:r>
              <w:rPr>
                <w:rFonts w:ascii="Arial" w:cs="Arial" w:eastAsia="Arial" w:hAnsi="Arial"/>
                <w:sz w:val="10"/>
                <w:szCs w:val="10"/>
                <w:b w:val="1"/>
                <w:bCs w:val="1"/>
                <w:color w:val="auto"/>
                <w:w w:val="83"/>
              </w:rPr>
              <w:t>Balance at</w:t>
            </w:r>
          </w:p>
        </w:tc>
        <w:tc>
          <w:tcPr>
            <w:tcW w:w="280" w:type="dxa"/>
            <w:vAlign w:val="bottom"/>
          </w:tcPr>
          <w:p>
            <w:pPr>
              <w:spacing w:after="0"/>
              <w:rPr>
                <w:sz w:val="8"/>
                <w:szCs w:val="8"/>
                <w:color w:val="auto"/>
              </w:rPr>
            </w:pPr>
          </w:p>
        </w:tc>
        <w:tc>
          <w:tcPr>
            <w:tcW w:w="1820" w:type="dxa"/>
            <w:vAlign w:val="bottom"/>
          </w:tcPr>
          <w:p>
            <w:pPr>
              <w:jc w:val="center"/>
              <w:ind w:right="166"/>
              <w:spacing w:after="0" w:line="99" w:lineRule="exact"/>
              <w:rPr>
                <w:sz w:val="20"/>
                <w:szCs w:val="20"/>
                <w:color w:val="auto"/>
              </w:rPr>
            </w:pPr>
            <w:r>
              <w:rPr>
                <w:rFonts w:ascii="Arial" w:cs="Arial" w:eastAsia="Arial" w:hAnsi="Arial"/>
                <w:sz w:val="10"/>
                <w:szCs w:val="10"/>
                <w:b w:val="1"/>
                <w:bCs w:val="1"/>
                <w:color w:val="auto"/>
                <w:w w:val="79"/>
              </w:rPr>
              <w:t>to Costs</w:t>
            </w: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99"/>
        </w:trPr>
        <w:tc>
          <w:tcPr>
            <w:tcW w:w="3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jc w:val="center"/>
              <w:ind w:right="384"/>
              <w:spacing w:after="0" w:line="99" w:lineRule="exact"/>
              <w:rPr>
                <w:sz w:val="20"/>
                <w:szCs w:val="20"/>
                <w:color w:val="auto"/>
              </w:rPr>
            </w:pPr>
            <w:r>
              <w:rPr>
                <w:rFonts w:ascii="Arial" w:cs="Arial" w:eastAsia="Arial" w:hAnsi="Arial"/>
                <w:sz w:val="10"/>
                <w:szCs w:val="10"/>
                <w:b w:val="1"/>
                <w:bCs w:val="1"/>
                <w:color w:val="auto"/>
                <w:w w:val="85"/>
              </w:rPr>
              <w:t>Beginning</w:t>
            </w:r>
          </w:p>
        </w:tc>
        <w:tc>
          <w:tcPr>
            <w:tcW w:w="280" w:type="dxa"/>
            <w:vAlign w:val="bottom"/>
          </w:tcPr>
          <w:p>
            <w:pPr>
              <w:spacing w:after="0"/>
              <w:rPr>
                <w:sz w:val="8"/>
                <w:szCs w:val="8"/>
                <w:color w:val="auto"/>
              </w:rPr>
            </w:pPr>
          </w:p>
        </w:tc>
        <w:tc>
          <w:tcPr>
            <w:tcW w:w="1820" w:type="dxa"/>
            <w:vAlign w:val="bottom"/>
          </w:tcPr>
          <w:p>
            <w:pPr>
              <w:jc w:val="center"/>
              <w:ind w:right="166"/>
              <w:spacing w:after="0" w:line="99" w:lineRule="exact"/>
              <w:rPr>
                <w:sz w:val="20"/>
                <w:szCs w:val="20"/>
                <w:color w:val="auto"/>
              </w:rPr>
            </w:pPr>
            <w:r>
              <w:rPr>
                <w:rFonts w:ascii="Arial" w:cs="Arial" w:eastAsia="Arial" w:hAnsi="Arial"/>
                <w:sz w:val="10"/>
                <w:szCs w:val="10"/>
                <w:b w:val="1"/>
                <w:bCs w:val="1"/>
                <w:color w:val="auto"/>
                <w:w w:val="89"/>
              </w:rPr>
              <w:t>and</w:t>
            </w:r>
          </w:p>
        </w:tc>
        <w:tc>
          <w:tcPr>
            <w:tcW w:w="620" w:type="dxa"/>
            <w:vAlign w:val="bottom"/>
          </w:tcPr>
          <w:p>
            <w:pPr>
              <w:spacing w:after="0"/>
              <w:rPr>
                <w:sz w:val="8"/>
                <w:szCs w:val="8"/>
                <w:color w:val="auto"/>
              </w:rPr>
            </w:pPr>
          </w:p>
        </w:tc>
        <w:tc>
          <w:tcPr>
            <w:tcW w:w="1440" w:type="dxa"/>
            <w:vAlign w:val="bottom"/>
          </w:tcPr>
          <w:p>
            <w:pPr>
              <w:jc w:val="right"/>
              <w:ind w:right="823"/>
              <w:spacing w:after="0" w:line="99" w:lineRule="exact"/>
              <w:rPr>
                <w:sz w:val="20"/>
                <w:szCs w:val="20"/>
                <w:color w:val="auto"/>
              </w:rPr>
            </w:pPr>
            <w:r>
              <w:rPr>
                <w:rFonts w:ascii="Arial" w:cs="Arial" w:eastAsia="Arial" w:hAnsi="Arial"/>
                <w:sz w:val="10"/>
                <w:szCs w:val="10"/>
                <w:b w:val="1"/>
                <w:bCs w:val="1"/>
                <w:color w:val="auto"/>
              </w:rPr>
              <w:t>Write</w:t>
            </w:r>
          </w:p>
        </w:tc>
        <w:tc>
          <w:tcPr>
            <w:tcW w:w="460" w:type="dxa"/>
            <w:vAlign w:val="bottom"/>
          </w:tcPr>
          <w:p>
            <w:pPr>
              <w:spacing w:after="0"/>
              <w:rPr>
                <w:sz w:val="8"/>
                <w:szCs w:val="8"/>
                <w:color w:val="auto"/>
              </w:rPr>
            </w:pPr>
          </w:p>
        </w:tc>
        <w:tc>
          <w:tcPr>
            <w:tcW w:w="1540" w:type="dxa"/>
            <w:vAlign w:val="bottom"/>
          </w:tcPr>
          <w:p>
            <w:pPr>
              <w:jc w:val="right"/>
              <w:ind w:right="683"/>
              <w:spacing w:after="0" w:line="99" w:lineRule="exact"/>
              <w:rPr>
                <w:sz w:val="20"/>
                <w:szCs w:val="20"/>
                <w:color w:val="auto"/>
              </w:rPr>
            </w:pPr>
            <w:r>
              <w:rPr>
                <w:rFonts w:ascii="Arial" w:cs="Arial" w:eastAsia="Arial" w:hAnsi="Arial"/>
                <w:sz w:val="10"/>
                <w:szCs w:val="10"/>
                <w:b w:val="1"/>
                <w:bCs w:val="1"/>
                <w:color w:val="auto"/>
              </w:rPr>
              <w:t>Balance at</w:t>
            </w:r>
          </w:p>
        </w:tc>
      </w:tr>
      <w:tr>
        <w:trPr>
          <w:trHeight w:val="128"/>
        </w:trPr>
        <w:tc>
          <w:tcPr>
            <w:tcW w:w="33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center"/>
              <w:ind w:right="384"/>
              <w:spacing w:after="0"/>
              <w:rPr>
                <w:sz w:val="20"/>
                <w:szCs w:val="20"/>
                <w:color w:val="auto"/>
              </w:rPr>
            </w:pPr>
            <w:r>
              <w:rPr>
                <w:rFonts w:ascii="Arial" w:cs="Arial" w:eastAsia="Arial" w:hAnsi="Arial"/>
                <w:sz w:val="10"/>
                <w:szCs w:val="10"/>
                <w:b w:val="1"/>
                <w:bCs w:val="1"/>
                <w:color w:val="auto"/>
                <w:w w:val="87"/>
              </w:rPr>
              <w:t>of Period</w:t>
            </w:r>
          </w:p>
        </w:tc>
        <w:tc>
          <w:tcPr>
            <w:tcW w:w="2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jc w:val="center"/>
              <w:ind w:right="146"/>
              <w:spacing w:after="0"/>
              <w:rPr>
                <w:sz w:val="20"/>
                <w:szCs w:val="20"/>
                <w:color w:val="auto"/>
              </w:rPr>
            </w:pPr>
            <w:r>
              <w:rPr>
                <w:rFonts w:ascii="Arial" w:cs="Arial" w:eastAsia="Arial" w:hAnsi="Arial"/>
                <w:sz w:val="10"/>
                <w:szCs w:val="10"/>
                <w:b w:val="1"/>
                <w:bCs w:val="1"/>
                <w:color w:val="auto"/>
                <w:w w:val="81"/>
              </w:rPr>
              <w:t>Expenses</w:t>
            </w:r>
          </w:p>
        </w:tc>
        <w:tc>
          <w:tcPr>
            <w:tcW w:w="6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Offs</w:t>
            </w:r>
          </w:p>
        </w:tc>
        <w:tc>
          <w:tcPr>
            <w:tcW w:w="4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603"/>
              <w:spacing w:after="0"/>
              <w:rPr>
                <w:sz w:val="20"/>
                <w:szCs w:val="20"/>
                <w:color w:val="auto"/>
              </w:rPr>
            </w:pPr>
            <w:r>
              <w:rPr>
                <w:rFonts w:ascii="Arial" w:cs="Arial" w:eastAsia="Arial" w:hAnsi="Arial"/>
                <w:sz w:val="10"/>
                <w:szCs w:val="10"/>
                <w:b w:val="1"/>
                <w:bCs w:val="1"/>
                <w:color w:val="auto"/>
              </w:rPr>
              <w:t>End of Period</w:t>
            </w:r>
          </w:p>
        </w:tc>
      </w:tr>
      <w:tr>
        <w:trPr>
          <w:trHeight w:val="128"/>
        </w:trPr>
        <w:tc>
          <w:tcPr>
            <w:tcW w:w="3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b w:val="1"/>
                <w:bCs w:val="1"/>
                <w:color w:val="auto"/>
              </w:rPr>
              <w:t>(in thousands)</w:t>
            </w:r>
          </w:p>
        </w:tc>
        <w:tc>
          <w:tcPr>
            <w:tcW w:w="1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71"/>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Allowances for doubtful accounts and sales returns:</w:t>
            </w: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2015</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1,563</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8,944</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(8,035)</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2,472</w:t>
            </w:r>
          </w:p>
        </w:tc>
      </w:tr>
      <w:tr>
        <w:trPr>
          <w:trHeight w:val="171"/>
        </w:trPr>
        <w:tc>
          <w:tcPr>
            <w:tcW w:w="3320" w:type="dxa"/>
            <w:vAlign w:val="bottom"/>
          </w:tcPr>
          <w:p>
            <w:pPr>
              <w:ind w:left="240"/>
              <w:spacing w:after="0"/>
              <w:rPr>
                <w:sz w:val="20"/>
                <w:szCs w:val="20"/>
                <w:color w:val="auto"/>
              </w:rPr>
            </w:pPr>
            <w:r>
              <w:rPr>
                <w:rFonts w:ascii="Arial" w:cs="Arial" w:eastAsia="Arial" w:hAnsi="Arial"/>
                <w:sz w:val="12"/>
                <w:szCs w:val="12"/>
                <w:color w:val="auto"/>
              </w:rPr>
              <w:t>Year ended December 31, 2016</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4"/>
              <w:spacing w:after="0"/>
              <w:rPr>
                <w:sz w:val="20"/>
                <w:szCs w:val="20"/>
                <w:color w:val="auto"/>
              </w:rPr>
            </w:pPr>
            <w:r>
              <w:rPr>
                <w:rFonts w:ascii="Arial" w:cs="Arial" w:eastAsia="Arial" w:hAnsi="Arial"/>
                <w:sz w:val="12"/>
                <w:szCs w:val="12"/>
                <w:color w:val="auto"/>
              </w:rPr>
              <w:t>2,472</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106"/>
              <w:spacing w:after="0"/>
              <w:rPr>
                <w:sz w:val="20"/>
                <w:szCs w:val="20"/>
                <w:color w:val="auto"/>
              </w:rPr>
            </w:pPr>
            <w:r>
              <w:rPr>
                <w:rFonts w:ascii="Arial" w:cs="Arial" w:eastAsia="Arial" w:hAnsi="Arial"/>
                <w:sz w:val="12"/>
                <w:szCs w:val="12"/>
                <w:color w:val="auto"/>
              </w:rPr>
              <w:t>8,585</w:t>
            </w:r>
          </w:p>
        </w:tc>
        <w:tc>
          <w:tcPr>
            <w:tcW w:w="6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43"/>
              <w:spacing w:after="0"/>
              <w:rPr>
                <w:sz w:val="20"/>
                <w:szCs w:val="20"/>
                <w:color w:val="auto"/>
              </w:rPr>
            </w:pPr>
            <w:r>
              <w:rPr>
                <w:rFonts w:ascii="Arial" w:cs="Arial" w:eastAsia="Arial" w:hAnsi="Arial"/>
                <w:sz w:val="12"/>
                <w:szCs w:val="12"/>
                <w:color w:val="auto"/>
              </w:rPr>
              <w:t>(6,747)</w:t>
            </w:r>
          </w:p>
        </w:tc>
        <w:tc>
          <w:tcPr>
            <w:tcW w:w="4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43"/>
              <w:spacing w:after="0"/>
              <w:rPr>
                <w:sz w:val="20"/>
                <w:szCs w:val="20"/>
                <w:color w:val="auto"/>
              </w:rPr>
            </w:pPr>
            <w:r>
              <w:rPr>
                <w:rFonts w:ascii="Arial" w:cs="Arial" w:eastAsia="Arial" w:hAnsi="Arial"/>
                <w:sz w:val="12"/>
                <w:szCs w:val="12"/>
                <w:color w:val="auto"/>
              </w:rPr>
              <w:t>4,310</w:t>
            </w: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2017</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4,310</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9,948</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(7,080)</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7,178</w:t>
            </w:r>
          </w:p>
        </w:tc>
      </w:tr>
      <w:tr>
        <w:trPr>
          <w:trHeight w:val="171"/>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Valuation allowance for deferred tax assets:</w:t>
            </w: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2015</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32,498</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(813)</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31,685</w:t>
            </w:r>
          </w:p>
        </w:tc>
      </w:tr>
      <w:tr>
        <w:trPr>
          <w:trHeight w:val="171"/>
        </w:trPr>
        <w:tc>
          <w:tcPr>
            <w:tcW w:w="3320" w:type="dxa"/>
            <w:vAlign w:val="bottom"/>
          </w:tcPr>
          <w:p>
            <w:pPr>
              <w:ind w:left="240"/>
              <w:spacing w:after="0"/>
              <w:rPr>
                <w:sz w:val="20"/>
                <w:szCs w:val="20"/>
                <w:color w:val="auto"/>
              </w:rPr>
            </w:pPr>
            <w:r>
              <w:rPr>
                <w:rFonts w:ascii="Arial" w:cs="Arial" w:eastAsia="Arial" w:hAnsi="Arial"/>
                <w:sz w:val="12"/>
                <w:szCs w:val="12"/>
                <w:color w:val="auto"/>
              </w:rPr>
              <w:t>Year ended December 31, 2016</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64"/>
              <w:spacing w:after="0"/>
              <w:rPr>
                <w:sz w:val="20"/>
                <w:szCs w:val="20"/>
                <w:color w:val="auto"/>
              </w:rPr>
            </w:pPr>
            <w:r>
              <w:rPr>
                <w:rFonts w:ascii="Arial" w:cs="Arial" w:eastAsia="Arial" w:hAnsi="Arial"/>
                <w:sz w:val="12"/>
                <w:szCs w:val="12"/>
                <w:color w:val="auto"/>
              </w:rPr>
              <w:t>31,685</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820" w:type="dxa"/>
            <w:vAlign w:val="bottom"/>
          </w:tcPr>
          <w:p>
            <w:pPr>
              <w:jc w:val="right"/>
              <w:ind w:right="66"/>
              <w:spacing w:after="0"/>
              <w:rPr>
                <w:sz w:val="20"/>
                <w:szCs w:val="20"/>
                <w:color w:val="auto"/>
              </w:rPr>
            </w:pPr>
            <w:r>
              <w:rPr>
                <w:rFonts w:ascii="Arial" w:cs="Arial" w:eastAsia="Arial" w:hAnsi="Arial"/>
                <w:sz w:val="12"/>
                <w:szCs w:val="12"/>
                <w:color w:val="auto"/>
              </w:rPr>
              <w:t>(31,429)</w:t>
            </w:r>
          </w:p>
        </w:tc>
        <w:tc>
          <w:tcPr>
            <w:tcW w:w="6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43"/>
              <w:spacing w:after="0"/>
              <w:rPr>
                <w:sz w:val="20"/>
                <w:szCs w:val="20"/>
                <w:color w:val="auto"/>
              </w:rPr>
            </w:pPr>
            <w:r>
              <w:rPr>
                <w:rFonts w:ascii="Arial" w:cs="Arial" w:eastAsia="Arial" w:hAnsi="Arial"/>
                <w:sz w:val="12"/>
                <w:szCs w:val="12"/>
                <w:color w:val="auto"/>
              </w:rPr>
              <w:t>256</w:t>
            </w:r>
          </w:p>
        </w:tc>
      </w:tr>
      <w:tr>
        <w:trPr>
          <w:trHeight w:val="189"/>
        </w:trPr>
        <w:tc>
          <w:tcPr>
            <w:tcW w:w="3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Year ended December 31, 2017</w:t>
            </w: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256</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21</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277</w:t>
            </w:r>
          </w:p>
        </w:tc>
      </w:tr>
      <w:tr>
        <w:trPr>
          <w:trHeight w:val="820"/>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526"/>
              <w:spacing w:after="0"/>
              <w:rPr>
                <w:sz w:val="20"/>
                <w:szCs w:val="20"/>
                <w:color w:val="auto"/>
              </w:rPr>
            </w:pPr>
            <w:r>
              <w:rPr>
                <w:rFonts w:ascii="Arial" w:cs="Arial" w:eastAsia="Arial" w:hAnsi="Arial"/>
                <w:sz w:val="12"/>
                <w:szCs w:val="12"/>
                <w:color w:val="auto"/>
              </w:rPr>
              <w:t>97</w:t>
            </w: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88"/>
          </w:cols>
          <w:pgMar w:left="212" w:top="433" w:right="199" w:bottom="1440" w:gutter="0" w:footer="0" w:header="0"/>
        </w:sectPr>
      </w:pPr>
    </w:p>
    <w:bookmarkStart w:id="97" w:name="page98"/>
    <w:bookmarkEnd w:id="97"/>
    <w:p>
      <w:pPr>
        <w:ind w:left="428" w:hanging="428"/>
        <w:spacing w:after="0"/>
        <w:tabs>
          <w:tab w:leader="none" w:pos="428"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following Exhibits are included in this Annual Report on Form 10-K:</w:t>
      </w:r>
    </w:p>
    <w:p>
      <w:pPr>
        <w:spacing w:after="0" w:line="9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6"/>
          </w:tcPr>
          <w:p>
            <w:pPr>
              <w:jc w:val="center"/>
              <w:ind w:right="120"/>
              <w:spacing w:after="0"/>
              <w:rPr>
                <w:sz w:val="20"/>
                <w:szCs w:val="20"/>
                <w:color w:val="auto"/>
              </w:rPr>
            </w:pPr>
            <w:r>
              <w:rPr>
                <w:rFonts w:ascii="Arial" w:cs="Arial" w:eastAsia="Arial" w:hAnsi="Arial"/>
                <w:sz w:val="10"/>
                <w:szCs w:val="10"/>
                <w:b w:val="1"/>
                <w:bCs w:val="1"/>
                <w:color w:val="auto"/>
                <w:w w:val="95"/>
              </w:rPr>
              <w:t>Exhibit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top w:val="single" w:sz="8" w:color="auto"/>
              <w:bottom w:val="single" w:sz="8" w:color="auto"/>
            </w:tcBorders>
            <w:gridSpan w:val="3"/>
          </w:tcPr>
          <w:p>
            <w:pPr>
              <w:jc w:val="center"/>
              <w:spacing w:after="0" w:line="79" w:lineRule="exact"/>
              <w:rPr>
                <w:sz w:val="20"/>
                <w:szCs w:val="20"/>
                <w:color w:val="auto"/>
              </w:rPr>
            </w:pPr>
            <w:r>
              <w:rPr>
                <w:rFonts w:ascii="Arial" w:cs="Arial" w:eastAsia="Arial" w:hAnsi="Arial"/>
                <w:sz w:val="8"/>
                <w:szCs w:val="8"/>
                <w:b w:val="1"/>
                <w:bCs w:val="1"/>
                <w:color w:val="auto"/>
              </w:rPr>
              <w:t>Number</w:t>
            </w: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700" w:type="dxa"/>
            <w:vAlign w:val="bottom"/>
            <w:gridSpan w:val="7"/>
            <w:vMerge w:val="restart"/>
          </w:tcPr>
          <w:p>
            <w:pPr>
              <w:jc w:val="center"/>
              <w:ind w:right="360"/>
              <w:spacing w:after="0"/>
              <w:rPr>
                <w:sz w:val="20"/>
                <w:szCs w:val="20"/>
                <w:color w:val="auto"/>
              </w:rPr>
            </w:pPr>
            <w:r>
              <w:rPr>
                <w:rFonts w:ascii="Arial" w:cs="Arial" w:eastAsia="Arial" w:hAnsi="Arial"/>
                <w:sz w:val="10"/>
                <w:szCs w:val="10"/>
                <w:b w:val="1"/>
                <w:bCs w:val="1"/>
                <w:color w:val="auto"/>
                <w:w w:val="89"/>
              </w:rPr>
              <w:t>Exhibit</w:t>
            </w: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5"/>
          </w:tcPr>
          <w:p>
            <w:pPr>
              <w:jc w:val="center"/>
              <w:spacing w:after="0" w:line="79" w:lineRule="exact"/>
              <w:rPr>
                <w:sz w:val="20"/>
                <w:szCs w:val="20"/>
                <w:color w:val="auto"/>
              </w:rPr>
            </w:pPr>
            <w:r>
              <w:rPr>
                <w:rFonts w:ascii="Arial" w:cs="Arial" w:eastAsia="Arial" w:hAnsi="Arial"/>
                <w:sz w:val="8"/>
                <w:szCs w:val="8"/>
                <w:b w:val="1"/>
                <w:bCs w:val="1"/>
                <w:color w:val="auto"/>
                <w:w w:val="73"/>
              </w:rPr>
              <w:t>Incorporated</w:t>
            </w: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Filed</w:t>
            </w: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700" w:type="dxa"/>
            <w:vAlign w:val="bottom"/>
            <w:gridSpan w:val="7"/>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8"/>
          </w:tcPr>
          <w:p>
            <w:pPr>
              <w:jc w:val="center"/>
              <w:ind w:right="20"/>
              <w:spacing w:after="0" w:line="79" w:lineRule="exact"/>
              <w:rPr>
                <w:sz w:val="20"/>
                <w:szCs w:val="20"/>
                <w:color w:val="auto"/>
              </w:rPr>
            </w:pPr>
            <w:r>
              <w:rPr>
                <w:rFonts w:ascii="Arial" w:cs="Arial" w:eastAsia="Arial" w:hAnsi="Arial"/>
                <w:sz w:val="8"/>
                <w:szCs w:val="8"/>
                <w:b w:val="1"/>
                <w:bCs w:val="1"/>
                <w:color w:val="auto"/>
              </w:rPr>
              <w:t>by Reference</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700" w:type="dxa"/>
            <w:vAlign w:val="bottom"/>
            <w:gridSpan w:val="7"/>
          </w:tcPr>
          <w:p>
            <w:pPr>
              <w:jc w:val="center"/>
              <w:ind w:right="360"/>
              <w:spacing w:after="0" w:line="79" w:lineRule="exact"/>
              <w:rPr>
                <w:sz w:val="20"/>
                <w:szCs w:val="20"/>
                <w:color w:val="auto"/>
              </w:rPr>
            </w:pPr>
            <w:r>
              <w:rPr>
                <w:rFonts w:ascii="Arial" w:cs="Arial" w:eastAsia="Arial" w:hAnsi="Arial"/>
                <w:sz w:val="8"/>
                <w:szCs w:val="8"/>
                <w:b w:val="1"/>
                <w:bCs w:val="1"/>
                <w:color w:val="auto"/>
              </w:rPr>
              <w:t>Number</w:t>
            </w: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100" w:type="dxa"/>
            <w:vAlign w:val="bottom"/>
            <w:gridSpan w:val="17"/>
          </w:tcPr>
          <w:p>
            <w:pPr>
              <w:ind w:left="200"/>
              <w:spacing w:after="0" w:line="79" w:lineRule="exact"/>
              <w:rPr>
                <w:sz w:val="20"/>
                <w:szCs w:val="20"/>
                <w:color w:val="auto"/>
              </w:rPr>
            </w:pPr>
            <w:r>
              <w:rPr>
                <w:rFonts w:ascii="Arial" w:cs="Arial" w:eastAsia="Arial" w:hAnsi="Arial"/>
                <w:sz w:val="8"/>
                <w:szCs w:val="8"/>
                <w:b w:val="1"/>
                <w:bCs w:val="1"/>
                <w:color w:val="auto"/>
              </w:rPr>
              <w:t>Description</w:t>
            </w:r>
          </w:p>
        </w:tc>
        <w:tc>
          <w:tcPr>
            <w:tcW w:w="1600" w:type="dxa"/>
            <w:vAlign w:val="bottom"/>
            <w:gridSpan w:val="3"/>
          </w:tcPr>
          <w:p>
            <w:pPr>
              <w:jc w:val="center"/>
              <w:ind w:right="40"/>
              <w:spacing w:after="0" w:line="79" w:lineRule="exact"/>
              <w:rPr>
                <w:sz w:val="20"/>
                <w:szCs w:val="20"/>
                <w:color w:val="auto"/>
              </w:rPr>
            </w:pPr>
            <w:r>
              <w:rPr>
                <w:rFonts w:ascii="Arial" w:cs="Arial" w:eastAsia="Arial" w:hAnsi="Arial"/>
                <w:sz w:val="8"/>
                <w:szCs w:val="8"/>
                <w:b w:val="1"/>
                <w:bCs w:val="1"/>
                <w:color w:val="auto"/>
              </w:rPr>
              <w:t>Form</w:t>
            </w:r>
          </w:p>
        </w:tc>
        <w:tc>
          <w:tcPr>
            <w:tcW w:w="340" w:type="dxa"/>
            <w:vAlign w:val="bottom"/>
          </w:tcPr>
          <w:p>
            <w:pPr>
              <w:spacing w:after="0"/>
              <w:rPr>
                <w:sz w:val="6"/>
                <w:szCs w:val="6"/>
                <w:color w:val="auto"/>
              </w:rPr>
            </w:pPr>
          </w:p>
        </w:tc>
        <w:tc>
          <w:tcPr>
            <w:tcW w:w="74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gridSpan w:val="4"/>
          </w:tcPr>
          <w:p>
            <w:pPr>
              <w:jc w:val="center"/>
              <w:ind w:right="140"/>
              <w:spacing w:after="0" w:line="79" w:lineRule="exact"/>
              <w:rPr>
                <w:sz w:val="20"/>
                <w:szCs w:val="20"/>
                <w:color w:val="auto"/>
              </w:rPr>
            </w:pPr>
            <w:r>
              <w:rPr>
                <w:rFonts w:ascii="Arial" w:cs="Arial" w:eastAsia="Arial" w:hAnsi="Arial"/>
                <w:sz w:val="8"/>
                <w:szCs w:val="8"/>
                <w:b w:val="1"/>
                <w:bCs w:val="1"/>
                <w:color w:val="auto"/>
                <w:w w:val="99"/>
              </w:rPr>
              <w:t>herein</w:t>
            </w: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6"/>
                <w:szCs w:val="6"/>
                <w:b w:val="1"/>
                <w:bCs w:val="1"/>
                <w:color w:val="auto"/>
                <w:w w:val="72"/>
              </w:rPr>
              <w:t>herewith</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1480" w:type="dxa"/>
            <w:vAlign w:val="bottom"/>
            <w:gridSpan w:val="5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40" w:type="dxa"/>
            <w:vAlign w:val="bottom"/>
            <w:gridSpan w:val="5"/>
            <w:shd w:val="clear" w:color="auto" w:fill="CCEEFF"/>
          </w:tcPr>
          <w:p>
            <w:pPr>
              <w:jc w:val="center"/>
              <w:ind w:left="420"/>
              <w:spacing w:after="0" w:line="135" w:lineRule="exact"/>
              <w:rPr>
                <w:rFonts w:ascii="Arial" w:cs="Arial" w:eastAsia="Arial" w:hAnsi="Arial"/>
                <w:sz w:val="12"/>
                <w:szCs w:val="12"/>
                <w:color w:val="0000FF"/>
                <w:w w:val="95"/>
              </w:rPr>
            </w:pPr>
            <w:hyperlink r:id="rId14">
              <w:r>
                <w:rPr>
                  <w:rFonts w:ascii="Arial" w:cs="Arial" w:eastAsia="Arial" w:hAnsi="Arial"/>
                  <w:sz w:val="12"/>
                  <w:szCs w:val="12"/>
                  <w:color w:val="0000FF"/>
                  <w:w w:val="95"/>
                </w:rPr>
                <w:t>3.</w:t>
              </w:r>
              <w:r>
                <w:rPr>
                  <w:rFonts w:ascii="Arial" w:cs="Arial" w:eastAsia="Arial" w:hAnsi="Arial"/>
                  <w:sz w:val="12"/>
                  <w:szCs w:val="12"/>
                  <w:u w:val="single" w:color="auto"/>
                  <w:color w:val="0000FF"/>
                  <w:w w:val="95"/>
                </w:rPr>
                <w:t>1</w:t>
              </w:r>
            </w:hyperlink>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20" w:type="dxa"/>
            <w:vAlign w:val="bottom"/>
            <w:gridSpan w:val="27"/>
            <w:shd w:val="clear" w:color="auto" w:fill="CCEEFF"/>
          </w:tcPr>
          <w:p>
            <w:pPr>
              <w:spacing w:after="0" w:line="135" w:lineRule="exact"/>
              <w:rPr>
                <w:rFonts w:ascii="Arial" w:cs="Arial" w:eastAsia="Arial" w:hAnsi="Arial"/>
                <w:sz w:val="12"/>
                <w:szCs w:val="12"/>
                <w:color w:val="0000FF"/>
              </w:rPr>
            </w:pPr>
            <w:hyperlink r:id="rId14">
              <w:r>
                <w:rPr>
                  <w:rFonts w:ascii="Arial" w:cs="Arial" w:eastAsia="Arial" w:hAnsi="Arial"/>
                  <w:sz w:val="12"/>
                  <w:szCs w:val="12"/>
                  <w:color w:val="0000FF"/>
                </w:rPr>
                <w:t>Amended and Restated Certificate of Incorporation of registrant</w:t>
              </w:r>
            </w:hyperlink>
          </w:p>
        </w:tc>
        <w:tc>
          <w:tcPr>
            <w:tcW w:w="16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9"/>
              </w:rPr>
              <w:t>Form S-1, as amended (File</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3"/>
              </w:rPr>
              <w:t>12/28/2000</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95"/>
              </w:rPr>
              <w:t>3.1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3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2"/>
                <w:szCs w:val="12"/>
                <w:color w:val="auto"/>
                <w:w w:val="91"/>
              </w:rPr>
              <w:t>No. 333-49932)</w:t>
            </w: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0" w:type="dxa"/>
            <w:vAlign w:val="bottom"/>
            <w:gridSpan w:val="5"/>
          </w:tcPr>
          <w:p>
            <w:pPr>
              <w:jc w:val="center"/>
              <w:ind w:left="420"/>
              <w:spacing w:after="0" w:line="135" w:lineRule="exact"/>
              <w:rPr>
                <w:rFonts w:ascii="Arial" w:cs="Arial" w:eastAsia="Arial" w:hAnsi="Arial"/>
                <w:sz w:val="12"/>
                <w:szCs w:val="12"/>
                <w:color w:val="0000FF"/>
                <w:w w:val="95"/>
              </w:rPr>
            </w:pPr>
            <w:hyperlink r:id="rId15">
              <w:r>
                <w:rPr>
                  <w:rFonts w:ascii="Arial" w:cs="Arial" w:eastAsia="Arial" w:hAnsi="Arial"/>
                  <w:sz w:val="12"/>
                  <w:szCs w:val="12"/>
                  <w:color w:val="0000FF"/>
                  <w:w w:val="95"/>
                </w:rPr>
                <w:t>3.</w:t>
              </w:r>
              <w:r>
                <w:rPr>
                  <w:rFonts w:ascii="Arial" w:cs="Arial" w:eastAsia="Arial" w:hAnsi="Arial"/>
                  <w:sz w:val="12"/>
                  <w:szCs w:val="12"/>
                  <w:u w:val="single" w:color="auto"/>
                  <w:color w:val="0000FF"/>
                  <w:w w:val="95"/>
                </w:rPr>
                <w:t>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20" w:type="dxa"/>
            <w:vAlign w:val="bottom"/>
            <w:gridSpan w:val="27"/>
          </w:tcPr>
          <w:p>
            <w:pPr>
              <w:spacing w:after="0" w:line="135" w:lineRule="exact"/>
              <w:rPr>
                <w:rFonts w:ascii="Arial" w:cs="Arial" w:eastAsia="Arial" w:hAnsi="Arial"/>
                <w:sz w:val="12"/>
                <w:szCs w:val="12"/>
                <w:color w:val="0000FF"/>
              </w:rPr>
            </w:pPr>
            <w:hyperlink r:id="rId15">
              <w:r>
                <w:rPr>
                  <w:rFonts w:ascii="Arial" w:cs="Arial" w:eastAsia="Arial" w:hAnsi="Arial"/>
                  <w:sz w:val="12"/>
                  <w:szCs w:val="12"/>
                  <w:color w:val="0000FF"/>
                </w:rPr>
                <w:t>Amended and Restated Bylaws of registrant</w:t>
              </w:r>
            </w:hyperlink>
          </w:p>
        </w:tc>
        <w:tc>
          <w:tcPr>
            <w:tcW w:w="1600" w:type="dxa"/>
            <w:vAlign w:val="bottom"/>
            <w:gridSpan w:val="3"/>
          </w:tcPr>
          <w:p>
            <w:pPr>
              <w:jc w:val="center"/>
              <w:ind w:right="40"/>
              <w:spacing w:after="0" w:line="135" w:lineRule="exact"/>
              <w:rPr>
                <w:sz w:val="20"/>
                <w:szCs w:val="20"/>
                <w:color w:val="auto"/>
              </w:rPr>
            </w:pPr>
            <w:r>
              <w:rPr>
                <w:rFonts w:ascii="Arial" w:cs="Arial" w:eastAsia="Arial" w:hAnsi="Arial"/>
                <w:sz w:val="12"/>
                <w:szCs w:val="12"/>
                <w:color w:val="auto"/>
                <w:w w:val="95"/>
              </w:rPr>
              <w:t>Form 8-K</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2/29/2012</w:t>
            </w:r>
          </w:p>
        </w:tc>
        <w:tc>
          <w:tcPr>
            <w:tcW w:w="740" w:type="dxa"/>
            <w:vAlign w:val="bottom"/>
            <w:gridSpan w:val="6"/>
          </w:tcPr>
          <w:p>
            <w:pPr>
              <w:jc w:val="center"/>
              <w:ind w:left="440"/>
              <w:spacing w:after="0" w:line="135" w:lineRule="exact"/>
              <w:rPr>
                <w:sz w:val="20"/>
                <w:szCs w:val="20"/>
                <w:color w:val="auto"/>
              </w:rPr>
            </w:pPr>
            <w:r>
              <w:rPr>
                <w:rFonts w:ascii="Arial" w:cs="Arial" w:eastAsia="Arial" w:hAnsi="Arial"/>
                <w:sz w:val="12"/>
                <w:szCs w:val="12"/>
                <w:color w:val="auto"/>
                <w:w w:val="95"/>
              </w:rPr>
              <w:t>3.2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80" w:type="dxa"/>
            <w:vAlign w:val="bottom"/>
            <w:gridSpan w:val="4"/>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0" w:type="dxa"/>
            <w:vAlign w:val="bottom"/>
            <w:gridSpan w:val="3"/>
          </w:tcPr>
          <w:p>
            <w:pPr>
              <w:spacing w:after="0"/>
              <w:rPr>
                <w:sz w:val="2"/>
                <w:szCs w:val="2"/>
                <w:color w:val="auto"/>
              </w:rPr>
            </w:pPr>
          </w:p>
        </w:tc>
        <w:tc>
          <w:tcPr>
            <w:tcW w:w="2120" w:type="dxa"/>
            <w:vAlign w:val="bottom"/>
            <w:tcBorders>
              <w:top w:val="single" w:sz="8" w:color="0000FF"/>
            </w:tcBorders>
            <w:gridSpan w:val="5"/>
          </w:tcPr>
          <w:p>
            <w:pPr>
              <w:spacing w:after="0"/>
              <w:rPr>
                <w:sz w:val="2"/>
                <w:szCs w:val="2"/>
                <w:color w:val="auto"/>
              </w:rPr>
            </w:pPr>
          </w:p>
        </w:tc>
        <w:tc>
          <w:tcPr>
            <w:tcW w:w="8320" w:type="dxa"/>
            <w:vAlign w:val="bottom"/>
            <w:gridSpan w:val="4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40" w:type="dxa"/>
            <w:vAlign w:val="bottom"/>
            <w:gridSpan w:val="5"/>
            <w:shd w:val="clear" w:color="auto" w:fill="CCEEFF"/>
          </w:tcPr>
          <w:p>
            <w:pPr>
              <w:jc w:val="center"/>
              <w:ind w:left="420"/>
              <w:spacing w:after="0" w:line="135" w:lineRule="exact"/>
              <w:rPr>
                <w:rFonts w:ascii="Arial" w:cs="Arial" w:eastAsia="Arial" w:hAnsi="Arial"/>
                <w:sz w:val="12"/>
                <w:szCs w:val="12"/>
                <w:color w:val="0000FF"/>
                <w:w w:val="95"/>
              </w:rPr>
            </w:pPr>
            <w:hyperlink r:id="rId16">
              <w:r>
                <w:rPr>
                  <w:rFonts w:ascii="Arial" w:cs="Arial" w:eastAsia="Arial" w:hAnsi="Arial"/>
                  <w:sz w:val="12"/>
                  <w:szCs w:val="12"/>
                  <w:color w:val="0000FF"/>
                  <w:w w:val="95"/>
                </w:rPr>
                <w:t>4.</w:t>
              </w:r>
              <w:r>
                <w:rPr>
                  <w:rFonts w:ascii="Arial" w:cs="Arial" w:eastAsia="Arial" w:hAnsi="Arial"/>
                  <w:sz w:val="12"/>
                  <w:szCs w:val="12"/>
                  <w:u w:val="single" w:color="auto"/>
                  <w:color w:val="0000FF"/>
                  <w:w w:val="95"/>
                </w:rPr>
                <w:t>1</w:t>
              </w:r>
            </w:hyperlink>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20" w:type="dxa"/>
            <w:vAlign w:val="bottom"/>
            <w:gridSpan w:val="27"/>
            <w:shd w:val="clear" w:color="auto" w:fill="CCEEFF"/>
          </w:tcPr>
          <w:p>
            <w:pPr>
              <w:spacing w:after="0" w:line="135" w:lineRule="exact"/>
              <w:rPr>
                <w:rFonts w:ascii="Arial" w:cs="Arial" w:eastAsia="Arial" w:hAnsi="Arial"/>
                <w:sz w:val="12"/>
                <w:szCs w:val="12"/>
                <w:color w:val="0000FF"/>
              </w:rPr>
            </w:pPr>
            <w:hyperlink r:id="rId16">
              <w:r>
                <w:rPr>
                  <w:rFonts w:ascii="Arial" w:cs="Arial" w:eastAsia="Arial" w:hAnsi="Arial"/>
                  <w:sz w:val="12"/>
                  <w:szCs w:val="12"/>
                  <w:color w:val="0000FF"/>
                </w:rPr>
                <w:t>Form of Specimen Common Stock Certificate</w:t>
              </w:r>
            </w:hyperlink>
          </w:p>
        </w:tc>
        <w:tc>
          <w:tcPr>
            <w:tcW w:w="16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89"/>
              </w:rPr>
              <w:t>Form S-1, as amended (File</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1/17/2001</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95"/>
              </w:rPr>
              <w:t>4.1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3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2"/>
                <w:szCs w:val="12"/>
                <w:color w:val="auto"/>
                <w:w w:val="91"/>
              </w:rPr>
              <w:t>No. 333-49932)</w:t>
            </w: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00" w:type="dxa"/>
            <w:vAlign w:val="bottom"/>
            <w:gridSpan w:val="7"/>
          </w:tcPr>
          <w:p>
            <w:pPr>
              <w:jc w:val="center"/>
              <w:ind w:right="360"/>
              <w:spacing w:after="0" w:line="135" w:lineRule="exact"/>
              <w:rPr>
                <w:rFonts w:ascii="Arial" w:cs="Arial" w:eastAsia="Arial" w:hAnsi="Arial"/>
                <w:sz w:val="12"/>
                <w:szCs w:val="12"/>
                <w:color w:val="0000FF"/>
                <w:w w:val="86"/>
              </w:rPr>
            </w:pPr>
            <w:hyperlink r:id="rId17">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w:t>
              </w:r>
            </w:hyperlink>
          </w:p>
        </w:tc>
        <w:tc>
          <w:tcPr>
            <w:tcW w:w="5420" w:type="dxa"/>
            <w:vAlign w:val="bottom"/>
            <w:gridSpan w:val="27"/>
          </w:tcPr>
          <w:p>
            <w:pPr>
              <w:spacing w:after="0" w:line="135" w:lineRule="exact"/>
              <w:rPr>
                <w:rFonts w:ascii="Arial" w:cs="Arial" w:eastAsia="Arial" w:hAnsi="Arial"/>
                <w:sz w:val="12"/>
                <w:szCs w:val="12"/>
                <w:color w:val="0000FF"/>
              </w:rPr>
            </w:pPr>
            <w:hyperlink r:id="rId17">
              <w:r>
                <w:rPr>
                  <w:rFonts w:ascii="Arial" w:cs="Arial" w:eastAsia="Arial" w:hAnsi="Arial"/>
                  <w:sz w:val="12"/>
                  <w:szCs w:val="12"/>
                  <w:color w:val="0000FF"/>
                </w:rPr>
                <w:t>Registrant's 2005 Incentive Plan (as amended May 2016)</w:t>
              </w:r>
            </w:hyperlink>
          </w:p>
        </w:tc>
        <w:tc>
          <w:tcPr>
            <w:tcW w:w="1600" w:type="dxa"/>
            <w:vAlign w:val="bottom"/>
            <w:gridSpan w:val="3"/>
          </w:tcPr>
          <w:p>
            <w:pPr>
              <w:jc w:val="center"/>
              <w:ind w:right="60"/>
              <w:spacing w:after="0" w:line="135" w:lineRule="exact"/>
              <w:rPr>
                <w:sz w:val="20"/>
                <w:szCs w:val="20"/>
                <w:color w:val="auto"/>
              </w:rPr>
            </w:pPr>
            <w:r>
              <w:rPr>
                <w:rFonts w:ascii="Arial" w:cs="Arial" w:eastAsia="Arial" w:hAnsi="Arial"/>
                <w:sz w:val="12"/>
                <w:szCs w:val="12"/>
                <w:color w:val="auto"/>
                <w:w w:val="95"/>
              </w:rPr>
              <w:t>Form 10-K</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2/28/2017</w:t>
            </w:r>
          </w:p>
        </w:tc>
        <w:tc>
          <w:tcPr>
            <w:tcW w:w="740" w:type="dxa"/>
            <w:vAlign w:val="bottom"/>
            <w:gridSpan w:val="6"/>
          </w:tcPr>
          <w:p>
            <w:pPr>
              <w:jc w:val="center"/>
              <w:ind w:left="440"/>
              <w:spacing w:after="0" w:line="135" w:lineRule="exact"/>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80" w:type="dxa"/>
            <w:vAlign w:val="bottom"/>
            <w:gridSpan w:val="2"/>
          </w:tcPr>
          <w:p>
            <w:pPr>
              <w:spacing w:after="0"/>
              <w:rPr>
                <w:sz w:val="2"/>
                <w:szCs w:val="2"/>
                <w:color w:val="auto"/>
              </w:rPr>
            </w:pPr>
          </w:p>
        </w:tc>
        <w:tc>
          <w:tcPr>
            <w:tcW w:w="260" w:type="dxa"/>
            <w:vAlign w:val="bottom"/>
            <w:tcBorders>
              <w:top w:val="single" w:sz="8" w:color="0000FF"/>
            </w:tcBorders>
            <w:gridSpan w:val="3"/>
          </w:tcPr>
          <w:p>
            <w:pPr>
              <w:spacing w:after="0"/>
              <w:rPr>
                <w:sz w:val="2"/>
                <w:szCs w:val="2"/>
                <w:color w:val="auto"/>
              </w:rPr>
            </w:pPr>
          </w:p>
        </w:tc>
        <w:tc>
          <w:tcPr>
            <w:tcW w:w="400" w:type="dxa"/>
            <w:vAlign w:val="bottom"/>
            <w:gridSpan w:val="3"/>
          </w:tcPr>
          <w:p>
            <w:pPr>
              <w:spacing w:after="0"/>
              <w:rPr>
                <w:sz w:val="2"/>
                <w:szCs w:val="2"/>
                <w:color w:val="auto"/>
              </w:rPr>
            </w:pPr>
          </w:p>
        </w:tc>
        <w:tc>
          <w:tcPr>
            <w:tcW w:w="2760" w:type="dxa"/>
            <w:vAlign w:val="bottom"/>
            <w:tcBorders>
              <w:top w:val="single" w:sz="8" w:color="0000FF"/>
            </w:tcBorders>
            <w:gridSpan w:val="14"/>
          </w:tcPr>
          <w:p>
            <w:pPr>
              <w:spacing w:after="0"/>
              <w:rPr>
                <w:sz w:val="2"/>
                <w:szCs w:val="2"/>
                <w:color w:val="auto"/>
              </w:rPr>
            </w:pPr>
          </w:p>
        </w:tc>
        <w:tc>
          <w:tcPr>
            <w:tcW w:w="7680" w:type="dxa"/>
            <w:vAlign w:val="bottom"/>
            <w:gridSpan w:val="3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700" w:type="dxa"/>
            <w:vAlign w:val="bottom"/>
            <w:gridSpan w:val="7"/>
            <w:shd w:val="clear" w:color="auto" w:fill="CCEEFF"/>
          </w:tcPr>
          <w:p>
            <w:pPr>
              <w:jc w:val="center"/>
              <w:ind w:right="360"/>
              <w:spacing w:after="0" w:line="135" w:lineRule="exact"/>
              <w:rPr>
                <w:rFonts w:ascii="Arial" w:cs="Arial" w:eastAsia="Arial" w:hAnsi="Arial"/>
                <w:sz w:val="12"/>
                <w:szCs w:val="12"/>
                <w:color w:val="0000FF"/>
                <w:w w:val="86"/>
              </w:rPr>
            </w:pPr>
            <w:hyperlink r:id="rId18">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w:t>
              </w:r>
            </w:hyperlink>
          </w:p>
        </w:tc>
        <w:tc>
          <w:tcPr>
            <w:tcW w:w="5420" w:type="dxa"/>
            <w:vAlign w:val="bottom"/>
            <w:gridSpan w:val="27"/>
            <w:shd w:val="clear" w:color="auto" w:fill="CCEEFF"/>
          </w:tcPr>
          <w:p>
            <w:pPr>
              <w:spacing w:after="0" w:line="135" w:lineRule="exact"/>
              <w:rPr>
                <w:rFonts w:ascii="Arial" w:cs="Arial" w:eastAsia="Arial" w:hAnsi="Arial"/>
                <w:sz w:val="12"/>
                <w:szCs w:val="12"/>
                <w:color w:val="0000FF"/>
                <w:w w:val="97"/>
              </w:rPr>
            </w:pPr>
            <w:hyperlink r:id="rId18">
              <w:r>
                <w:rPr>
                  <w:rFonts w:ascii="Arial" w:cs="Arial" w:eastAsia="Arial" w:hAnsi="Arial"/>
                  <w:sz w:val="12"/>
                  <w:szCs w:val="12"/>
                  <w:color w:val="0000FF"/>
                  <w:w w:val="97"/>
                </w:rPr>
                <w:t>Form of RSU agreement under Registrant's 2005 Incentive Plan (Officer Form for officers appointed after</w:t>
              </w:r>
            </w:hyperlink>
          </w:p>
        </w:tc>
        <w:tc>
          <w:tcPr>
            <w:tcW w:w="16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5"/>
              </w:rPr>
              <w:t>Form 10-K</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2/28/2017</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100" w:type="dxa"/>
            <w:vAlign w:val="bottom"/>
            <w:tcBorders>
              <w:top w:val="single" w:sz="8" w:color="0000FF"/>
            </w:tcBorders>
            <w:gridSpan w:val="19"/>
            <w:shd w:val="clear" w:color="auto" w:fill="CCEEFF"/>
          </w:tcPr>
          <w:p>
            <w:pPr>
              <w:spacing w:after="0" w:line="124" w:lineRule="exact"/>
              <w:rPr>
                <w:rFonts w:ascii="Arial" w:cs="Arial" w:eastAsia="Arial" w:hAnsi="Arial"/>
                <w:sz w:val="12"/>
                <w:szCs w:val="12"/>
                <w:color w:val="0000FF"/>
              </w:rPr>
            </w:pPr>
            <w:hyperlink r:id="rId18">
              <w:r>
                <w:rPr>
                  <w:rFonts w:ascii="Arial" w:cs="Arial" w:eastAsia="Arial" w:hAnsi="Arial"/>
                  <w:sz w:val="12"/>
                  <w:szCs w:val="12"/>
                  <w:color w:val="0000FF"/>
                </w:rPr>
                <w:t>September 2016)</w:t>
              </w:r>
            </w:hyperlink>
          </w:p>
        </w:tc>
        <w:tc>
          <w:tcPr>
            <w:tcW w:w="320" w:type="dxa"/>
            <w:vAlign w:val="bottom"/>
            <w:tcBorders>
              <w:top w:val="single" w:sz="8" w:color="CCEEFF"/>
            </w:tcBorders>
            <w:gridSpan w:val="8"/>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40" w:type="dxa"/>
            <w:vAlign w:val="bottom"/>
            <w:tcBorders>
              <w:top w:val="single" w:sz="8" w:color="CCEEFF"/>
            </w:tcBorders>
            <w:gridSpan w:val="8"/>
            <w:shd w:val="clear" w:color="auto" w:fill="CCEEFF"/>
          </w:tcPr>
          <w:p>
            <w:pPr>
              <w:spacing w:after="0"/>
              <w:rPr>
                <w:sz w:val="2"/>
                <w:szCs w:val="2"/>
                <w:color w:val="auto"/>
              </w:rPr>
            </w:pPr>
          </w:p>
        </w:tc>
        <w:tc>
          <w:tcPr>
            <w:tcW w:w="820" w:type="dxa"/>
            <w:vAlign w:val="bottom"/>
            <w:tcBorders>
              <w:top w:val="single" w:sz="8" w:color="0000FF"/>
            </w:tcBorders>
            <w:gridSpan w:val="4"/>
            <w:shd w:val="clear" w:color="auto" w:fill="CCEEFF"/>
          </w:tcPr>
          <w:p>
            <w:pPr>
              <w:spacing w:after="0"/>
              <w:rPr>
                <w:sz w:val="2"/>
                <w:szCs w:val="2"/>
                <w:color w:val="auto"/>
              </w:rPr>
            </w:pPr>
          </w:p>
        </w:tc>
        <w:tc>
          <w:tcPr>
            <w:tcW w:w="9620" w:type="dxa"/>
            <w:vAlign w:val="bottom"/>
            <w:tcBorders>
              <w:top w:val="single" w:sz="8" w:color="CCEEFF"/>
            </w:tcBorders>
            <w:gridSpan w:val="44"/>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40" w:type="dxa"/>
            <w:vAlign w:val="bottom"/>
            <w:tcBorders>
              <w:bottom w:val="single" w:sz="8" w:color="0000FF"/>
            </w:tcBorders>
            <w:gridSpan w:val="22"/>
          </w:tcPr>
          <w:p>
            <w:pPr>
              <w:spacing w:after="0" w:line="135" w:lineRule="exact"/>
              <w:rPr>
                <w:rFonts w:ascii="Arial" w:cs="Arial" w:eastAsia="Arial" w:hAnsi="Arial"/>
                <w:sz w:val="12"/>
                <w:szCs w:val="12"/>
                <w:color w:val="0000FF"/>
                <w:w w:val="91"/>
              </w:rPr>
            </w:pPr>
            <w:hyperlink r:id="rId19">
              <w:r>
                <w:rPr>
                  <w:rFonts w:ascii="Arial" w:cs="Arial" w:eastAsia="Arial" w:hAnsi="Arial"/>
                  <w:sz w:val="12"/>
                  <w:szCs w:val="12"/>
                  <w:color w:val="0000FF"/>
                  <w:w w:val="91"/>
                </w:rPr>
                <w:t>Form of RSU agreement under Registrant's 2005 Incentive Plan (Officer Form for officers appointed prior to</w:t>
              </w:r>
            </w:hyperlink>
          </w:p>
        </w:tc>
        <w:tc>
          <w:tcPr>
            <w:tcW w:w="180" w:type="dxa"/>
            <w:vAlign w:val="bottom"/>
            <w:gridSpan w:val="5"/>
          </w:tcPr>
          <w:p>
            <w:pPr>
              <w:spacing w:after="0"/>
              <w:rPr>
                <w:sz w:val="11"/>
                <w:szCs w:val="11"/>
                <w:color w:val="auto"/>
              </w:rPr>
            </w:pPr>
          </w:p>
        </w:tc>
        <w:tc>
          <w:tcPr>
            <w:tcW w:w="1600" w:type="dxa"/>
            <w:vAlign w:val="bottom"/>
            <w:gridSpan w:val="3"/>
          </w:tcPr>
          <w:p>
            <w:pPr>
              <w:jc w:val="center"/>
              <w:ind w:right="60"/>
              <w:spacing w:after="0" w:line="135" w:lineRule="exact"/>
              <w:rPr>
                <w:sz w:val="20"/>
                <w:szCs w:val="20"/>
                <w:color w:val="auto"/>
              </w:rPr>
            </w:pPr>
            <w:r>
              <w:rPr>
                <w:rFonts w:ascii="Arial" w:cs="Arial" w:eastAsia="Arial" w:hAnsi="Arial"/>
                <w:sz w:val="12"/>
                <w:szCs w:val="12"/>
                <w:color w:val="auto"/>
                <w:w w:val="95"/>
              </w:rPr>
              <w:t>Form 10-K</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2/28/2017</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6"/>
          </w:tcPr>
          <w:p>
            <w:pPr>
              <w:jc w:val="center"/>
              <w:ind w:right="120"/>
              <w:spacing w:after="0" w:line="135" w:lineRule="exact"/>
              <w:rPr>
                <w:sz w:val="20"/>
                <w:szCs w:val="20"/>
                <w:color w:val="auto"/>
              </w:rPr>
            </w:pPr>
            <w:r>
              <w:rPr>
                <w:rFonts w:ascii="Arial" w:cs="Arial" w:eastAsia="Arial" w:hAnsi="Arial"/>
                <w:sz w:val="12"/>
                <w:szCs w:val="12"/>
                <w:color w:val="auto"/>
                <w:w w:val="89"/>
              </w:rPr>
              <w:t>10.2A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700" w:type="dxa"/>
            <w:vAlign w:val="bottom"/>
            <w:gridSpan w:val="7"/>
          </w:tcPr>
          <w:p>
            <w:pPr>
              <w:jc w:val="center"/>
              <w:ind w:right="360"/>
              <w:spacing w:after="0" w:line="124" w:lineRule="exact"/>
              <w:rPr>
                <w:rFonts w:ascii="Arial" w:cs="Arial" w:eastAsia="Arial" w:hAnsi="Arial"/>
                <w:sz w:val="12"/>
                <w:szCs w:val="12"/>
                <w:color w:val="0000FF"/>
                <w:w w:val="89"/>
              </w:rPr>
            </w:pPr>
            <w:hyperlink r:id="rId19">
              <w:r>
                <w:rPr>
                  <w:rFonts w:ascii="Arial" w:cs="Arial" w:eastAsia="Arial" w:hAnsi="Arial"/>
                  <w:sz w:val="12"/>
                  <w:szCs w:val="12"/>
                  <w:color w:val="0000FF"/>
                  <w:w w:val="89"/>
                </w:rPr>
                <w:t>10.</w:t>
              </w:r>
              <w:r>
                <w:rPr>
                  <w:rFonts w:ascii="Arial" w:cs="Arial" w:eastAsia="Arial" w:hAnsi="Arial"/>
                  <w:sz w:val="12"/>
                  <w:szCs w:val="12"/>
                  <w:u w:val="single" w:color="auto"/>
                  <w:color w:val="0000FF"/>
                  <w:w w:val="89"/>
                </w:rPr>
                <w:t>2A†</w:t>
              </w:r>
            </w:hyperlink>
          </w:p>
        </w:tc>
        <w:tc>
          <w:tcPr>
            <w:tcW w:w="5420" w:type="dxa"/>
            <w:vAlign w:val="bottom"/>
            <w:gridSpan w:val="27"/>
          </w:tcPr>
          <w:p>
            <w:pPr>
              <w:spacing w:after="0" w:line="124" w:lineRule="exact"/>
              <w:rPr>
                <w:rFonts w:ascii="Arial" w:cs="Arial" w:eastAsia="Arial" w:hAnsi="Arial"/>
                <w:sz w:val="12"/>
                <w:szCs w:val="12"/>
                <w:color w:val="0000FF"/>
              </w:rPr>
            </w:pPr>
            <w:hyperlink r:id="rId19">
              <w:r>
                <w:rPr>
                  <w:rFonts w:ascii="Arial" w:cs="Arial" w:eastAsia="Arial" w:hAnsi="Arial"/>
                  <w:sz w:val="12"/>
                  <w:szCs w:val="12"/>
                  <w:color w:val="0000FF"/>
                </w:rPr>
                <w:t>September 2016)</w:t>
              </w:r>
            </w:hyperlink>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340" w:type="dxa"/>
            <w:vAlign w:val="bottom"/>
            <w:tcBorders>
              <w:top w:val="single" w:sz="8" w:color="0000FF"/>
            </w:tcBorders>
            <w:gridSpan w:val="6"/>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Borders>
              <w:top w:val="single" w:sz="8" w:color="0000FF"/>
            </w:tcBorders>
            <w:gridSpan w:val="4"/>
          </w:tcPr>
          <w:p>
            <w:pPr>
              <w:spacing w:after="0"/>
              <w:rPr>
                <w:sz w:val="2"/>
                <w:szCs w:val="2"/>
                <w:color w:val="auto"/>
              </w:rPr>
            </w:pPr>
          </w:p>
        </w:tc>
        <w:tc>
          <w:tcPr>
            <w:tcW w:w="9620" w:type="dxa"/>
            <w:vAlign w:val="bottom"/>
            <w:gridSpan w:val="4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gridSpan w:val="7"/>
            <w:shd w:val="clear" w:color="auto" w:fill="CCEEFF"/>
          </w:tcPr>
          <w:p>
            <w:pPr>
              <w:jc w:val="center"/>
              <w:ind w:left="380"/>
              <w:spacing w:after="0" w:line="135" w:lineRule="exact"/>
              <w:rPr>
                <w:rFonts w:ascii="Arial" w:cs="Arial" w:eastAsia="Arial" w:hAnsi="Arial"/>
                <w:sz w:val="12"/>
                <w:szCs w:val="12"/>
                <w:color w:val="0000FF"/>
                <w:w w:val="85"/>
              </w:rPr>
            </w:pPr>
            <w:hyperlink r:id="rId20">
              <w:r>
                <w:rPr>
                  <w:rFonts w:ascii="Arial" w:cs="Arial" w:eastAsia="Arial" w:hAnsi="Arial"/>
                  <w:sz w:val="12"/>
                  <w:szCs w:val="12"/>
                  <w:color w:val="0000FF"/>
                  <w:w w:val="85"/>
                </w:rPr>
                <w:t>10.</w:t>
              </w:r>
              <w:r>
                <w:rPr>
                  <w:rFonts w:ascii="Arial" w:cs="Arial" w:eastAsia="Arial" w:hAnsi="Arial"/>
                  <w:sz w:val="12"/>
                  <w:szCs w:val="12"/>
                  <w:u w:val="single" w:color="auto"/>
                  <w:color w:val="0000FF"/>
                  <w:w w:val="85"/>
                </w:rPr>
                <w:t>3</w:t>
              </w:r>
            </w:hyperlink>
          </w:p>
        </w:tc>
        <w:tc>
          <w:tcPr>
            <w:tcW w:w="360" w:type="dxa"/>
            <w:vAlign w:val="bottom"/>
            <w:shd w:val="clear" w:color="auto" w:fill="CCEEFF"/>
          </w:tcPr>
          <w:p>
            <w:pPr>
              <w:spacing w:after="0"/>
              <w:rPr>
                <w:sz w:val="11"/>
                <w:szCs w:val="11"/>
                <w:color w:val="auto"/>
              </w:rPr>
            </w:pPr>
          </w:p>
        </w:tc>
        <w:tc>
          <w:tcPr>
            <w:tcW w:w="5420" w:type="dxa"/>
            <w:vAlign w:val="bottom"/>
            <w:gridSpan w:val="27"/>
            <w:shd w:val="clear" w:color="auto" w:fill="CCEEFF"/>
          </w:tcPr>
          <w:p>
            <w:pPr>
              <w:spacing w:after="0" w:line="135" w:lineRule="exact"/>
              <w:rPr>
                <w:rFonts w:ascii="Arial" w:cs="Arial" w:eastAsia="Arial" w:hAnsi="Arial"/>
                <w:sz w:val="12"/>
                <w:szCs w:val="12"/>
                <w:color w:val="0000FF"/>
              </w:rPr>
            </w:pPr>
            <w:hyperlink r:id="rId20">
              <w:r>
                <w:rPr>
                  <w:rFonts w:ascii="Arial" w:cs="Arial" w:eastAsia="Arial" w:hAnsi="Arial"/>
                  <w:sz w:val="12"/>
                  <w:szCs w:val="12"/>
                  <w:color w:val="0000FF"/>
                </w:rPr>
                <w:t>Align’s 2010 Employee Stock Purchase Plan</w:t>
              </w:r>
            </w:hyperlink>
          </w:p>
        </w:tc>
        <w:tc>
          <w:tcPr>
            <w:tcW w:w="1600" w:type="dxa"/>
            <w:vAlign w:val="bottom"/>
            <w:gridSpan w:val="3"/>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5"/>
              </w:rPr>
              <w:t>Form 8-K</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5/25/2010</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60" w:type="dxa"/>
            <w:vAlign w:val="bottom"/>
            <w:tcBorders>
              <w:top w:val="single" w:sz="8" w:color="CCEEFF"/>
            </w:tcBorders>
            <w:gridSpan w:val="3"/>
            <w:shd w:val="clear" w:color="auto" w:fill="CCEEFF"/>
          </w:tcPr>
          <w:p>
            <w:pPr>
              <w:spacing w:after="0"/>
              <w:rPr>
                <w:sz w:val="2"/>
                <w:szCs w:val="2"/>
                <w:color w:val="auto"/>
              </w:rPr>
            </w:pPr>
          </w:p>
        </w:tc>
        <w:tc>
          <w:tcPr>
            <w:tcW w:w="200" w:type="dxa"/>
            <w:vAlign w:val="bottom"/>
            <w:tcBorders>
              <w:top w:val="single" w:sz="8" w:color="0000FF"/>
            </w:tcBorders>
            <w:gridSpan w:val="3"/>
            <w:shd w:val="clear" w:color="auto" w:fill="CCEEFF"/>
          </w:tcPr>
          <w:p>
            <w:pPr>
              <w:spacing w:after="0"/>
              <w:rPr>
                <w:sz w:val="2"/>
                <w:szCs w:val="2"/>
                <w:color w:val="auto"/>
              </w:rPr>
            </w:pPr>
          </w:p>
        </w:tc>
        <w:tc>
          <w:tcPr>
            <w:tcW w:w="380" w:type="dxa"/>
            <w:vAlign w:val="bottom"/>
            <w:tcBorders>
              <w:top w:val="single" w:sz="8" w:color="CCEEFF"/>
            </w:tcBorders>
            <w:gridSpan w:val="2"/>
            <w:shd w:val="clear" w:color="auto" w:fill="CCEEFF"/>
          </w:tcPr>
          <w:p>
            <w:pPr>
              <w:spacing w:after="0"/>
              <w:rPr>
                <w:sz w:val="2"/>
                <w:szCs w:val="2"/>
                <w:color w:val="auto"/>
              </w:rPr>
            </w:pPr>
          </w:p>
        </w:tc>
        <w:tc>
          <w:tcPr>
            <w:tcW w:w="2160" w:type="dxa"/>
            <w:vAlign w:val="bottom"/>
            <w:tcBorders>
              <w:top w:val="single" w:sz="8" w:color="0000FF"/>
            </w:tcBorders>
            <w:gridSpan w:val="6"/>
            <w:shd w:val="clear" w:color="auto" w:fill="CCEEFF"/>
          </w:tcPr>
          <w:p>
            <w:pPr>
              <w:spacing w:after="0"/>
              <w:rPr>
                <w:sz w:val="2"/>
                <w:szCs w:val="2"/>
                <w:color w:val="auto"/>
              </w:rPr>
            </w:pPr>
          </w:p>
        </w:tc>
        <w:tc>
          <w:tcPr>
            <w:tcW w:w="8280" w:type="dxa"/>
            <w:vAlign w:val="bottom"/>
            <w:tcBorders>
              <w:top w:val="single" w:sz="8" w:color="CCEEFF"/>
            </w:tcBorders>
            <w:gridSpan w:val="4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700" w:type="dxa"/>
            <w:vAlign w:val="bottom"/>
            <w:gridSpan w:val="7"/>
          </w:tcPr>
          <w:p>
            <w:pPr>
              <w:jc w:val="center"/>
              <w:ind w:right="360"/>
              <w:spacing w:after="0" w:line="135" w:lineRule="exact"/>
              <w:rPr>
                <w:rFonts w:ascii="Arial" w:cs="Arial" w:eastAsia="Arial" w:hAnsi="Arial"/>
                <w:sz w:val="12"/>
                <w:szCs w:val="12"/>
                <w:color w:val="0000FF"/>
                <w:w w:val="86"/>
              </w:rPr>
            </w:pPr>
            <w:hyperlink r:id="rId21">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4†</w:t>
              </w:r>
            </w:hyperlink>
          </w:p>
        </w:tc>
        <w:tc>
          <w:tcPr>
            <w:tcW w:w="5420" w:type="dxa"/>
            <w:vAlign w:val="bottom"/>
            <w:gridSpan w:val="27"/>
          </w:tcPr>
          <w:p>
            <w:pPr>
              <w:spacing w:after="0" w:line="135" w:lineRule="exact"/>
              <w:rPr>
                <w:rFonts w:ascii="Arial" w:cs="Arial" w:eastAsia="Arial" w:hAnsi="Arial"/>
                <w:sz w:val="12"/>
                <w:szCs w:val="12"/>
                <w:color w:val="0000FF"/>
                <w:w w:val="96"/>
              </w:rPr>
            </w:pPr>
            <w:hyperlink r:id="rId21">
              <w:r>
                <w:rPr>
                  <w:rFonts w:ascii="Arial" w:cs="Arial" w:eastAsia="Arial" w:hAnsi="Arial"/>
                  <w:sz w:val="12"/>
                  <w:szCs w:val="12"/>
                  <w:color w:val="0000FF"/>
                  <w:w w:val="96"/>
                </w:rPr>
                <w:t>Form of Indemnification Agreement by and between registrant and its Board of Directors and its executive</w:t>
              </w:r>
            </w:hyperlink>
          </w:p>
        </w:tc>
        <w:tc>
          <w:tcPr>
            <w:tcW w:w="1600" w:type="dxa"/>
            <w:vAlign w:val="bottom"/>
            <w:gridSpan w:val="3"/>
          </w:tcPr>
          <w:p>
            <w:pPr>
              <w:jc w:val="center"/>
              <w:ind w:right="40"/>
              <w:spacing w:after="0" w:line="135" w:lineRule="exact"/>
              <w:rPr>
                <w:sz w:val="20"/>
                <w:szCs w:val="20"/>
                <w:color w:val="auto"/>
              </w:rPr>
            </w:pPr>
            <w:r>
              <w:rPr>
                <w:rFonts w:ascii="Arial" w:cs="Arial" w:eastAsia="Arial" w:hAnsi="Arial"/>
                <w:sz w:val="12"/>
                <w:szCs w:val="12"/>
                <w:color w:val="auto"/>
                <w:w w:val="90"/>
              </w:rPr>
              <w:t>Form S-1 as amended (File</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1/17/2001</w:t>
            </w:r>
          </w:p>
        </w:tc>
        <w:tc>
          <w:tcPr>
            <w:tcW w:w="780" w:type="dxa"/>
            <w:vAlign w:val="bottom"/>
            <w:gridSpan w:val="7"/>
          </w:tcPr>
          <w:p>
            <w:pPr>
              <w:jc w:val="center"/>
              <w:ind w:left="400"/>
              <w:spacing w:after="0" w:line="135" w:lineRule="exact"/>
              <w:rPr>
                <w:sz w:val="20"/>
                <w:szCs w:val="20"/>
                <w:color w:val="auto"/>
              </w:rPr>
            </w:pPr>
            <w:r>
              <w:rPr>
                <w:rFonts w:ascii="Arial" w:cs="Arial" w:eastAsia="Arial" w:hAnsi="Arial"/>
                <w:sz w:val="12"/>
                <w:szCs w:val="12"/>
                <w:color w:val="auto"/>
                <w:w w:val="93"/>
              </w:rPr>
              <w:t>10.15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140" w:type="dxa"/>
            <w:vAlign w:val="bottom"/>
            <w:tcBorders>
              <w:top w:val="single" w:sz="8" w:color="0000FF"/>
            </w:tcBorders>
            <w:gridSpan w:val="20"/>
          </w:tcPr>
          <w:p>
            <w:pPr>
              <w:spacing w:after="0" w:line="124" w:lineRule="exact"/>
              <w:rPr>
                <w:rFonts w:ascii="Arial" w:cs="Arial" w:eastAsia="Arial" w:hAnsi="Arial"/>
                <w:sz w:val="12"/>
                <w:szCs w:val="12"/>
                <w:color w:val="0000FF"/>
              </w:rPr>
            </w:pPr>
            <w:hyperlink r:id="rId21">
              <w:r>
                <w:rPr>
                  <w:rFonts w:ascii="Arial" w:cs="Arial" w:eastAsia="Arial" w:hAnsi="Arial"/>
                  <w:sz w:val="12"/>
                  <w:szCs w:val="12"/>
                  <w:color w:val="0000FF"/>
                </w:rPr>
                <w:t>officers</w:t>
              </w:r>
            </w:hyperlink>
          </w:p>
        </w:tc>
        <w:tc>
          <w:tcPr>
            <w:tcW w:w="280" w:type="dxa"/>
            <w:vAlign w:val="bottom"/>
            <w:gridSpan w:val="7"/>
          </w:tcPr>
          <w:p>
            <w:pPr>
              <w:spacing w:after="0"/>
              <w:rPr>
                <w:sz w:val="10"/>
                <w:szCs w:val="10"/>
                <w:color w:val="auto"/>
              </w:rPr>
            </w:pPr>
          </w:p>
        </w:tc>
        <w:tc>
          <w:tcPr>
            <w:tcW w:w="1600" w:type="dxa"/>
            <w:vAlign w:val="bottom"/>
            <w:gridSpan w:val="3"/>
          </w:tcPr>
          <w:p>
            <w:pPr>
              <w:jc w:val="center"/>
              <w:ind w:right="40"/>
              <w:spacing w:after="0" w:line="124" w:lineRule="exact"/>
              <w:rPr>
                <w:sz w:val="20"/>
                <w:szCs w:val="20"/>
                <w:color w:val="auto"/>
              </w:rPr>
            </w:pPr>
            <w:r>
              <w:rPr>
                <w:rFonts w:ascii="Arial" w:cs="Arial" w:eastAsia="Arial" w:hAnsi="Arial"/>
                <w:sz w:val="12"/>
                <w:szCs w:val="12"/>
                <w:color w:val="auto"/>
                <w:w w:val="91"/>
              </w:rPr>
              <w:t>No. 333-49932)</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40" w:type="dxa"/>
            <w:vAlign w:val="bottom"/>
            <w:gridSpan w:val="8"/>
          </w:tcPr>
          <w:p>
            <w:pPr>
              <w:spacing w:after="0"/>
              <w:rPr>
                <w:sz w:val="2"/>
                <w:szCs w:val="2"/>
                <w:color w:val="auto"/>
              </w:rPr>
            </w:pPr>
          </w:p>
        </w:tc>
        <w:tc>
          <w:tcPr>
            <w:tcW w:w="380" w:type="dxa"/>
            <w:vAlign w:val="bottom"/>
            <w:tcBorders>
              <w:top w:val="single" w:sz="8" w:color="0000FF"/>
            </w:tcBorders>
            <w:gridSpan w:val="2"/>
          </w:tcPr>
          <w:p>
            <w:pPr>
              <w:spacing w:after="0"/>
              <w:rPr>
                <w:sz w:val="2"/>
                <w:szCs w:val="2"/>
                <w:color w:val="auto"/>
              </w:rPr>
            </w:pPr>
          </w:p>
        </w:tc>
        <w:tc>
          <w:tcPr>
            <w:tcW w:w="10060" w:type="dxa"/>
            <w:vAlign w:val="bottom"/>
            <w:gridSpan w:val="4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700" w:type="dxa"/>
            <w:vAlign w:val="bottom"/>
            <w:gridSpan w:val="7"/>
            <w:shd w:val="clear" w:color="auto" w:fill="CCEEFF"/>
          </w:tcPr>
          <w:p>
            <w:pPr>
              <w:jc w:val="center"/>
              <w:ind w:right="360"/>
              <w:spacing w:after="0" w:line="135" w:lineRule="exact"/>
              <w:rPr>
                <w:rFonts w:ascii="Arial" w:cs="Arial" w:eastAsia="Arial" w:hAnsi="Arial"/>
                <w:sz w:val="12"/>
                <w:szCs w:val="12"/>
                <w:color w:val="0000FF"/>
                <w:w w:val="86"/>
              </w:rPr>
            </w:pPr>
            <w:hyperlink r:id="rId22">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5†</w:t>
              </w:r>
            </w:hyperlink>
          </w:p>
        </w:tc>
        <w:tc>
          <w:tcPr>
            <w:tcW w:w="5420" w:type="dxa"/>
            <w:vAlign w:val="bottom"/>
            <w:gridSpan w:val="27"/>
            <w:shd w:val="clear" w:color="auto" w:fill="CCEEFF"/>
          </w:tcPr>
          <w:p>
            <w:pPr>
              <w:spacing w:after="0" w:line="135" w:lineRule="exact"/>
              <w:rPr>
                <w:rFonts w:ascii="Arial" w:cs="Arial" w:eastAsia="Arial" w:hAnsi="Arial"/>
                <w:sz w:val="12"/>
                <w:szCs w:val="12"/>
                <w:color w:val="0000FF"/>
                <w:w w:val="93"/>
              </w:rPr>
            </w:pPr>
            <w:hyperlink r:id="rId22">
              <w:r>
                <w:rPr>
                  <w:rFonts w:ascii="Arial" w:cs="Arial" w:eastAsia="Arial" w:hAnsi="Arial"/>
                  <w:sz w:val="12"/>
                  <w:szCs w:val="12"/>
                  <w:color w:val="0000FF"/>
                  <w:w w:val="93"/>
                </w:rPr>
                <w:t>Form of restricted stock unit award agreement under registrant’s 2005 Incentive Plan (General Form; Director</w:t>
              </w:r>
            </w:hyperlink>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11/5/2007</w:t>
            </w: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gridSpan w:val="6"/>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10.1A</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300" w:type="dxa"/>
            <w:vAlign w:val="bottom"/>
            <w:tcBorders>
              <w:top w:val="single" w:sz="8" w:color="0000FF"/>
            </w:tcBorders>
            <w:gridSpan w:val="25"/>
            <w:shd w:val="clear" w:color="auto" w:fill="CCEEFF"/>
          </w:tcPr>
          <w:p>
            <w:pPr>
              <w:spacing w:after="0" w:line="124" w:lineRule="exact"/>
              <w:rPr>
                <w:rFonts w:ascii="Arial" w:cs="Arial" w:eastAsia="Arial" w:hAnsi="Arial"/>
                <w:sz w:val="12"/>
                <w:szCs w:val="12"/>
                <w:color w:val="0000FF"/>
              </w:rPr>
            </w:pPr>
            <w:hyperlink r:id="rId22">
              <w:r>
                <w:rPr>
                  <w:rFonts w:ascii="Arial" w:cs="Arial" w:eastAsia="Arial" w:hAnsi="Arial"/>
                  <w:sz w:val="12"/>
                  <w:szCs w:val="12"/>
                  <w:color w:val="0000FF"/>
                </w:rPr>
                <w:t>Form)</w:t>
              </w:r>
            </w:hyperlink>
          </w:p>
        </w:tc>
        <w:tc>
          <w:tcPr>
            <w:tcW w:w="120" w:type="dxa"/>
            <w:vAlign w:val="bottom"/>
            <w:tcBorders>
              <w:top w:val="single" w:sz="8" w:color="CCEEFF"/>
            </w:tcBorders>
            <w:gridSpan w:val="2"/>
            <w:shd w:val="clear" w:color="auto" w:fill="CCEEFF"/>
          </w:tcPr>
          <w:p>
            <w:pPr>
              <w:spacing w:after="0"/>
              <w:rPr>
                <w:sz w:val="10"/>
                <w:szCs w:val="10"/>
                <w:color w:val="auto"/>
              </w:rPr>
            </w:pPr>
          </w:p>
        </w:tc>
        <w:tc>
          <w:tcPr>
            <w:tcW w:w="1600" w:type="dxa"/>
            <w:vAlign w:val="bottom"/>
            <w:tcBorders>
              <w:top w:val="single" w:sz="8" w:color="CCEEFF"/>
            </w:tcBorders>
            <w:gridSpan w:val="3"/>
            <w:shd w:val="clear" w:color="auto" w:fill="CCEEFF"/>
          </w:tcPr>
          <w:p>
            <w:pPr>
              <w:jc w:val="center"/>
              <w:ind w:right="60"/>
              <w:spacing w:after="0" w:line="124" w:lineRule="exact"/>
              <w:rPr>
                <w:sz w:val="20"/>
                <w:szCs w:val="20"/>
                <w:color w:val="auto"/>
              </w:rPr>
            </w:pPr>
            <w:r>
              <w:rPr>
                <w:rFonts w:ascii="Arial" w:cs="Arial" w:eastAsia="Arial" w:hAnsi="Arial"/>
                <w:sz w:val="12"/>
                <w:szCs w:val="12"/>
                <w:color w:val="auto"/>
                <w:w w:val="93"/>
              </w:rPr>
              <w:t>Form 10-Q</w:t>
            </w:r>
          </w:p>
        </w:tc>
        <w:tc>
          <w:tcPr>
            <w:tcW w:w="3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40" w:type="dxa"/>
            <w:vAlign w:val="bottom"/>
            <w:tcBorders>
              <w:top w:val="single" w:sz="8" w:color="CCEEFF"/>
            </w:tcBorders>
            <w:gridSpan w:val="8"/>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140" w:type="dxa"/>
            <w:vAlign w:val="bottom"/>
            <w:tcBorders>
              <w:top w:val="single" w:sz="8" w:color="CCEEFF"/>
            </w:tcBorders>
            <w:gridSpan w:val="47"/>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700" w:type="dxa"/>
            <w:vAlign w:val="bottom"/>
            <w:gridSpan w:val="7"/>
          </w:tcPr>
          <w:p>
            <w:pPr>
              <w:jc w:val="center"/>
              <w:ind w:right="360"/>
              <w:spacing w:after="0" w:line="135" w:lineRule="exact"/>
              <w:rPr>
                <w:rFonts w:ascii="Arial" w:cs="Arial" w:eastAsia="Arial" w:hAnsi="Arial"/>
                <w:sz w:val="12"/>
                <w:szCs w:val="12"/>
                <w:color w:val="0000FF"/>
                <w:w w:val="86"/>
              </w:rPr>
            </w:pPr>
            <w:hyperlink r:id="rId23">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5†</w:t>
              </w:r>
            </w:hyperlink>
          </w:p>
        </w:tc>
        <w:tc>
          <w:tcPr>
            <w:tcW w:w="5420" w:type="dxa"/>
            <w:vAlign w:val="bottom"/>
            <w:gridSpan w:val="27"/>
          </w:tcPr>
          <w:p>
            <w:pPr>
              <w:spacing w:after="0" w:line="135" w:lineRule="exact"/>
              <w:rPr>
                <w:rFonts w:ascii="Arial" w:cs="Arial" w:eastAsia="Arial" w:hAnsi="Arial"/>
                <w:sz w:val="12"/>
                <w:szCs w:val="12"/>
                <w:color w:val="0000FF"/>
                <w:w w:val="93"/>
              </w:rPr>
            </w:pPr>
            <w:hyperlink r:id="rId23">
              <w:r>
                <w:rPr>
                  <w:rFonts w:ascii="Arial" w:cs="Arial" w:eastAsia="Arial" w:hAnsi="Arial"/>
                  <w:sz w:val="12"/>
                  <w:szCs w:val="12"/>
                  <w:color w:val="0000FF"/>
                  <w:w w:val="93"/>
                </w:rPr>
                <w:t>Form of restricted stock unit award agreement under registrant’s 2005 Incentive Plan (General Form; Director</w:t>
              </w:r>
            </w:hyperlink>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11/5/2007</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6"/>
          </w:tcPr>
          <w:p>
            <w:pPr>
              <w:jc w:val="center"/>
              <w:ind w:right="120"/>
              <w:spacing w:after="0" w:line="135" w:lineRule="exact"/>
              <w:rPr>
                <w:sz w:val="20"/>
                <w:szCs w:val="20"/>
                <w:color w:val="auto"/>
              </w:rPr>
            </w:pPr>
            <w:r>
              <w:rPr>
                <w:rFonts w:ascii="Arial" w:cs="Arial" w:eastAsia="Arial" w:hAnsi="Arial"/>
                <w:sz w:val="12"/>
                <w:szCs w:val="12"/>
                <w:color w:val="auto"/>
                <w:w w:val="87"/>
              </w:rPr>
              <w:t>10.1C</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300" w:type="dxa"/>
            <w:vAlign w:val="bottom"/>
            <w:tcBorders>
              <w:top w:val="single" w:sz="8" w:color="0000FF"/>
            </w:tcBorders>
            <w:gridSpan w:val="25"/>
          </w:tcPr>
          <w:p>
            <w:pPr>
              <w:spacing w:after="0" w:line="124" w:lineRule="exact"/>
              <w:rPr>
                <w:rFonts w:ascii="Arial" w:cs="Arial" w:eastAsia="Arial" w:hAnsi="Arial"/>
                <w:sz w:val="12"/>
                <w:szCs w:val="12"/>
                <w:color w:val="0000FF"/>
              </w:rPr>
            </w:pPr>
            <w:hyperlink r:id="rId23">
              <w:r>
                <w:rPr>
                  <w:rFonts w:ascii="Arial" w:cs="Arial" w:eastAsia="Arial" w:hAnsi="Arial"/>
                  <w:sz w:val="12"/>
                  <w:szCs w:val="12"/>
                  <w:color w:val="0000FF"/>
                </w:rPr>
                <w:t>Form)</w:t>
              </w:r>
            </w:hyperlink>
          </w:p>
        </w:tc>
        <w:tc>
          <w:tcPr>
            <w:tcW w:w="120" w:type="dxa"/>
            <w:vAlign w:val="bottom"/>
            <w:gridSpan w:val="2"/>
          </w:tcPr>
          <w:p>
            <w:pPr>
              <w:spacing w:after="0"/>
              <w:rPr>
                <w:sz w:val="10"/>
                <w:szCs w:val="10"/>
                <w:color w:val="auto"/>
              </w:rPr>
            </w:pPr>
          </w:p>
        </w:tc>
        <w:tc>
          <w:tcPr>
            <w:tcW w:w="1600" w:type="dxa"/>
            <w:vAlign w:val="bottom"/>
            <w:gridSpan w:val="3"/>
          </w:tcPr>
          <w:p>
            <w:pPr>
              <w:jc w:val="center"/>
              <w:ind w:right="60"/>
              <w:spacing w:after="0" w:line="124" w:lineRule="exact"/>
              <w:rPr>
                <w:sz w:val="20"/>
                <w:szCs w:val="20"/>
                <w:color w:val="auto"/>
              </w:rPr>
            </w:pPr>
            <w:r>
              <w:rPr>
                <w:rFonts w:ascii="Arial" w:cs="Arial" w:eastAsia="Arial" w:hAnsi="Arial"/>
                <w:sz w:val="12"/>
                <w:szCs w:val="12"/>
                <w:color w:val="auto"/>
                <w:w w:val="93"/>
              </w:rPr>
              <w:t>Form 10-Q</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40" w:type="dxa"/>
            <w:vAlign w:val="bottom"/>
            <w:gridSpan w:val="8"/>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140" w:type="dxa"/>
            <w:vAlign w:val="bottom"/>
            <w:gridSpan w:val="4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700" w:type="dxa"/>
            <w:vAlign w:val="bottom"/>
            <w:gridSpan w:val="7"/>
            <w:shd w:val="clear" w:color="auto" w:fill="CCEEFF"/>
          </w:tcPr>
          <w:p>
            <w:pPr>
              <w:jc w:val="center"/>
              <w:ind w:right="360"/>
              <w:spacing w:after="0" w:line="135" w:lineRule="exact"/>
              <w:rPr>
                <w:rFonts w:ascii="Arial" w:cs="Arial" w:eastAsia="Arial" w:hAnsi="Arial"/>
                <w:sz w:val="12"/>
                <w:szCs w:val="12"/>
                <w:color w:val="0000FF"/>
                <w:w w:val="86"/>
              </w:rPr>
            </w:pPr>
            <w:hyperlink r:id="rId24">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6†</w:t>
              </w:r>
            </w:hyperlink>
          </w:p>
        </w:tc>
        <w:tc>
          <w:tcPr>
            <w:tcW w:w="5420" w:type="dxa"/>
            <w:vAlign w:val="bottom"/>
            <w:gridSpan w:val="27"/>
            <w:shd w:val="clear" w:color="auto" w:fill="CCEEFF"/>
          </w:tcPr>
          <w:p>
            <w:pPr>
              <w:spacing w:after="0" w:line="135" w:lineRule="exact"/>
              <w:rPr>
                <w:rFonts w:ascii="Arial" w:cs="Arial" w:eastAsia="Arial" w:hAnsi="Arial"/>
                <w:sz w:val="12"/>
                <w:szCs w:val="12"/>
                <w:color w:val="0000FF"/>
              </w:rPr>
            </w:pPr>
            <w:hyperlink r:id="rId24">
              <w:r>
                <w:rPr>
                  <w:rFonts w:ascii="Arial" w:cs="Arial" w:eastAsia="Arial" w:hAnsi="Arial"/>
                  <w:sz w:val="12"/>
                  <w:szCs w:val="12"/>
                  <w:color w:val="0000FF"/>
                </w:rPr>
                <w:t>Form of option award agreement under registrant’s 2005 Incentive Plan</w:t>
              </w:r>
            </w:hyperlink>
          </w:p>
        </w:tc>
        <w:tc>
          <w:tcPr>
            <w:tcW w:w="16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3"/>
              </w:rPr>
              <w:t>Form 10-Q</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4"/>
              </w:rPr>
              <w:t>8/4/2005</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80" w:type="dxa"/>
            <w:vAlign w:val="bottom"/>
            <w:tcBorders>
              <w:top w:val="single" w:sz="8" w:color="CCEEFF"/>
            </w:tcBorders>
            <w:gridSpan w:val="2"/>
            <w:shd w:val="clear" w:color="auto" w:fill="CCEEFF"/>
          </w:tcPr>
          <w:p>
            <w:pPr>
              <w:spacing w:after="0"/>
              <w:rPr>
                <w:sz w:val="2"/>
                <w:szCs w:val="2"/>
                <w:color w:val="auto"/>
              </w:rPr>
            </w:pPr>
          </w:p>
        </w:tc>
        <w:tc>
          <w:tcPr>
            <w:tcW w:w="260" w:type="dxa"/>
            <w:vAlign w:val="bottom"/>
            <w:tcBorders>
              <w:top w:val="single" w:sz="8" w:color="0000FF"/>
            </w:tcBorders>
            <w:gridSpan w:val="3"/>
            <w:shd w:val="clear" w:color="auto" w:fill="CCEEFF"/>
          </w:tcPr>
          <w:p>
            <w:pPr>
              <w:spacing w:after="0"/>
              <w:rPr>
                <w:sz w:val="2"/>
                <w:szCs w:val="2"/>
                <w:color w:val="auto"/>
              </w:rPr>
            </w:pPr>
          </w:p>
        </w:tc>
        <w:tc>
          <w:tcPr>
            <w:tcW w:w="400" w:type="dxa"/>
            <w:vAlign w:val="bottom"/>
            <w:tcBorders>
              <w:top w:val="single" w:sz="8" w:color="CCEEFF"/>
            </w:tcBorders>
            <w:gridSpan w:val="3"/>
            <w:shd w:val="clear" w:color="auto" w:fill="CCEEFF"/>
          </w:tcPr>
          <w:p>
            <w:pPr>
              <w:spacing w:after="0"/>
              <w:rPr>
                <w:sz w:val="2"/>
                <w:szCs w:val="2"/>
                <w:color w:val="auto"/>
              </w:rPr>
            </w:pPr>
          </w:p>
        </w:tc>
        <w:tc>
          <w:tcPr>
            <w:tcW w:w="3440" w:type="dxa"/>
            <w:vAlign w:val="bottom"/>
            <w:tcBorders>
              <w:top w:val="single" w:sz="8" w:color="0000FF"/>
            </w:tcBorders>
            <w:gridSpan w:val="17"/>
            <w:shd w:val="clear" w:color="auto" w:fill="CCEEFF"/>
          </w:tcPr>
          <w:p>
            <w:pPr>
              <w:spacing w:after="0"/>
              <w:rPr>
                <w:sz w:val="2"/>
                <w:szCs w:val="2"/>
                <w:color w:val="auto"/>
              </w:rPr>
            </w:pPr>
          </w:p>
        </w:tc>
        <w:tc>
          <w:tcPr>
            <w:tcW w:w="7000" w:type="dxa"/>
            <w:vAlign w:val="bottom"/>
            <w:tcBorders>
              <w:top w:val="single" w:sz="8" w:color="CCEEFF"/>
            </w:tcBorders>
            <w:gridSpan w:val="31"/>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700" w:type="dxa"/>
            <w:vAlign w:val="bottom"/>
            <w:gridSpan w:val="7"/>
          </w:tcPr>
          <w:p>
            <w:pPr>
              <w:jc w:val="center"/>
              <w:ind w:right="360"/>
              <w:spacing w:after="0" w:line="135" w:lineRule="exact"/>
              <w:rPr>
                <w:rFonts w:ascii="Arial" w:cs="Arial" w:eastAsia="Arial" w:hAnsi="Arial"/>
                <w:sz w:val="12"/>
                <w:szCs w:val="12"/>
                <w:color w:val="0000FF"/>
                <w:w w:val="86"/>
              </w:rPr>
            </w:pPr>
            <w:hyperlink r:id="rId25">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7†</w:t>
              </w:r>
            </w:hyperlink>
          </w:p>
        </w:tc>
        <w:tc>
          <w:tcPr>
            <w:tcW w:w="5420" w:type="dxa"/>
            <w:vAlign w:val="bottom"/>
            <w:gridSpan w:val="27"/>
          </w:tcPr>
          <w:p>
            <w:pPr>
              <w:spacing w:after="0" w:line="135" w:lineRule="exact"/>
              <w:rPr>
                <w:rFonts w:ascii="Arial" w:cs="Arial" w:eastAsia="Arial" w:hAnsi="Arial"/>
                <w:sz w:val="12"/>
                <w:szCs w:val="12"/>
                <w:color w:val="0000FF"/>
                <w:w w:val="92"/>
              </w:rPr>
            </w:pPr>
            <w:hyperlink r:id="rId25">
              <w:r>
                <w:rPr>
                  <w:rFonts w:ascii="Arial" w:cs="Arial" w:eastAsia="Arial" w:hAnsi="Arial"/>
                  <w:sz w:val="12"/>
                  <w:szCs w:val="12"/>
                  <w:color w:val="0000FF"/>
                  <w:w w:val="92"/>
                </w:rPr>
                <w:t>Form of Employment Agreement entered into by and between registrant and each executive officer (other than</w:t>
              </w:r>
            </w:hyperlink>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94"/>
              </w:rPr>
              <w:t>5/8/2008</w:t>
            </w:r>
          </w:p>
        </w:tc>
        <w:tc>
          <w:tcPr>
            <w:tcW w:w="740" w:type="dxa"/>
            <w:vAlign w:val="bottom"/>
            <w:gridSpan w:val="6"/>
          </w:tcPr>
          <w:p>
            <w:pPr>
              <w:jc w:val="center"/>
              <w:ind w:left="440"/>
              <w:spacing w:after="0" w:line="135" w:lineRule="exact"/>
              <w:rPr>
                <w:sz w:val="20"/>
                <w:szCs w:val="20"/>
                <w:color w:val="auto"/>
              </w:rPr>
            </w:pPr>
            <w:r>
              <w:rPr>
                <w:rFonts w:ascii="Arial" w:cs="Arial" w:eastAsia="Arial" w:hAnsi="Arial"/>
                <w:sz w:val="12"/>
                <w:szCs w:val="12"/>
                <w:color w:val="auto"/>
                <w:w w:val="85"/>
              </w:rPr>
              <w:t>10.3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tcBorders>
              <w:top w:val="single" w:sz="8" w:color="0000FF"/>
            </w:tcBorders>
            <w:gridSpan w:val="26"/>
          </w:tcPr>
          <w:p>
            <w:pPr>
              <w:spacing w:after="0" w:line="124" w:lineRule="exact"/>
              <w:rPr>
                <w:rFonts w:ascii="Arial" w:cs="Arial" w:eastAsia="Arial" w:hAnsi="Arial"/>
                <w:sz w:val="12"/>
                <w:szCs w:val="12"/>
                <w:color w:val="0000FF"/>
              </w:rPr>
            </w:pPr>
            <w:hyperlink r:id="rId25">
              <w:r>
                <w:rPr>
                  <w:rFonts w:ascii="Arial" w:cs="Arial" w:eastAsia="Arial" w:hAnsi="Arial"/>
                  <w:sz w:val="12"/>
                  <w:szCs w:val="12"/>
                  <w:color w:val="0000FF"/>
                </w:rPr>
                <w:t>CEO for executives appointed prior to September 2016)</w:t>
              </w:r>
            </w:hyperlink>
          </w:p>
        </w:tc>
        <w:tc>
          <w:tcPr>
            <w:tcW w:w="100" w:type="dxa"/>
            <w:vAlign w:val="bottom"/>
          </w:tcPr>
          <w:p>
            <w:pPr>
              <w:spacing w:after="0"/>
              <w:rPr>
                <w:sz w:val="10"/>
                <w:szCs w:val="10"/>
                <w:color w:val="auto"/>
              </w:rPr>
            </w:pPr>
          </w:p>
        </w:tc>
        <w:tc>
          <w:tcPr>
            <w:tcW w:w="1600" w:type="dxa"/>
            <w:vAlign w:val="bottom"/>
            <w:gridSpan w:val="3"/>
          </w:tcPr>
          <w:p>
            <w:pPr>
              <w:jc w:val="center"/>
              <w:ind w:right="60"/>
              <w:spacing w:after="0" w:line="124" w:lineRule="exact"/>
              <w:rPr>
                <w:sz w:val="20"/>
                <w:szCs w:val="20"/>
                <w:color w:val="auto"/>
              </w:rPr>
            </w:pPr>
            <w:r>
              <w:rPr>
                <w:rFonts w:ascii="Arial" w:cs="Arial" w:eastAsia="Arial" w:hAnsi="Arial"/>
                <w:sz w:val="12"/>
                <w:szCs w:val="12"/>
                <w:color w:val="auto"/>
                <w:w w:val="93"/>
              </w:rPr>
              <w:t>Form 10-Q</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40" w:type="dxa"/>
            <w:vAlign w:val="bottom"/>
            <w:gridSpan w:val="8"/>
          </w:tcPr>
          <w:p>
            <w:pPr>
              <w:spacing w:after="0"/>
              <w:rPr>
                <w:sz w:val="2"/>
                <w:szCs w:val="2"/>
                <w:color w:val="auto"/>
              </w:rPr>
            </w:pPr>
          </w:p>
        </w:tc>
        <w:tc>
          <w:tcPr>
            <w:tcW w:w="2700" w:type="dxa"/>
            <w:vAlign w:val="bottom"/>
            <w:tcBorders>
              <w:top w:val="single" w:sz="8" w:color="0000FF"/>
            </w:tcBorders>
            <w:gridSpan w:val="13"/>
          </w:tcPr>
          <w:p>
            <w:pPr>
              <w:spacing w:after="0"/>
              <w:rPr>
                <w:sz w:val="2"/>
                <w:szCs w:val="2"/>
                <w:color w:val="auto"/>
              </w:rPr>
            </w:pPr>
          </w:p>
        </w:tc>
        <w:tc>
          <w:tcPr>
            <w:tcW w:w="7740" w:type="dxa"/>
            <w:vAlign w:val="bottom"/>
            <w:gridSpan w:val="3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5200" w:type="dxa"/>
            <w:vAlign w:val="bottom"/>
            <w:tcBorders>
              <w:bottom w:val="single" w:sz="8" w:color="0000FF"/>
            </w:tcBorders>
            <w:gridSpan w:val="21"/>
            <w:shd w:val="clear" w:color="auto" w:fill="CCEEFF"/>
          </w:tcPr>
          <w:p>
            <w:pPr>
              <w:spacing w:after="0" w:line="135" w:lineRule="exact"/>
              <w:rPr>
                <w:rFonts w:ascii="Arial" w:cs="Arial" w:eastAsia="Arial" w:hAnsi="Arial"/>
                <w:sz w:val="12"/>
                <w:szCs w:val="12"/>
                <w:color w:val="0000FF"/>
                <w:w w:val="90"/>
              </w:rPr>
            </w:pPr>
            <w:hyperlink r:id="rId18">
              <w:r>
                <w:rPr>
                  <w:rFonts w:ascii="Arial" w:cs="Arial" w:eastAsia="Arial" w:hAnsi="Arial"/>
                  <w:sz w:val="12"/>
                  <w:szCs w:val="12"/>
                  <w:color w:val="0000FF"/>
                  <w:w w:val="90"/>
                </w:rPr>
                <w:t>Form of Employment entered into by and between registrant and each executive officer (other than CEO for</w:t>
              </w:r>
            </w:hyperlink>
          </w:p>
        </w:tc>
        <w:tc>
          <w:tcPr>
            <w:tcW w:w="220" w:type="dxa"/>
            <w:vAlign w:val="bottom"/>
            <w:tcBorders>
              <w:bottom w:val="single" w:sz="8" w:color="CCEEFF"/>
            </w:tcBorders>
            <w:gridSpan w:val="6"/>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2/28/2017</w:t>
            </w:r>
          </w:p>
        </w:tc>
        <w:tc>
          <w:tcPr>
            <w:tcW w:w="740" w:type="dxa"/>
            <w:vAlign w:val="bottom"/>
            <w:tcBorders>
              <w:bottom w:val="single" w:sz="8" w:color="CCEEFF"/>
            </w:tcBorders>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10.8</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shd w:val="clear" w:color="auto" w:fill="CCEEFF"/>
          </w:tcPr>
          <w:p>
            <w:pPr>
              <w:spacing w:after="0"/>
              <w:rPr>
                <w:sz w:val="10"/>
                <w:szCs w:val="10"/>
                <w:color w:val="auto"/>
              </w:rPr>
            </w:pPr>
          </w:p>
        </w:tc>
        <w:tc>
          <w:tcPr>
            <w:tcW w:w="700" w:type="dxa"/>
            <w:vAlign w:val="bottom"/>
            <w:gridSpan w:val="7"/>
            <w:shd w:val="clear" w:color="auto" w:fill="CCEEFF"/>
          </w:tcPr>
          <w:p>
            <w:pPr>
              <w:jc w:val="center"/>
              <w:ind w:right="360"/>
              <w:spacing w:after="0" w:line="124" w:lineRule="exact"/>
              <w:rPr>
                <w:rFonts w:ascii="Arial" w:cs="Arial" w:eastAsia="Arial" w:hAnsi="Arial"/>
                <w:sz w:val="12"/>
                <w:szCs w:val="12"/>
                <w:color w:val="0000FF"/>
                <w:w w:val="86"/>
              </w:rPr>
            </w:pPr>
            <w:hyperlink r:id="rId18">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8†</w:t>
              </w:r>
            </w:hyperlink>
          </w:p>
        </w:tc>
        <w:tc>
          <w:tcPr>
            <w:tcW w:w="5420" w:type="dxa"/>
            <w:vAlign w:val="bottom"/>
            <w:gridSpan w:val="27"/>
            <w:shd w:val="clear" w:color="auto" w:fill="CCEEFF"/>
          </w:tcPr>
          <w:p>
            <w:pPr>
              <w:spacing w:after="0" w:line="124" w:lineRule="exact"/>
              <w:rPr>
                <w:rFonts w:ascii="Arial" w:cs="Arial" w:eastAsia="Arial" w:hAnsi="Arial"/>
                <w:sz w:val="12"/>
                <w:szCs w:val="12"/>
                <w:color w:val="0000FF"/>
              </w:rPr>
            </w:pPr>
            <w:hyperlink r:id="rId18">
              <w:r>
                <w:rPr>
                  <w:rFonts w:ascii="Arial" w:cs="Arial" w:eastAsia="Arial" w:hAnsi="Arial"/>
                  <w:sz w:val="12"/>
                  <w:szCs w:val="12"/>
                  <w:color w:val="0000FF"/>
                </w:rPr>
                <w:t>executives appointed after September 2016)</w:t>
              </w:r>
            </w:hyperlink>
          </w:p>
        </w:tc>
        <w:tc>
          <w:tcPr>
            <w:tcW w:w="1600" w:type="dxa"/>
            <w:vAlign w:val="bottom"/>
            <w:gridSpan w:val="3"/>
            <w:shd w:val="clear" w:color="auto" w:fill="CCEEFF"/>
          </w:tcPr>
          <w:p>
            <w:pPr>
              <w:jc w:val="center"/>
              <w:ind w:right="60"/>
              <w:spacing w:after="0" w:line="124" w:lineRule="exact"/>
              <w:rPr>
                <w:sz w:val="20"/>
                <w:szCs w:val="20"/>
                <w:color w:val="auto"/>
              </w:rPr>
            </w:pPr>
            <w:r>
              <w:rPr>
                <w:rFonts w:ascii="Arial" w:cs="Arial" w:eastAsia="Arial" w:hAnsi="Arial"/>
                <w:sz w:val="12"/>
                <w:szCs w:val="12"/>
                <w:color w:val="auto"/>
                <w:w w:val="95"/>
              </w:rPr>
              <w:t>Form 10-K</w:t>
            </w: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80" w:type="dxa"/>
            <w:vAlign w:val="bottom"/>
            <w:tcBorders>
              <w:top w:val="single" w:sz="8" w:color="CCEEFF"/>
            </w:tcBorders>
            <w:gridSpan w:val="2"/>
            <w:shd w:val="clear" w:color="auto" w:fill="CCEEFF"/>
          </w:tcPr>
          <w:p>
            <w:pPr>
              <w:spacing w:after="0"/>
              <w:rPr>
                <w:sz w:val="2"/>
                <w:szCs w:val="2"/>
                <w:color w:val="auto"/>
              </w:rPr>
            </w:pPr>
          </w:p>
        </w:tc>
        <w:tc>
          <w:tcPr>
            <w:tcW w:w="260" w:type="dxa"/>
            <w:vAlign w:val="bottom"/>
            <w:tcBorders>
              <w:top w:val="single" w:sz="8" w:color="0000FF"/>
            </w:tcBorders>
            <w:gridSpan w:val="3"/>
            <w:shd w:val="clear" w:color="auto" w:fill="CCEEFF"/>
          </w:tcPr>
          <w:p>
            <w:pPr>
              <w:spacing w:after="0"/>
              <w:rPr>
                <w:sz w:val="2"/>
                <w:szCs w:val="2"/>
                <w:color w:val="auto"/>
              </w:rPr>
            </w:pPr>
          </w:p>
        </w:tc>
        <w:tc>
          <w:tcPr>
            <w:tcW w:w="400" w:type="dxa"/>
            <w:vAlign w:val="bottom"/>
            <w:tcBorders>
              <w:top w:val="single" w:sz="8" w:color="CCEEFF"/>
            </w:tcBorders>
            <w:gridSpan w:val="3"/>
            <w:shd w:val="clear" w:color="auto" w:fill="CCEEFF"/>
          </w:tcPr>
          <w:p>
            <w:pPr>
              <w:spacing w:after="0"/>
              <w:rPr>
                <w:sz w:val="2"/>
                <w:szCs w:val="2"/>
                <w:color w:val="auto"/>
              </w:rPr>
            </w:pPr>
          </w:p>
        </w:tc>
        <w:tc>
          <w:tcPr>
            <w:tcW w:w="2120" w:type="dxa"/>
            <w:vAlign w:val="bottom"/>
            <w:tcBorders>
              <w:top w:val="single" w:sz="8" w:color="0000FF"/>
            </w:tcBorders>
            <w:gridSpan w:val="5"/>
            <w:shd w:val="clear" w:color="auto" w:fill="CCEEFF"/>
          </w:tcPr>
          <w:p>
            <w:pPr>
              <w:spacing w:after="0"/>
              <w:rPr>
                <w:sz w:val="2"/>
                <w:szCs w:val="2"/>
                <w:color w:val="auto"/>
              </w:rPr>
            </w:pPr>
          </w:p>
        </w:tc>
        <w:tc>
          <w:tcPr>
            <w:tcW w:w="8320" w:type="dxa"/>
            <w:vAlign w:val="bottom"/>
            <w:tcBorders>
              <w:top w:val="single" w:sz="8" w:color="CCEEFF"/>
            </w:tcBorders>
            <w:gridSpan w:val="43"/>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700" w:type="dxa"/>
            <w:vAlign w:val="bottom"/>
            <w:gridSpan w:val="7"/>
          </w:tcPr>
          <w:p>
            <w:pPr>
              <w:jc w:val="center"/>
              <w:ind w:right="360"/>
              <w:spacing w:after="0" w:line="135" w:lineRule="exact"/>
              <w:rPr>
                <w:rFonts w:ascii="Arial" w:cs="Arial" w:eastAsia="Arial" w:hAnsi="Arial"/>
                <w:sz w:val="12"/>
                <w:szCs w:val="12"/>
                <w:color w:val="0000FF"/>
                <w:w w:val="92"/>
              </w:rPr>
            </w:pPr>
            <w:hyperlink r:id="rId26">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10†</w:t>
              </w:r>
            </w:hyperlink>
          </w:p>
        </w:tc>
        <w:tc>
          <w:tcPr>
            <w:tcW w:w="5420" w:type="dxa"/>
            <w:vAlign w:val="bottom"/>
            <w:gridSpan w:val="27"/>
          </w:tcPr>
          <w:p>
            <w:pPr>
              <w:spacing w:after="0" w:line="135" w:lineRule="exact"/>
              <w:rPr>
                <w:rFonts w:ascii="Arial" w:cs="Arial" w:eastAsia="Arial" w:hAnsi="Arial"/>
                <w:sz w:val="12"/>
                <w:szCs w:val="12"/>
                <w:color w:val="0000FF"/>
              </w:rPr>
            </w:pPr>
            <w:hyperlink r:id="rId26">
              <w:r>
                <w:rPr>
                  <w:rFonts w:ascii="Arial" w:cs="Arial" w:eastAsia="Arial" w:hAnsi="Arial"/>
                  <w:sz w:val="12"/>
                  <w:szCs w:val="12"/>
                  <w:color w:val="0000FF"/>
                </w:rPr>
                <w:t>Summary of 2017 Incentive Awards and Base Salaries</w:t>
              </w:r>
            </w:hyperlink>
          </w:p>
        </w:tc>
        <w:tc>
          <w:tcPr>
            <w:tcW w:w="1600" w:type="dxa"/>
            <w:vAlign w:val="bottom"/>
            <w:gridSpan w:val="3"/>
          </w:tcPr>
          <w:p>
            <w:pPr>
              <w:jc w:val="center"/>
              <w:ind w:right="40"/>
              <w:spacing w:after="0" w:line="135" w:lineRule="exact"/>
              <w:rPr>
                <w:sz w:val="20"/>
                <w:szCs w:val="20"/>
                <w:color w:val="auto"/>
              </w:rPr>
            </w:pPr>
            <w:r>
              <w:rPr>
                <w:rFonts w:ascii="Arial" w:cs="Arial" w:eastAsia="Arial" w:hAnsi="Arial"/>
                <w:sz w:val="12"/>
                <w:szCs w:val="12"/>
                <w:color w:val="auto"/>
                <w:w w:val="95"/>
              </w:rPr>
              <w:t>Form 8-K</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94"/>
              </w:rPr>
              <w:t>2/7/2018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340" w:type="dxa"/>
            <w:vAlign w:val="bottom"/>
            <w:tcBorders>
              <w:top w:val="single" w:sz="8" w:color="0000FF"/>
            </w:tcBorders>
            <w:gridSpan w:val="6"/>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Borders>
              <w:top w:val="single" w:sz="8" w:color="0000FF"/>
            </w:tcBorders>
            <w:gridSpan w:val="12"/>
          </w:tcPr>
          <w:p>
            <w:pPr>
              <w:spacing w:after="0"/>
              <w:rPr>
                <w:sz w:val="2"/>
                <w:szCs w:val="2"/>
                <w:color w:val="auto"/>
              </w:rPr>
            </w:pPr>
          </w:p>
        </w:tc>
        <w:tc>
          <w:tcPr>
            <w:tcW w:w="7820" w:type="dxa"/>
            <w:vAlign w:val="bottom"/>
            <w:gridSpan w:val="3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0000FF"/>
            </w:tcBorders>
            <w:gridSpan w:val="6"/>
            <w:shd w:val="clear" w:color="auto" w:fill="CCEEFF"/>
          </w:tcPr>
          <w:p>
            <w:pPr>
              <w:jc w:val="center"/>
              <w:spacing w:after="0" w:line="135" w:lineRule="exact"/>
              <w:rPr>
                <w:rFonts w:ascii="Arial" w:cs="Arial" w:eastAsia="Arial" w:hAnsi="Arial"/>
                <w:sz w:val="12"/>
                <w:szCs w:val="12"/>
                <w:color w:val="0000FF"/>
                <w:w w:val="92"/>
              </w:rPr>
            </w:pPr>
            <w:hyperlink r:id="rId27">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11†</w:t>
              </w:r>
            </w:hyperlink>
          </w:p>
        </w:tc>
        <w:tc>
          <w:tcPr>
            <w:tcW w:w="360" w:type="dxa"/>
            <w:vAlign w:val="bottom"/>
            <w:tcBorders>
              <w:bottom w:val="single" w:sz="8" w:color="CCEEFF"/>
            </w:tcBorders>
            <w:shd w:val="clear" w:color="auto" w:fill="CCEEFF"/>
          </w:tcPr>
          <w:p>
            <w:pPr>
              <w:spacing w:after="0"/>
              <w:rPr>
                <w:sz w:val="13"/>
                <w:szCs w:val="13"/>
                <w:color w:val="auto"/>
              </w:rPr>
            </w:pPr>
          </w:p>
        </w:tc>
        <w:tc>
          <w:tcPr>
            <w:tcW w:w="2320" w:type="dxa"/>
            <w:vAlign w:val="bottom"/>
            <w:tcBorders>
              <w:bottom w:val="single" w:sz="8" w:color="0000FF"/>
            </w:tcBorders>
            <w:gridSpan w:val="10"/>
            <w:shd w:val="clear" w:color="auto" w:fill="CCEEFF"/>
          </w:tcPr>
          <w:p>
            <w:pPr>
              <w:spacing w:after="0" w:line="135" w:lineRule="exact"/>
              <w:rPr>
                <w:rFonts w:ascii="Arial" w:cs="Arial" w:eastAsia="Arial" w:hAnsi="Arial"/>
                <w:sz w:val="12"/>
                <w:szCs w:val="12"/>
                <w:color w:val="0000FF"/>
                <w:w w:val="93"/>
              </w:rPr>
            </w:pPr>
            <w:hyperlink r:id="rId27">
              <w:r>
                <w:rPr>
                  <w:rFonts w:ascii="Arial" w:cs="Arial" w:eastAsia="Arial" w:hAnsi="Arial"/>
                  <w:sz w:val="12"/>
                  <w:szCs w:val="12"/>
                  <w:color w:val="0000FF"/>
                  <w:w w:val="93"/>
                </w:rPr>
                <w:t>Form of Market Stock Unit Agreement (officer)</w:t>
              </w:r>
            </w:hyperlink>
          </w:p>
        </w:tc>
        <w:tc>
          <w:tcPr>
            <w:tcW w:w="3100" w:type="dxa"/>
            <w:vAlign w:val="bottom"/>
            <w:tcBorders>
              <w:bottom w:val="single" w:sz="8" w:color="CCEEFF"/>
            </w:tcBorders>
            <w:gridSpan w:val="17"/>
            <w:shd w:val="clear" w:color="auto" w:fill="CCEEFF"/>
          </w:tcPr>
          <w:p>
            <w:pPr>
              <w:spacing w:after="0"/>
              <w:rPr>
                <w:sz w:val="13"/>
                <w:szCs w:val="13"/>
                <w:color w:val="auto"/>
              </w:rPr>
            </w:pPr>
          </w:p>
        </w:tc>
        <w:tc>
          <w:tcPr>
            <w:tcW w:w="1600" w:type="dxa"/>
            <w:vAlign w:val="bottom"/>
            <w:tcBorders>
              <w:bottom w:val="single" w:sz="8" w:color="CCEEFF"/>
            </w:tcBorders>
            <w:gridSpan w:val="3"/>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5"/>
              </w:rPr>
              <w:t>Form 8-K</w:t>
            </w:r>
          </w:p>
        </w:tc>
        <w:tc>
          <w:tcPr>
            <w:tcW w:w="1080" w:type="dxa"/>
            <w:vAlign w:val="bottom"/>
            <w:tcBorders>
              <w:bottom w:val="single" w:sz="8" w:color="CCEEFF"/>
            </w:tcBorders>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2/24/2011</w:t>
            </w:r>
          </w:p>
        </w:tc>
        <w:tc>
          <w:tcPr>
            <w:tcW w:w="740" w:type="dxa"/>
            <w:vAlign w:val="bottom"/>
            <w:tcBorders>
              <w:bottom w:val="single" w:sz="8" w:color="CCEEFF"/>
            </w:tcBorders>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700" w:type="dxa"/>
            <w:vAlign w:val="bottom"/>
            <w:gridSpan w:val="7"/>
          </w:tcPr>
          <w:p>
            <w:pPr>
              <w:jc w:val="center"/>
              <w:ind w:right="360"/>
              <w:spacing w:after="0" w:line="135" w:lineRule="exact"/>
              <w:rPr>
                <w:rFonts w:ascii="Arial" w:cs="Arial" w:eastAsia="Arial" w:hAnsi="Arial"/>
                <w:sz w:val="12"/>
                <w:szCs w:val="12"/>
                <w:color w:val="0000FF"/>
                <w:w w:val="92"/>
              </w:rPr>
            </w:pPr>
            <w:hyperlink r:id="rId28">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12†</w:t>
              </w:r>
            </w:hyperlink>
          </w:p>
        </w:tc>
        <w:tc>
          <w:tcPr>
            <w:tcW w:w="5420" w:type="dxa"/>
            <w:vAlign w:val="bottom"/>
            <w:gridSpan w:val="27"/>
          </w:tcPr>
          <w:p>
            <w:pPr>
              <w:spacing w:after="0" w:line="135" w:lineRule="exact"/>
              <w:rPr>
                <w:rFonts w:ascii="Arial" w:cs="Arial" w:eastAsia="Arial" w:hAnsi="Arial"/>
                <w:sz w:val="12"/>
                <w:szCs w:val="12"/>
                <w:color w:val="0000FF"/>
              </w:rPr>
            </w:pPr>
            <w:hyperlink r:id="rId28">
              <w:r>
                <w:rPr>
                  <w:rFonts w:ascii="Arial" w:cs="Arial" w:eastAsia="Arial" w:hAnsi="Arial"/>
                  <w:sz w:val="12"/>
                  <w:szCs w:val="12"/>
                  <w:color w:val="0000FF"/>
                </w:rPr>
                <w:t>Form of Market Stock Unit Agreement (CEO)</w:t>
              </w:r>
            </w:hyperlink>
          </w:p>
        </w:tc>
        <w:tc>
          <w:tcPr>
            <w:tcW w:w="1600" w:type="dxa"/>
            <w:vAlign w:val="bottom"/>
            <w:gridSpan w:val="3"/>
          </w:tcPr>
          <w:p>
            <w:pPr>
              <w:jc w:val="center"/>
              <w:ind w:right="40"/>
              <w:spacing w:after="0" w:line="135" w:lineRule="exact"/>
              <w:rPr>
                <w:sz w:val="20"/>
                <w:szCs w:val="20"/>
                <w:color w:val="auto"/>
              </w:rPr>
            </w:pPr>
            <w:r>
              <w:rPr>
                <w:rFonts w:ascii="Arial" w:cs="Arial" w:eastAsia="Arial" w:hAnsi="Arial"/>
                <w:sz w:val="12"/>
                <w:szCs w:val="12"/>
                <w:color w:val="auto"/>
                <w:w w:val="95"/>
              </w:rPr>
              <w:t>Form 8-K</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2/24/2011</w:t>
            </w:r>
          </w:p>
        </w:tc>
        <w:tc>
          <w:tcPr>
            <w:tcW w:w="740" w:type="dxa"/>
            <w:vAlign w:val="bottom"/>
            <w:gridSpan w:val="6"/>
          </w:tcPr>
          <w:p>
            <w:pPr>
              <w:jc w:val="center"/>
              <w:ind w:left="440"/>
              <w:spacing w:after="0" w:line="135" w:lineRule="exact"/>
              <w:rPr>
                <w:sz w:val="20"/>
                <w:szCs w:val="20"/>
                <w:color w:val="auto"/>
              </w:rPr>
            </w:pPr>
            <w:r>
              <w:rPr>
                <w:rFonts w:ascii="Arial" w:cs="Arial" w:eastAsia="Arial" w:hAnsi="Arial"/>
                <w:sz w:val="12"/>
                <w:szCs w:val="12"/>
                <w:color w:val="auto"/>
                <w:w w:val="85"/>
              </w:rPr>
              <w:t>10.2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340" w:type="dxa"/>
            <w:vAlign w:val="bottom"/>
            <w:tcBorders>
              <w:top w:val="single" w:sz="8" w:color="0000FF"/>
            </w:tcBorders>
            <w:gridSpan w:val="6"/>
          </w:tcPr>
          <w:p>
            <w:pPr>
              <w:spacing w:after="0"/>
              <w:rPr>
                <w:sz w:val="2"/>
                <w:szCs w:val="2"/>
                <w:color w:val="auto"/>
              </w:rPr>
            </w:pPr>
          </w:p>
        </w:tc>
        <w:tc>
          <w:tcPr>
            <w:tcW w:w="360" w:type="dxa"/>
            <w:vAlign w:val="bottom"/>
          </w:tcPr>
          <w:p>
            <w:pPr>
              <w:spacing w:after="0"/>
              <w:rPr>
                <w:sz w:val="2"/>
                <w:szCs w:val="2"/>
                <w:color w:val="auto"/>
              </w:rPr>
            </w:pPr>
          </w:p>
        </w:tc>
        <w:tc>
          <w:tcPr>
            <w:tcW w:w="2240" w:type="dxa"/>
            <w:vAlign w:val="bottom"/>
            <w:tcBorders>
              <w:top w:val="single" w:sz="8" w:color="0000FF"/>
            </w:tcBorders>
            <w:gridSpan w:val="8"/>
          </w:tcPr>
          <w:p>
            <w:pPr>
              <w:spacing w:after="0"/>
              <w:rPr>
                <w:sz w:val="2"/>
                <w:szCs w:val="2"/>
                <w:color w:val="auto"/>
              </w:rPr>
            </w:pPr>
          </w:p>
        </w:tc>
        <w:tc>
          <w:tcPr>
            <w:tcW w:w="8200" w:type="dxa"/>
            <w:vAlign w:val="bottom"/>
            <w:gridSpan w:val="4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center"/>
              <w:spacing w:after="0" w:line="135" w:lineRule="exact"/>
              <w:rPr>
                <w:rFonts w:ascii="Arial" w:cs="Arial" w:eastAsia="Arial" w:hAnsi="Arial"/>
                <w:sz w:val="12"/>
                <w:szCs w:val="12"/>
                <w:color w:val="0000FF"/>
                <w:w w:val="92"/>
              </w:rPr>
            </w:pPr>
            <w:hyperlink r:id="rId29">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13†</w:t>
              </w:r>
            </w:hyperlink>
          </w:p>
        </w:tc>
        <w:tc>
          <w:tcPr>
            <w:tcW w:w="360" w:type="dxa"/>
            <w:vAlign w:val="bottom"/>
            <w:shd w:val="clear" w:color="auto" w:fill="CCEEFF"/>
          </w:tcPr>
          <w:p>
            <w:pPr>
              <w:spacing w:after="0"/>
              <w:rPr>
                <w:sz w:val="11"/>
                <w:szCs w:val="11"/>
                <w:color w:val="auto"/>
              </w:rPr>
            </w:pPr>
          </w:p>
        </w:tc>
        <w:tc>
          <w:tcPr>
            <w:tcW w:w="5420" w:type="dxa"/>
            <w:vAlign w:val="bottom"/>
            <w:gridSpan w:val="27"/>
            <w:shd w:val="clear" w:color="auto" w:fill="CCEEFF"/>
          </w:tcPr>
          <w:p>
            <w:pPr>
              <w:spacing w:after="0" w:line="135" w:lineRule="exact"/>
              <w:rPr>
                <w:rFonts w:ascii="Arial" w:cs="Arial" w:eastAsia="Arial" w:hAnsi="Arial"/>
                <w:sz w:val="12"/>
                <w:szCs w:val="12"/>
                <w:color w:val="0000FF"/>
              </w:rPr>
            </w:pPr>
            <w:hyperlink r:id="rId29">
              <w:r>
                <w:rPr>
                  <w:rFonts w:ascii="Arial" w:cs="Arial" w:eastAsia="Arial" w:hAnsi="Arial"/>
                  <w:sz w:val="12"/>
                  <w:szCs w:val="12"/>
                  <w:color w:val="0000FF"/>
                </w:rPr>
                <w:t>Description of Executive Officer Incentive Plan</w:t>
              </w:r>
            </w:hyperlink>
          </w:p>
        </w:tc>
        <w:tc>
          <w:tcPr>
            <w:tcW w:w="1600" w:type="dxa"/>
            <w:vAlign w:val="bottom"/>
            <w:gridSpan w:val="3"/>
            <w:shd w:val="clear" w:color="auto" w:fill="CCEEFF"/>
          </w:tcPr>
          <w:p>
            <w:pPr>
              <w:jc w:val="center"/>
              <w:ind w:right="40"/>
              <w:spacing w:after="0" w:line="135" w:lineRule="exact"/>
              <w:rPr>
                <w:sz w:val="20"/>
                <w:szCs w:val="20"/>
                <w:color w:val="auto"/>
              </w:rPr>
            </w:pPr>
            <w:r>
              <w:rPr>
                <w:rFonts w:ascii="Arial" w:cs="Arial" w:eastAsia="Arial" w:hAnsi="Arial"/>
                <w:sz w:val="12"/>
                <w:szCs w:val="12"/>
                <w:color w:val="auto"/>
                <w:w w:val="95"/>
              </w:rPr>
              <w:t>Form 8-K</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94"/>
              </w:rPr>
              <w:t>2/4/2011</w:t>
            </w: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8"/>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Item 5.02</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gridSpan w:val="6"/>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0000FF"/>
            </w:tcBorders>
            <w:gridSpan w:val="9"/>
            <w:shd w:val="clear" w:color="auto" w:fill="CCEEFF"/>
          </w:tcPr>
          <w:p>
            <w:pPr>
              <w:spacing w:after="0"/>
              <w:rPr>
                <w:sz w:val="2"/>
                <w:szCs w:val="2"/>
                <w:color w:val="auto"/>
              </w:rPr>
            </w:pPr>
          </w:p>
        </w:tc>
        <w:tc>
          <w:tcPr>
            <w:tcW w:w="8140" w:type="dxa"/>
            <w:vAlign w:val="bottom"/>
            <w:tcBorders>
              <w:top w:val="single" w:sz="8" w:color="CCEEFF"/>
            </w:tcBorders>
            <w:gridSpan w:val="39"/>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340" w:type="dxa"/>
            <w:vAlign w:val="bottom"/>
            <w:gridSpan w:val="6"/>
          </w:tcPr>
          <w:p>
            <w:pPr>
              <w:jc w:val="center"/>
              <w:spacing w:after="0" w:line="135" w:lineRule="exact"/>
              <w:rPr>
                <w:rFonts w:ascii="Arial" w:cs="Arial" w:eastAsia="Arial" w:hAnsi="Arial"/>
                <w:sz w:val="12"/>
                <w:szCs w:val="12"/>
                <w:color w:val="0000FF"/>
                <w:w w:val="92"/>
              </w:rPr>
            </w:pPr>
            <w:hyperlink r:id="rId30">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15†</w:t>
              </w:r>
            </w:hyperlink>
          </w:p>
        </w:tc>
        <w:tc>
          <w:tcPr>
            <w:tcW w:w="360" w:type="dxa"/>
            <w:vAlign w:val="bottom"/>
          </w:tcPr>
          <w:p>
            <w:pPr>
              <w:spacing w:after="0"/>
              <w:rPr>
                <w:sz w:val="11"/>
                <w:szCs w:val="11"/>
                <w:color w:val="auto"/>
              </w:rPr>
            </w:pPr>
          </w:p>
        </w:tc>
        <w:tc>
          <w:tcPr>
            <w:tcW w:w="5420" w:type="dxa"/>
            <w:vAlign w:val="bottom"/>
            <w:gridSpan w:val="27"/>
          </w:tcPr>
          <w:p>
            <w:pPr>
              <w:spacing w:after="0" w:line="135" w:lineRule="exact"/>
              <w:rPr>
                <w:rFonts w:ascii="Arial" w:cs="Arial" w:eastAsia="Arial" w:hAnsi="Arial"/>
                <w:sz w:val="12"/>
                <w:szCs w:val="12"/>
                <w:color w:val="0000FF"/>
                <w:w w:val="93"/>
              </w:rPr>
            </w:pPr>
            <w:hyperlink r:id="rId30">
              <w:r>
                <w:rPr>
                  <w:rFonts w:ascii="Arial" w:cs="Arial" w:eastAsia="Arial" w:hAnsi="Arial"/>
                  <w:sz w:val="12"/>
                  <w:szCs w:val="12"/>
                  <w:color w:val="0000FF"/>
                  <w:w w:val="93"/>
                </w:rPr>
                <w:t>Amended and Restated Chief Executive Officer Employment Agreement between Align Technology, Inc. and</w:t>
              </w:r>
            </w:hyperlink>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60" w:type="dxa"/>
            <w:vAlign w:val="bottom"/>
          </w:tcPr>
          <w:p>
            <w:pPr>
              <w:spacing w:after="0"/>
              <w:rPr>
                <w:sz w:val="10"/>
                <w:szCs w:val="10"/>
                <w:color w:val="auto"/>
              </w:rPr>
            </w:pPr>
          </w:p>
        </w:tc>
        <w:tc>
          <w:tcPr>
            <w:tcW w:w="528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30">
              <w:r>
                <w:rPr>
                  <w:rFonts w:ascii="Arial" w:cs="Arial" w:eastAsia="Arial" w:hAnsi="Arial"/>
                  <w:sz w:val="12"/>
                  <w:szCs w:val="12"/>
                  <w:color w:val="0000FF"/>
                </w:rPr>
                <w:t>Joseph Hogan</w:t>
              </w:r>
            </w:hyperlink>
          </w:p>
        </w:tc>
        <w:tc>
          <w:tcPr>
            <w:tcW w:w="140" w:type="dxa"/>
            <w:vAlign w:val="bottom"/>
            <w:gridSpan w:val="3"/>
          </w:tcPr>
          <w:p>
            <w:pPr>
              <w:spacing w:after="0"/>
              <w:rPr>
                <w:sz w:val="10"/>
                <w:szCs w:val="10"/>
                <w:color w:val="auto"/>
              </w:rPr>
            </w:pPr>
          </w:p>
        </w:tc>
        <w:tc>
          <w:tcPr>
            <w:tcW w:w="1600" w:type="dxa"/>
            <w:vAlign w:val="bottom"/>
            <w:gridSpan w:val="3"/>
          </w:tcPr>
          <w:p>
            <w:pPr>
              <w:jc w:val="center"/>
              <w:ind w:right="60"/>
              <w:spacing w:after="0" w:line="124" w:lineRule="exact"/>
              <w:rPr>
                <w:sz w:val="20"/>
                <w:szCs w:val="20"/>
                <w:color w:val="auto"/>
              </w:rPr>
            </w:pPr>
            <w:r>
              <w:rPr>
                <w:rFonts w:ascii="Arial" w:cs="Arial" w:eastAsia="Arial" w:hAnsi="Arial"/>
                <w:sz w:val="12"/>
                <w:szCs w:val="12"/>
                <w:color w:val="auto"/>
                <w:w w:val="93"/>
              </w:rPr>
              <w:t>Form 10-Q</w:t>
            </w:r>
          </w:p>
        </w:tc>
        <w:tc>
          <w:tcPr>
            <w:tcW w:w="1080" w:type="dxa"/>
            <w:vAlign w:val="bottom"/>
            <w:gridSpan w:val="3"/>
          </w:tcPr>
          <w:p>
            <w:pPr>
              <w:jc w:val="center"/>
              <w:ind w:right="200"/>
              <w:spacing w:after="0" w:line="124" w:lineRule="exact"/>
              <w:rPr>
                <w:sz w:val="20"/>
                <w:szCs w:val="20"/>
                <w:color w:val="auto"/>
              </w:rPr>
            </w:pPr>
            <w:r>
              <w:rPr>
                <w:rFonts w:ascii="Arial" w:cs="Arial" w:eastAsia="Arial" w:hAnsi="Arial"/>
                <w:sz w:val="12"/>
                <w:szCs w:val="12"/>
                <w:color w:val="auto"/>
                <w:w w:val="94"/>
              </w:rPr>
              <w:t>5/1/2015</w:t>
            </w:r>
          </w:p>
        </w:tc>
        <w:tc>
          <w:tcPr>
            <w:tcW w:w="740" w:type="dxa"/>
            <w:vAlign w:val="bottom"/>
            <w:gridSpan w:val="6"/>
          </w:tcPr>
          <w:p>
            <w:pPr>
              <w:jc w:val="center"/>
              <w:ind w:left="440"/>
              <w:spacing w:after="0" w:line="124" w:lineRule="exact"/>
              <w:rPr>
                <w:sz w:val="20"/>
                <w:szCs w:val="20"/>
                <w:color w:val="auto"/>
              </w:rPr>
            </w:pPr>
            <w:r>
              <w:rPr>
                <w:rFonts w:ascii="Arial" w:cs="Arial" w:eastAsia="Arial" w:hAnsi="Arial"/>
                <w:sz w:val="12"/>
                <w:szCs w:val="12"/>
                <w:color w:val="auto"/>
                <w:w w:val="85"/>
              </w:rPr>
              <w:t>10.3</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40" w:type="dxa"/>
            <w:vAlign w:val="bottom"/>
            <w:gridSpan w:val="8"/>
          </w:tcPr>
          <w:p>
            <w:pPr>
              <w:spacing w:after="0"/>
              <w:rPr>
                <w:sz w:val="2"/>
                <w:szCs w:val="2"/>
                <w:color w:val="auto"/>
              </w:rPr>
            </w:pPr>
          </w:p>
        </w:tc>
        <w:tc>
          <w:tcPr>
            <w:tcW w:w="680" w:type="dxa"/>
            <w:vAlign w:val="bottom"/>
            <w:tcBorders>
              <w:top w:val="single" w:sz="8" w:color="0000FF"/>
            </w:tcBorders>
            <w:gridSpan w:val="3"/>
          </w:tcPr>
          <w:p>
            <w:pPr>
              <w:spacing w:after="0"/>
              <w:rPr>
                <w:sz w:val="2"/>
                <w:szCs w:val="2"/>
                <w:color w:val="auto"/>
              </w:rPr>
            </w:pPr>
          </w:p>
        </w:tc>
        <w:tc>
          <w:tcPr>
            <w:tcW w:w="9760" w:type="dxa"/>
            <w:vAlign w:val="bottom"/>
            <w:gridSpan w:val="4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center"/>
              <w:spacing w:after="0" w:line="135" w:lineRule="exact"/>
              <w:rPr>
                <w:rFonts w:ascii="Arial" w:cs="Arial" w:eastAsia="Arial" w:hAnsi="Arial"/>
                <w:sz w:val="12"/>
                <w:szCs w:val="12"/>
                <w:color w:val="0000FF"/>
                <w:w w:val="92"/>
              </w:rPr>
            </w:pPr>
            <w:hyperlink r:id="rId31">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16†</w:t>
              </w:r>
            </w:hyperlink>
          </w:p>
        </w:tc>
        <w:tc>
          <w:tcPr>
            <w:tcW w:w="360" w:type="dxa"/>
            <w:vAlign w:val="bottom"/>
            <w:shd w:val="clear" w:color="auto" w:fill="CCEEFF"/>
          </w:tcPr>
          <w:p>
            <w:pPr>
              <w:spacing w:after="0"/>
              <w:rPr>
                <w:sz w:val="11"/>
                <w:szCs w:val="11"/>
                <w:color w:val="auto"/>
              </w:rPr>
            </w:pPr>
          </w:p>
        </w:tc>
        <w:tc>
          <w:tcPr>
            <w:tcW w:w="5420" w:type="dxa"/>
            <w:vAlign w:val="bottom"/>
            <w:gridSpan w:val="27"/>
            <w:shd w:val="clear" w:color="auto" w:fill="CCEEFF"/>
          </w:tcPr>
          <w:p>
            <w:pPr>
              <w:spacing w:after="0" w:line="135" w:lineRule="exact"/>
              <w:rPr>
                <w:rFonts w:ascii="Arial" w:cs="Arial" w:eastAsia="Arial" w:hAnsi="Arial"/>
                <w:sz w:val="12"/>
                <w:szCs w:val="12"/>
                <w:color w:val="0000FF"/>
              </w:rPr>
            </w:pPr>
            <w:hyperlink r:id="rId31">
              <w:r>
                <w:rPr>
                  <w:rFonts w:ascii="Arial" w:cs="Arial" w:eastAsia="Arial" w:hAnsi="Arial"/>
                  <w:sz w:val="12"/>
                  <w:szCs w:val="12"/>
                  <w:color w:val="0000FF"/>
                </w:rPr>
                <w:t>2005 Incentive Plan Notice of Grant of Restricted Stock units (Chief Executive Officer)</w:t>
              </w:r>
            </w:hyperlink>
          </w:p>
        </w:tc>
        <w:tc>
          <w:tcPr>
            <w:tcW w:w="16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w w:val="93"/>
              </w:rPr>
              <w:t>Form 10-Q</w:t>
            </w:r>
          </w:p>
        </w:tc>
        <w:tc>
          <w:tcPr>
            <w:tcW w:w="1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7/30/2015</w:t>
            </w:r>
          </w:p>
        </w:tc>
        <w:tc>
          <w:tcPr>
            <w:tcW w:w="780" w:type="dxa"/>
            <w:vAlign w:val="bottom"/>
            <w:gridSpan w:val="7"/>
            <w:shd w:val="clear" w:color="auto" w:fill="CCEEFF"/>
          </w:tcPr>
          <w:p>
            <w:pPr>
              <w:jc w:val="center"/>
              <w:ind w:left="400"/>
              <w:spacing w:after="0" w:line="135" w:lineRule="exact"/>
              <w:rPr>
                <w:sz w:val="20"/>
                <w:szCs w:val="20"/>
                <w:color w:val="auto"/>
              </w:rPr>
            </w:pPr>
            <w:r>
              <w:rPr>
                <w:rFonts w:ascii="Arial" w:cs="Arial" w:eastAsia="Arial" w:hAnsi="Arial"/>
                <w:sz w:val="12"/>
                <w:szCs w:val="12"/>
                <w:color w:val="auto"/>
                <w:w w:val="93"/>
              </w:rPr>
              <w:t>10.31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gridSpan w:val="6"/>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20" w:type="dxa"/>
            <w:vAlign w:val="bottom"/>
            <w:tcBorders>
              <w:top w:val="single" w:sz="8" w:color="0000FF"/>
            </w:tcBorders>
            <w:gridSpan w:val="18"/>
            <w:shd w:val="clear" w:color="auto" w:fill="CCEEFF"/>
          </w:tcPr>
          <w:p>
            <w:pPr>
              <w:spacing w:after="0"/>
              <w:rPr>
                <w:sz w:val="2"/>
                <w:szCs w:val="2"/>
                <w:color w:val="auto"/>
              </w:rPr>
            </w:pPr>
          </w:p>
        </w:tc>
        <w:tc>
          <w:tcPr>
            <w:tcW w:w="6220" w:type="dxa"/>
            <w:vAlign w:val="bottom"/>
            <w:tcBorders>
              <w:top w:val="single" w:sz="8" w:color="CCEEFF"/>
            </w:tcBorders>
            <w:gridSpan w:val="30"/>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340" w:type="dxa"/>
            <w:vAlign w:val="bottom"/>
            <w:gridSpan w:val="6"/>
          </w:tcPr>
          <w:p>
            <w:pPr>
              <w:jc w:val="center"/>
              <w:spacing w:after="0" w:line="135" w:lineRule="exact"/>
              <w:rPr>
                <w:rFonts w:ascii="Arial" w:cs="Arial" w:eastAsia="Arial" w:hAnsi="Arial"/>
                <w:sz w:val="12"/>
                <w:szCs w:val="12"/>
                <w:color w:val="0000FF"/>
                <w:w w:val="92"/>
              </w:rPr>
            </w:pPr>
            <w:hyperlink r:id="rId32">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17†</w:t>
              </w:r>
            </w:hyperlink>
          </w:p>
        </w:tc>
        <w:tc>
          <w:tcPr>
            <w:tcW w:w="360" w:type="dxa"/>
            <w:vAlign w:val="bottom"/>
          </w:tcPr>
          <w:p>
            <w:pPr>
              <w:spacing w:after="0"/>
              <w:rPr>
                <w:sz w:val="11"/>
                <w:szCs w:val="11"/>
                <w:color w:val="auto"/>
              </w:rPr>
            </w:pPr>
          </w:p>
        </w:tc>
        <w:tc>
          <w:tcPr>
            <w:tcW w:w="5420" w:type="dxa"/>
            <w:vAlign w:val="bottom"/>
            <w:gridSpan w:val="27"/>
          </w:tcPr>
          <w:p>
            <w:pPr>
              <w:spacing w:after="0" w:line="135" w:lineRule="exact"/>
              <w:rPr>
                <w:rFonts w:ascii="Arial" w:cs="Arial" w:eastAsia="Arial" w:hAnsi="Arial"/>
                <w:sz w:val="12"/>
                <w:szCs w:val="12"/>
                <w:color w:val="0000FF"/>
                <w:w w:val="94"/>
              </w:rPr>
            </w:pPr>
            <w:hyperlink r:id="rId32">
              <w:r>
                <w:rPr>
                  <w:rFonts w:ascii="Arial" w:cs="Arial" w:eastAsia="Arial" w:hAnsi="Arial"/>
                  <w:sz w:val="12"/>
                  <w:szCs w:val="12"/>
                  <w:color w:val="0000FF"/>
                  <w:w w:val="94"/>
                </w:rPr>
                <w:t>Amended and Restated 2005 Incentive Plan Notice of Grant of Market Stock Units (Chief Executive Officer)</w:t>
              </w:r>
            </w:hyperlink>
          </w:p>
        </w:tc>
        <w:tc>
          <w:tcPr>
            <w:tcW w:w="1600" w:type="dxa"/>
            <w:vAlign w:val="bottom"/>
            <w:gridSpan w:val="3"/>
          </w:tcPr>
          <w:p>
            <w:pPr>
              <w:jc w:val="center"/>
              <w:ind w:right="60"/>
              <w:spacing w:after="0" w:line="135" w:lineRule="exact"/>
              <w:rPr>
                <w:sz w:val="20"/>
                <w:szCs w:val="20"/>
                <w:color w:val="auto"/>
              </w:rPr>
            </w:pPr>
            <w:r>
              <w:rPr>
                <w:rFonts w:ascii="Arial" w:cs="Arial" w:eastAsia="Arial" w:hAnsi="Arial"/>
                <w:sz w:val="12"/>
                <w:szCs w:val="12"/>
                <w:color w:val="auto"/>
                <w:w w:val="93"/>
              </w:rPr>
              <w:t>Form 10-Q</w:t>
            </w: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2"/>
                <w:szCs w:val="12"/>
                <w:color w:val="auto"/>
                <w:w w:val="89"/>
              </w:rPr>
              <w:t>7/30/2015</w:t>
            </w:r>
          </w:p>
        </w:tc>
        <w:tc>
          <w:tcPr>
            <w:tcW w:w="780" w:type="dxa"/>
            <w:vAlign w:val="bottom"/>
            <w:gridSpan w:val="7"/>
          </w:tcPr>
          <w:p>
            <w:pPr>
              <w:jc w:val="center"/>
              <w:ind w:left="400"/>
              <w:spacing w:after="0" w:line="135" w:lineRule="exact"/>
              <w:rPr>
                <w:sz w:val="20"/>
                <w:szCs w:val="20"/>
                <w:color w:val="auto"/>
              </w:rPr>
            </w:pPr>
            <w:r>
              <w:rPr>
                <w:rFonts w:ascii="Arial" w:cs="Arial" w:eastAsia="Arial" w:hAnsi="Arial"/>
                <w:sz w:val="12"/>
                <w:szCs w:val="12"/>
                <w:color w:val="auto"/>
                <w:w w:val="93"/>
              </w:rPr>
              <w:t>10.34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5100" w:type="dxa"/>
            <w:vAlign w:val="bottom"/>
            <w:tcBorders>
              <w:top w:val="single" w:sz="8" w:color="0000FF"/>
            </w:tcBorders>
            <w:gridSpan w:val="19"/>
          </w:tcPr>
          <w:p>
            <w:pPr>
              <w:ind w:left="4640"/>
              <w:spacing w:after="0"/>
              <w:rPr>
                <w:sz w:val="20"/>
                <w:szCs w:val="20"/>
                <w:color w:val="auto"/>
              </w:rPr>
            </w:pPr>
            <w:r>
              <w:rPr>
                <w:rFonts w:ascii="Arial" w:cs="Arial" w:eastAsia="Arial" w:hAnsi="Arial"/>
                <w:sz w:val="12"/>
                <w:szCs w:val="12"/>
                <w:color w:val="auto"/>
              </w:rPr>
              <w:t>98</w:t>
            </w: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653" w:right="1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6"/>
          </w:tcPr>
          <w:p>
            <w:pPr>
              <w:jc w:val="center"/>
              <w:ind w:right="120"/>
              <w:spacing w:after="0"/>
              <w:rPr>
                <w:sz w:val="20"/>
                <w:szCs w:val="20"/>
                <w:color w:val="auto"/>
              </w:rPr>
            </w:pPr>
            <w:r>
              <w:rPr>
                <w:rFonts w:ascii="Arial" w:cs="Arial" w:eastAsia="Arial" w:hAnsi="Arial"/>
                <w:sz w:val="10"/>
                <w:szCs w:val="10"/>
                <w:b w:val="1"/>
                <w:bCs w:val="1"/>
                <w:color w:val="auto"/>
                <w:w w:val="95"/>
              </w:rPr>
              <w:t>Exhibit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top w:val="single" w:sz="8" w:color="auto"/>
              <w:bottom w:val="single" w:sz="8" w:color="auto"/>
            </w:tcBorders>
            <w:gridSpan w:val="3"/>
          </w:tcPr>
          <w:p>
            <w:pPr>
              <w:jc w:val="center"/>
              <w:spacing w:after="0" w:line="79" w:lineRule="exact"/>
              <w:rPr>
                <w:sz w:val="20"/>
                <w:szCs w:val="20"/>
                <w:color w:val="auto"/>
              </w:rPr>
            </w:pPr>
            <w:r>
              <w:rPr>
                <w:rFonts w:ascii="Arial" w:cs="Arial" w:eastAsia="Arial" w:hAnsi="Arial"/>
                <w:sz w:val="8"/>
                <w:szCs w:val="8"/>
                <w:b w:val="1"/>
                <w:bCs w:val="1"/>
                <w:color w:val="auto"/>
              </w:rPr>
              <w:t>Number</w:t>
            </w: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700" w:type="dxa"/>
            <w:vAlign w:val="bottom"/>
            <w:gridSpan w:val="8"/>
            <w:vMerge w:val="restart"/>
          </w:tcPr>
          <w:p>
            <w:pPr>
              <w:jc w:val="center"/>
              <w:ind w:right="360"/>
              <w:spacing w:after="0"/>
              <w:rPr>
                <w:sz w:val="20"/>
                <w:szCs w:val="20"/>
                <w:color w:val="auto"/>
              </w:rPr>
            </w:pPr>
            <w:r>
              <w:rPr>
                <w:rFonts w:ascii="Arial" w:cs="Arial" w:eastAsia="Arial" w:hAnsi="Arial"/>
                <w:sz w:val="10"/>
                <w:szCs w:val="10"/>
                <w:b w:val="1"/>
                <w:bCs w:val="1"/>
                <w:color w:val="auto"/>
                <w:w w:val="89"/>
              </w:rPr>
              <w:t>Exhibit</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5"/>
          </w:tcPr>
          <w:p>
            <w:pPr>
              <w:jc w:val="center"/>
              <w:spacing w:after="0" w:line="79" w:lineRule="exact"/>
              <w:rPr>
                <w:sz w:val="20"/>
                <w:szCs w:val="20"/>
                <w:color w:val="auto"/>
              </w:rPr>
            </w:pPr>
            <w:r>
              <w:rPr>
                <w:rFonts w:ascii="Arial" w:cs="Arial" w:eastAsia="Arial" w:hAnsi="Arial"/>
                <w:sz w:val="8"/>
                <w:szCs w:val="8"/>
                <w:b w:val="1"/>
                <w:bCs w:val="1"/>
                <w:color w:val="auto"/>
                <w:w w:val="73"/>
              </w:rPr>
              <w:t>Incorporated</w:t>
            </w: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Filed</w:t>
            </w: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700" w:type="dxa"/>
            <w:vAlign w:val="bottom"/>
            <w:gridSpan w:val="8"/>
            <w:vMerge w:val="continue"/>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8"/>
          </w:tcPr>
          <w:p>
            <w:pPr>
              <w:jc w:val="center"/>
              <w:ind w:right="20"/>
              <w:spacing w:after="0" w:line="79" w:lineRule="exact"/>
              <w:rPr>
                <w:sz w:val="20"/>
                <w:szCs w:val="20"/>
                <w:color w:val="auto"/>
              </w:rPr>
            </w:pPr>
            <w:r>
              <w:rPr>
                <w:rFonts w:ascii="Arial" w:cs="Arial" w:eastAsia="Arial" w:hAnsi="Arial"/>
                <w:sz w:val="8"/>
                <w:szCs w:val="8"/>
                <w:b w:val="1"/>
                <w:bCs w:val="1"/>
                <w:color w:val="auto"/>
              </w:rPr>
              <w:t>by Reference</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40" w:type="dxa"/>
            <w:vAlign w:val="bottom"/>
            <w:gridSpan w:val="9"/>
          </w:tcPr>
          <w:p>
            <w:pPr>
              <w:jc w:val="center"/>
              <w:ind w:right="20"/>
              <w:spacing w:after="0" w:line="79" w:lineRule="exact"/>
              <w:rPr>
                <w:sz w:val="20"/>
                <w:szCs w:val="20"/>
                <w:color w:val="auto"/>
              </w:rPr>
            </w:pPr>
            <w:r>
              <w:rPr>
                <w:rFonts w:ascii="Arial" w:cs="Arial" w:eastAsia="Arial" w:hAnsi="Arial"/>
                <w:sz w:val="8"/>
                <w:szCs w:val="8"/>
                <w:b w:val="1"/>
                <w:bCs w:val="1"/>
                <w:color w:val="auto"/>
              </w:rPr>
              <w:t>Number</w:t>
            </w: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20" w:type="dxa"/>
            <w:vAlign w:val="bottom"/>
            <w:gridSpan w:val="17"/>
          </w:tcPr>
          <w:p>
            <w:pPr>
              <w:ind w:left="660"/>
              <w:spacing w:after="0" w:line="79" w:lineRule="exact"/>
              <w:rPr>
                <w:sz w:val="20"/>
                <w:szCs w:val="20"/>
                <w:color w:val="auto"/>
              </w:rPr>
            </w:pPr>
            <w:r>
              <w:rPr>
                <w:rFonts w:ascii="Arial" w:cs="Arial" w:eastAsia="Arial" w:hAnsi="Arial"/>
                <w:sz w:val="8"/>
                <w:szCs w:val="8"/>
                <w:b w:val="1"/>
                <w:bCs w:val="1"/>
                <w:color w:val="auto"/>
              </w:rPr>
              <w:t>Description</w:t>
            </w:r>
          </w:p>
        </w:tc>
        <w:tc>
          <w:tcPr>
            <w:tcW w:w="1140" w:type="dxa"/>
            <w:vAlign w:val="bottom"/>
            <w:gridSpan w:val="3"/>
          </w:tcPr>
          <w:p>
            <w:pPr>
              <w:jc w:val="center"/>
              <w:ind w:right="100"/>
              <w:spacing w:after="0" w:line="79" w:lineRule="exact"/>
              <w:rPr>
                <w:sz w:val="20"/>
                <w:szCs w:val="20"/>
                <w:color w:val="auto"/>
              </w:rPr>
            </w:pPr>
            <w:r>
              <w:rPr>
                <w:rFonts w:ascii="Arial" w:cs="Arial" w:eastAsia="Arial" w:hAnsi="Arial"/>
                <w:sz w:val="8"/>
                <w:szCs w:val="8"/>
                <w:b w:val="1"/>
                <w:bCs w:val="1"/>
                <w:color w:val="auto"/>
              </w:rPr>
              <w:t>Form</w:t>
            </w:r>
          </w:p>
        </w:tc>
        <w:tc>
          <w:tcPr>
            <w:tcW w:w="540" w:type="dxa"/>
            <w:vAlign w:val="bottom"/>
          </w:tcPr>
          <w:p>
            <w:pPr>
              <w:spacing w:after="0"/>
              <w:rPr>
                <w:sz w:val="6"/>
                <w:szCs w:val="6"/>
                <w:color w:val="auto"/>
              </w:rPr>
            </w:pPr>
          </w:p>
        </w:tc>
        <w:tc>
          <w:tcPr>
            <w:tcW w:w="74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gridSpan w:val="4"/>
          </w:tcPr>
          <w:p>
            <w:pPr>
              <w:jc w:val="center"/>
              <w:ind w:right="140"/>
              <w:spacing w:after="0" w:line="79" w:lineRule="exact"/>
              <w:rPr>
                <w:sz w:val="20"/>
                <w:szCs w:val="20"/>
                <w:color w:val="auto"/>
              </w:rPr>
            </w:pPr>
            <w:r>
              <w:rPr>
                <w:rFonts w:ascii="Arial" w:cs="Arial" w:eastAsia="Arial" w:hAnsi="Arial"/>
                <w:sz w:val="8"/>
                <w:szCs w:val="8"/>
                <w:b w:val="1"/>
                <w:bCs w:val="1"/>
                <w:color w:val="auto"/>
                <w:w w:val="99"/>
              </w:rPr>
              <w:t>herein</w:t>
            </w: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6"/>
                <w:szCs w:val="6"/>
                <w:b w:val="1"/>
                <w:bCs w:val="1"/>
                <w:color w:val="auto"/>
                <w:w w:val="72"/>
              </w:rPr>
              <w:t>herewith</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340" w:type="dxa"/>
            <w:vAlign w:val="bottom"/>
            <w:gridSpan w:val="7"/>
            <w:shd w:val="clear" w:color="auto" w:fill="CCEEFF"/>
          </w:tcPr>
          <w:p>
            <w:pPr>
              <w:jc w:val="center"/>
              <w:spacing w:after="0" w:line="135" w:lineRule="exact"/>
              <w:rPr>
                <w:rFonts w:ascii="Arial" w:cs="Arial" w:eastAsia="Arial" w:hAnsi="Arial"/>
                <w:sz w:val="12"/>
                <w:szCs w:val="12"/>
                <w:color w:val="0000FF"/>
                <w:w w:val="92"/>
              </w:rPr>
            </w:pPr>
            <w:hyperlink r:id="rId33">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18†</w:t>
              </w:r>
            </w:hyperlink>
          </w:p>
        </w:tc>
        <w:tc>
          <w:tcPr>
            <w:tcW w:w="360" w:type="dxa"/>
            <w:vAlign w:val="bottom"/>
            <w:shd w:val="clear" w:color="auto" w:fill="CCEEFF"/>
          </w:tcPr>
          <w:p>
            <w:pPr>
              <w:spacing w:after="0"/>
              <w:rPr>
                <w:sz w:val="11"/>
                <w:szCs w:val="11"/>
                <w:color w:val="auto"/>
              </w:rPr>
            </w:pPr>
          </w:p>
        </w:tc>
        <w:tc>
          <w:tcPr>
            <w:tcW w:w="5680" w:type="dxa"/>
            <w:vAlign w:val="bottom"/>
            <w:gridSpan w:val="22"/>
            <w:shd w:val="clear" w:color="auto" w:fill="CCEEFF"/>
          </w:tcPr>
          <w:p>
            <w:pPr>
              <w:spacing w:after="0" w:line="135" w:lineRule="exact"/>
              <w:rPr>
                <w:rFonts w:ascii="Arial" w:cs="Arial" w:eastAsia="Arial" w:hAnsi="Arial"/>
                <w:sz w:val="12"/>
                <w:szCs w:val="12"/>
                <w:color w:val="0000FF"/>
              </w:rPr>
            </w:pPr>
            <w:hyperlink r:id="rId33">
              <w:r>
                <w:rPr>
                  <w:rFonts w:ascii="Arial" w:cs="Arial" w:eastAsia="Arial" w:hAnsi="Arial"/>
                  <w:sz w:val="12"/>
                  <w:szCs w:val="12"/>
                  <w:color w:val="0000FF"/>
                </w:rPr>
                <w:t>Employment Agreement between registrant and John F. Morici (Chief Financial Officer)</w:t>
              </w:r>
            </w:hyperlink>
          </w:p>
        </w:tc>
        <w:tc>
          <w:tcPr>
            <w:tcW w:w="1140" w:type="dxa"/>
            <w:vAlign w:val="bottom"/>
            <w:gridSpan w:val="3"/>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3"/>
              </w:rPr>
              <w:t>Form 10-Q</w:t>
            </w:r>
          </w:p>
        </w:tc>
        <w:tc>
          <w:tcPr>
            <w:tcW w:w="128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11/8/2016</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340" w:type="dxa"/>
            <w:vAlign w:val="bottom"/>
            <w:gridSpan w:val="7"/>
          </w:tcPr>
          <w:p>
            <w:pPr>
              <w:jc w:val="center"/>
              <w:spacing w:after="0" w:line="135" w:lineRule="exact"/>
              <w:rPr>
                <w:rFonts w:ascii="Arial" w:cs="Arial" w:eastAsia="Arial" w:hAnsi="Arial"/>
                <w:sz w:val="12"/>
                <w:szCs w:val="12"/>
                <w:color w:val="0000FF"/>
                <w:w w:val="86"/>
              </w:rPr>
            </w:pPr>
            <w:hyperlink r:id="rId34">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19</w:t>
              </w:r>
            </w:hyperlink>
          </w:p>
        </w:tc>
        <w:tc>
          <w:tcPr>
            <w:tcW w:w="360" w:type="dxa"/>
            <w:vAlign w:val="bottom"/>
          </w:tcPr>
          <w:p>
            <w:pPr>
              <w:spacing w:after="0"/>
              <w:rPr>
                <w:sz w:val="11"/>
                <w:szCs w:val="11"/>
                <w:color w:val="auto"/>
              </w:rPr>
            </w:pPr>
          </w:p>
        </w:tc>
        <w:tc>
          <w:tcPr>
            <w:tcW w:w="5680" w:type="dxa"/>
            <w:vAlign w:val="bottom"/>
            <w:gridSpan w:val="22"/>
          </w:tcPr>
          <w:p>
            <w:pPr>
              <w:spacing w:after="0" w:line="135" w:lineRule="exact"/>
              <w:rPr>
                <w:rFonts w:ascii="Arial" w:cs="Arial" w:eastAsia="Arial" w:hAnsi="Arial"/>
                <w:sz w:val="12"/>
                <w:szCs w:val="12"/>
                <w:color w:val="0000FF"/>
                <w:w w:val="95"/>
              </w:rPr>
            </w:pPr>
            <w:hyperlink r:id="rId34">
              <w:r>
                <w:rPr>
                  <w:rFonts w:ascii="Arial" w:cs="Arial" w:eastAsia="Arial" w:hAnsi="Arial"/>
                  <w:sz w:val="12"/>
                  <w:szCs w:val="12"/>
                  <w:color w:val="0000FF"/>
                  <w:w w:val="95"/>
                </w:rPr>
                <w:t>Purchase and Sale Agreement between registrant and LBA RIV-Company XXX, LLC dated December 19, 2016</w:t>
              </w:r>
            </w:hyperlink>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2"/>
                <w:szCs w:val="12"/>
                <w:color w:val="auto"/>
                <w:w w:val="95"/>
              </w:rPr>
              <w:t>Form 8-K</w:t>
            </w:r>
          </w:p>
        </w:tc>
        <w:tc>
          <w:tcPr>
            <w:tcW w:w="128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93"/>
              </w:rPr>
              <w:t>12/23/2016</w:t>
            </w:r>
          </w:p>
        </w:tc>
        <w:tc>
          <w:tcPr>
            <w:tcW w:w="740" w:type="dxa"/>
            <w:vAlign w:val="bottom"/>
            <w:gridSpan w:val="6"/>
          </w:tcPr>
          <w:p>
            <w:pPr>
              <w:jc w:val="center"/>
              <w:ind w:left="440"/>
              <w:spacing w:after="0" w:line="135" w:lineRule="exact"/>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gridSpan w:val="8"/>
            <w:shd w:val="clear" w:color="auto" w:fill="CCEEFF"/>
          </w:tcPr>
          <w:p>
            <w:pPr>
              <w:jc w:val="center"/>
              <w:ind w:left="281"/>
              <w:spacing w:after="0" w:line="135" w:lineRule="exact"/>
              <w:rPr>
                <w:rFonts w:ascii="Arial" w:cs="Arial" w:eastAsia="Arial" w:hAnsi="Arial"/>
                <w:sz w:val="12"/>
                <w:szCs w:val="12"/>
                <w:color w:val="0000FF"/>
                <w:w w:val="86"/>
              </w:rPr>
            </w:pPr>
            <w:hyperlink r:id="rId35">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20</w:t>
              </w:r>
            </w:hyperlink>
          </w:p>
        </w:tc>
        <w:tc>
          <w:tcPr>
            <w:tcW w:w="360" w:type="dxa"/>
            <w:vAlign w:val="bottom"/>
            <w:shd w:val="clear" w:color="auto" w:fill="CCEEFF"/>
          </w:tcPr>
          <w:p>
            <w:pPr>
              <w:spacing w:after="0"/>
              <w:rPr>
                <w:sz w:val="11"/>
                <w:szCs w:val="11"/>
                <w:color w:val="auto"/>
              </w:rPr>
            </w:pPr>
          </w:p>
        </w:tc>
        <w:tc>
          <w:tcPr>
            <w:tcW w:w="5680" w:type="dxa"/>
            <w:vAlign w:val="bottom"/>
            <w:gridSpan w:val="22"/>
            <w:shd w:val="clear" w:color="auto" w:fill="CCEEFF"/>
          </w:tcPr>
          <w:p>
            <w:pPr>
              <w:spacing w:after="0" w:line="135" w:lineRule="exact"/>
              <w:rPr>
                <w:rFonts w:ascii="Arial" w:cs="Arial" w:eastAsia="Arial" w:hAnsi="Arial"/>
                <w:sz w:val="12"/>
                <w:szCs w:val="12"/>
                <w:color w:val="0000FF"/>
              </w:rPr>
            </w:pPr>
            <w:hyperlink r:id="rId35">
              <w:r>
                <w:rPr>
                  <w:rFonts w:ascii="Arial" w:cs="Arial" w:eastAsia="Arial" w:hAnsi="Arial"/>
                  <w:sz w:val="12"/>
                  <w:szCs w:val="12"/>
                  <w:color w:val="0000FF"/>
                </w:rPr>
                <w:t>Class C Non-Incentive Unit Purchase Agreement dated July 25, 2016</w:t>
              </w:r>
            </w:hyperlink>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5"/>
              </w:rPr>
              <w:t>Form 8-K</w:t>
            </w:r>
          </w:p>
        </w:tc>
        <w:tc>
          <w:tcPr>
            <w:tcW w:w="128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7/28/2016</w:t>
            </w:r>
          </w:p>
        </w:tc>
        <w:tc>
          <w:tcPr>
            <w:tcW w:w="740" w:type="dxa"/>
            <w:vAlign w:val="bottom"/>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gridSpan w:val="8"/>
          </w:tcPr>
          <w:p>
            <w:pPr>
              <w:jc w:val="center"/>
              <w:ind w:left="281"/>
              <w:spacing w:after="0" w:line="135" w:lineRule="exact"/>
              <w:rPr>
                <w:rFonts w:ascii="Arial" w:cs="Arial" w:eastAsia="Arial" w:hAnsi="Arial"/>
                <w:sz w:val="12"/>
                <w:szCs w:val="12"/>
                <w:color w:val="0000FF"/>
                <w:w w:val="86"/>
              </w:rPr>
            </w:pPr>
            <w:hyperlink r:id="rId36">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21</w:t>
              </w:r>
            </w:hyperlink>
          </w:p>
        </w:tc>
        <w:tc>
          <w:tcPr>
            <w:tcW w:w="360" w:type="dxa"/>
            <w:vAlign w:val="bottom"/>
          </w:tcPr>
          <w:p>
            <w:pPr>
              <w:spacing w:after="0"/>
              <w:rPr>
                <w:sz w:val="11"/>
                <w:szCs w:val="11"/>
                <w:color w:val="auto"/>
              </w:rPr>
            </w:pPr>
          </w:p>
        </w:tc>
        <w:tc>
          <w:tcPr>
            <w:tcW w:w="5680" w:type="dxa"/>
            <w:vAlign w:val="bottom"/>
            <w:gridSpan w:val="22"/>
          </w:tcPr>
          <w:p>
            <w:pPr>
              <w:spacing w:after="0" w:line="135" w:lineRule="exact"/>
              <w:rPr>
                <w:rFonts w:ascii="Arial" w:cs="Arial" w:eastAsia="Arial" w:hAnsi="Arial"/>
                <w:sz w:val="12"/>
                <w:szCs w:val="12"/>
                <w:color w:val="0000FF"/>
                <w:w w:val="95"/>
              </w:rPr>
            </w:pPr>
            <w:hyperlink r:id="rId36">
              <w:r>
                <w:rPr>
                  <w:rFonts w:ascii="Arial" w:cs="Arial" w:eastAsia="Arial" w:hAnsi="Arial"/>
                  <w:sz w:val="12"/>
                  <w:szCs w:val="12"/>
                  <w:color w:val="0000FF"/>
                  <w:w w:val="95"/>
                </w:rPr>
                <w:t>Purchase and Sale Agreement dated July 24, 2017 between Align Technology de Costa Rica, S.R.L. and Belan</w:t>
              </w:r>
            </w:hyperlink>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340" w:type="dxa"/>
            <w:vAlign w:val="bottom"/>
            <w:tcBorders>
              <w:top w:val="single" w:sz="8" w:color="0000FF"/>
            </w:tcBorders>
            <w:gridSpan w:val="18"/>
          </w:tcPr>
          <w:p>
            <w:pPr>
              <w:spacing w:after="0" w:line="124" w:lineRule="exact"/>
              <w:rPr>
                <w:rFonts w:ascii="Arial" w:cs="Arial" w:eastAsia="Arial" w:hAnsi="Arial"/>
                <w:sz w:val="12"/>
                <w:szCs w:val="12"/>
                <w:color w:val="0000FF"/>
              </w:rPr>
            </w:pPr>
            <w:hyperlink r:id="rId36">
              <w:r>
                <w:rPr>
                  <w:rFonts w:ascii="Arial" w:cs="Arial" w:eastAsia="Arial" w:hAnsi="Arial"/>
                  <w:sz w:val="12"/>
                  <w:szCs w:val="12"/>
                  <w:color w:val="0000FF"/>
                </w:rPr>
                <w:t>Business Center, S.A.</w:t>
              </w:r>
            </w:hyperlink>
          </w:p>
        </w:tc>
        <w:tc>
          <w:tcPr>
            <w:tcW w:w="340" w:type="dxa"/>
            <w:vAlign w:val="bottom"/>
            <w:gridSpan w:val="4"/>
          </w:tcPr>
          <w:p>
            <w:pPr>
              <w:spacing w:after="0"/>
              <w:rPr>
                <w:sz w:val="10"/>
                <w:szCs w:val="10"/>
                <w:color w:val="auto"/>
              </w:rPr>
            </w:pPr>
          </w:p>
        </w:tc>
        <w:tc>
          <w:tcPr>
            <w:tcW w:w="1140" w:type="dxa"/>
            <w:vAlign w:val="bottom"/>
            <w:gridSpan w:val="3"/>
          </w:tcPr>
          <w:p>
            <w:pPr>
              <w:jc w:val="center"/>
              <w:ind w:right="100"/>
              <w:spacing w:after="0" w:line="124" w:lineRule="exact"/>
              <w:rPr>
                <w:sz w:val="20"/>
                <w:szCs w:val="20"/>
                <w:color w:val="auto"/>
              </w:rPr>
            </w:pPr>
            <w:r>
              <w:rPr>
                <w:rFonts w:ascii="Arial" w:cs="Arial" w:eastAsia="Arial" w:hAnsi="Arial"/>
                <w:sz w:val="12"/>
                <w:szCs w:val="12"/>
                <w:color w:val="auto"/>
                <w:w w:val="95"/>
              </w:rPr>
              <w:t>Form 8-K</w:t>
            </w:r>
          </w:p>
        </w:tc>
        <w:tc>
          <w:tcPr>
            <w:tcW w:w="12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89"/>
              </w:rPr>
              <w:t>7/27/2017</w:t>
            </w:r>
          </w:p>
        </w:tc>
        <w:tc>
          <w:tcPr>
            <w:tcW w:w="740" w:type="dxa"/>
            <w:vAlign w:val="bottom"/>
            <w:gridSpan w:val="6"/>
          </w:tcPr>
          <w:p>
            <w:pPr>
              <w:jc w:val="center"/>
              <w:ind w:left="440"/>
              <w:spacing w:after="0" w:line="124" w:lineRule="exact"/>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gridSpan w:val="8"/>
            <w:shd w:val="clear" w:color="auto" w:fill="CCEEFF"/>
          </w:tcPr>
          <w:p>
            <w:pPr>
              <w:jc w:val="center"/>
              <w:ind w:left="281"/>
              <w:spacing w:after="0" w:line="135" w:lineRule="exact"/>
              <w:rPr>
                <w:rFonts w:ascii="Arial" w:cs="Arial" w:eastAsia="Arial" w:hAnsi="Arial"/>
                <w:sz w:val="12"/>
                <w:szCs w:val="12"/>
                <w:color w:val="0000FF"/>
                <w:w w:val="86"/>
              </w:rPr>
            </w:pPr>
            <w:hyperlink r:id="rId37">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22</w:t>
              </w:r>
            </w:hyperlink>
          </w:p>
        </w:tc>
        <w:tc>
          <w:tcPr>
            <w:tcW w:w="360" w:type="dxa"/>
            <w:vAlign w:val="bottom"/>
            <w:shd w:val="clear" w:color="auto" w:fill="CCEEFF"/>
          </w:tcPr>
          <w:p>
            <w:pPr>
              <w:spacing w:after="0"/>
              <w:rPr>
                <w:sz w:val="11"/>
                <w:szCs w:val="11"/>
                <w:color w:val="auto"/>
              </w:rPr>
            </w:pPr>
          </w:p>
        </w:tc>
        <w:tc>
          <w:tcPr>
            <w:tcW w:w="5680" w:type="dxa"/>
            <w:vAlign w:val="bottom"/>
            <w:gridSpan w:val="22"/>
            <w:shd w:val="clear" w:color="auto" w:fill="CCEEFF"/>
          </w:tcPr>
          <w:p>
            <w:pPr>
              <w:spacing w:after="0" w:line="135" w:lineRule="exact"/>
              <w:rPr>
                <w:rFonts w:ascii="Arial" w:cs="Arial" w:eastAsia="Arial" w:hAnsi="Arial"/>
                <w:sz w:val="12"/>
                <w:szCs w:val="12"/>
                <w:color w:val="0000FF"/>
              </w:rPr>
            </w:pPr>
            <w:hyperlink r:id="rId37">
              <w:r>
                <w:rPr>
                  <w:rFonts w:ascii="Arial" w:cs="Arial" w:eastAsia="Arial" w:hAnsi="Arial"/>
                  <w:sz w:val="12"/>
                  <w:szCs w:val="12"/>
                  <w:color w:val="0000FF"/>
                </w:rPr>
                <w:t>Membership Interest Purchase Agreement dated July 24, 2017 between Align Technology, Inc. and</w:t>
              </w:r>
            </w:hyperlink>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0000FF"/>
              <w:bottom w:val="single" w:sz="8" w:color="0000FF"/>
            </w:tcBorders>
            <w:gridSpan w:val="3"/>
            <w:shd w:val="clear" w:color="auto" w:fill="CCEEFF"/>
          </w:tcPr>
          <w:p>
            <w:pPr>
              <w:spacing w:after="0" w:line="124" w:lineRule="exact"/>
              <w:rPr>
                <w:rFonts w:ascii="Arial" w:cs="Arial" w:eastAsia="Arial" w:hAnsi="Arial"/>
                <w:sz w:val="12"/>
                <w:szCs w:val="12"/>
                <w:color w:val="0000FF"/>
                <w:w w:val="94"/>
              </w:rPr>
            </w:pPr>
            <w:hyperlink r:id="rId37">
              <w:r>
                <w:rPr>
                  <w:rFonts w:ascii="Arial" w:cs="Arial" w:eastAsia="Arial" w:hAnsi="Arial"/>
                  <w:sz w:val="12"/>
                  <w:szCs w:val="12"/>
                  <w:color w:val="0000FF"/>
                  <w:w w:val="94"/>
                </w:rPr>
                <w:t>SmileDirectClub, LLC.</w:t>
              </w:r>
            </w:hyperlink>
          </w:p>
        </w:tc>
        <w:tc>
          <w:tcPr>
            <w:tcW w:w="3620" w:type="dxa"/>
            <w:vAlign w:val="bottom"/>
            <w:tcBorders>
              <w:top w:val="single" w:sz="8" w:color="0000FF"/>
              <w:bottom w:val="single" w:sz="8" w:color="CCEEFF"/>
            </w:tcBorders>
            <w:gridSpan w:val="11"/>
            <w:shd w:val="clear" w:color="auto" w:fill="CCEEFF"/>
          </w:tcPr>
          <w:p>
            <w:pPr>
              <w:spacing w:after="0"/>
              <w:rPr>
                <w:sz w:val="12"/>
                <w:szCs w:val="12"/>
                <w:color w:val="auto"/>
              </w:rPr>
            </w:pPr>
          </w:p>
        </w:tc>
        <w:tc>
          <w:tcPr>
            <w:tcW w:w="920" w:type="dxa"/>
            <w:vAlign w:val="bottom"/>
            <w:tcBorders>
              <w:top w:val="single" w:sz="8" w:color="CCEEFF"/>
              <w:bottom w:val="single" w:sz="8" w:color="CCEEFF"/>
            </w:tcBorders>
            <w:gridSpan w:val="8"/>
            <w:shd w:val="clear" w:color="auto" w:fill="CCEEFF"/>
          </w:tcPr>
          <w:p>
            <w:pPr>
              <w:spacing w:after="0"/>
              <w:rPr>
                <w:sz w:val="12"/>
                <w:szCs w:val="12"/>
                <w:color w:val="auto"/>
              </w:rPr>
            </w:pPr>
          </w:p>
        </w:tc>
        <w:tc>
          <w:tcPr>
            <w:tcW w:w="1140" w:type="dxa"/>
            <w:vAlign w:val="bottom"/>
            <w:tcBorders>
              <w:top w:val="single" w:sz="8" w:color="CCEEFF"/>
              <w:bottom w:val="single" w:sz="8" w:color="CCEEFF"/>
            </w:tcBorders>
            <w:gridSpan w:val="3"/>
            <w:shd w:val="clear" w:color="auto" w:fill="CCEEFF"/>
          </w:tcPr>
          <w:p>
            <w:pPr>
              <w:jc w:val="center"/>
              <w:ind w:right="100"/>
              <w:spacing w:after="0" w:line="124" w:lineRule="exact"/>
              <w:rPr>
                <w:sz w:val="20"/>
                <w:szCs w:val="20"/>
                <w:color w:val="auto"/>
              </w:rPr>
            </w:pPr>
            <w:r>
              <w:rPr>
                <w:rFonts w:ascii="Arial" w:cs="Arial" w:eastAsia="Arial" w:hAnsi="Arial"/>
                <w:sz w:val="12"/>
                <w:szCs w:val="12"/>
                <w:color w:val="auto"/>
                <w:w w:val="95"/>
              </w:rPr>
              <w:t>Form 8-K</w:t>
            </w:r>
          </w:p>
        </w:tc>
        <w:tc>
          <w:tcPr>
            <w:tcW w:w="1280" w:type="dxa"/>
            <w:vAlign w:val="bottom"/>
            <w:tcBorders>
              <w:top w:val="single" w:sz="8" w:color="CCEEFF"/>
              <w:bottom w:val="single" w:sz="8" w:color="CCEEFF"/>
            </w:tcBorders>
            <w:gridSpan w:val="3"/>
            <w:shd w:val="clear" w:color="auto" w:fill="CCEEFF"/>
          </w:tcPr>
          <w:p>
            <w:pPr>
              <w:jc w:val="center"/>
              <w:spacing w:after="0" w:line="124" w:lineRule="exact"/>
              <w:rPr>
                <w:sz w:val="20"/>
                <w:szCs w:val="20"/>
                <w:color w:val="auto"/>
              </w:rPr>
            </w:pPr>
            <w:r>
              <w:rPr>
                <w:rFonts w:ascii="Arial" w:cs="Arial" w:eastAsia="Arial" w:hAnsi="Arial"/>
                <w:sz w:val="12"/>
                <w:szCs w:val="12"/>
                <w:color w:val="auto"/>
                <w:w w:val="89"/>
              </w:rPr>
              <w:t>7/27/2017</w:t>
            </w:r>
          </w:p>
        </w:tc>
        <w:tc>
          <w:tcPr>
            <w:tcW w:w="740" w:type="dxa"/>
            <w:vAlign w:val="bottom"/>
            <w:tcBorders>
              <w:top w:val="single" w:sz="8" w:color="CCEEFF"/>
              <w:bottom w:val="single" w:sz="8" w:color="CCEEFF"/>
            </w:tcBorders>
            <w:gridSpan w:val="6"/>
            <w:shd w:val="clear" w:color="auto" w:fill="CCEEFF"/>
          </w:tcPr>
          <w:p>
            <w:pPr>
              <w:jc w:val="center"/>
              <w:ind w:left="440"/>
              <w:spacing w:after="0" w:line="124" w:lineRule="exact"/>
              <w:rPr>
                <w:sz w:val="20"/>
                <w:szCs w:val="20"/>
                <w:color w:val="auto"/>
              </w:rPr>
            </w:pPr>
            <w:r>
              <w:rPr>
                <w:rFonts w:ascii="Arial" w:cs="Arial" w:eastAsia="Arial" w:hAnsi="Arial"/>
                <w:sz w:val="12"/>
                <w:szCs w:val="12"/>
                <w:color w:val="auto"/>
                <w:w w:val="85"/>
              </w:rPr>
              <w:t>10.2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gridSpan w:val="8"/>
          </w:tcPr>
          <w:p>
            <w:pPr>
              <w:jc w:val="center"/>
              <w:ind w:left="281"/>
              <w:spacing w:after="0" w:line="135" w:lineRule="exact"/>
              <w:rPr>
                <w:rFonts w:ascii="Arial" w:cs="Arial" w:eastAsia="Arial" w:hAnsi="Arial"/>
                <w:sz w:val="12"/>
                <w:szCs w:val="12"/>
                <w:color w:val="0000FF"/>
                <w:w w:val="86"/>
              </w:rPr>
            </w:pPr>
            <w:hyperlink r:id="rId38">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23</w:t>
              </w:r>
            </w:hyperlink>
          </w:p>
        </w:tc>
        <w:tc>
          <w:tcPr>
            <w:tcW w:w="360" w:type="dxa"/>
            <w:vAlign w:val="bottom"/>
          </w:tcPr>
          <w:p>
            <w:pPr>
              <w:spacing w:after="0"/>
              <w:rPr>
                <w:sz w:val="11"/>
                <w:szCs w:val="11"/>
                <w:color w:val="auto"/>
              </w:rPr>
            </w:pPr>
          </w:p>
        </w:tc>
        <w:tc>
          <w:tcPr>
            <w:tcW w:w="5680" w:type="dxa"/>
            <w:vAlign w:val="bottom"/>
            <w:gridSpan w:val="22"/>
          </w:tcPr>
          <w:p>
            <w:pPr>
              <w:spacing w:after="0" w:line="135" w:lineRule="exact"/>
              <w:rPr>
                <w:rFonts w:ascii="Arial" w:cs="Arial" w:eastAsia="Arial" w:hAnsi="Arial"/>
                <w:sz w:val="12"/>
                <w:szCs w:val="12"/>
                <w:color w:val="0000FF"/>
                <w:w w:val="93"/>
              </w:rPr>
            </w:pPr>
            <w:hyperlink r:id="rId38">
              <w:r>
                <w:rPr>
                  <w:rFonts w:ascii="Arial" w:cs="Arial" w:eastAsia="Arial" w:hAnsi="Arial"/>
                  <w:sz w:val="12"/>
                  <w:szCs w:val="12"/>
                  <w:color w:val="0000FF"/>
                  <w:w w:val="93"/>
                </w:rPr>
                <w:t>Purchase and Sale Agreement between Align Technology de Costa Rica, S.R.L. and Belen Business Center, S.A.</w:t>
              </w:r>
            </w:hyperlink>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20" w:type="dxa"/>
            <w:vAlign w:val="bottom"/>
            <w:tcBorders>
              <w:top w:val="single" w:sz="8" w:color="0000FF"/>
            </w:tcBorders>
            <w:gridSpan w:val="21"/>
          </w:tcPr>
          <w:p>
            <w:pPr>
              <w:spacing w:after="0" w:line="124" w:lineRule="exact"/>
              <w:rPr>
                <w:rFonts w:ascii="Arial" w:cs="Arial" w:eastAsia="Arial" w:hAnsi="Arial"/>
                <w:sz w:val="12"/>
                <w:szCs w:val="12"/>
                <w:color w:val="0000FF"/>
              </w:rPr>
            </w:pPr>
            <w:hyperlink r:id="rId38">
              <w:r>
                <w:rPr>
                  <w:rFonts w:ascii="Arial" w:cs="Arial" w:eastAsia="Arial" w:hAnsi="Arial"/>
                  <w:sz w:val="12"/>
                  <w:szCs w:val="12"/>
                  <w:color w:val="0000FF"/>
                </w:rPr>
                <w:t>dated November 15, 2017</w:t>
              </w:r>
            </w:hyperlink>
          </w:p>
        </w:tc>
        <w:tc>
          <w:tcPr>
            <w:tcW w:w="260" w:type="dxa"/>
            <w:vAlign w:val="bottom"/>
          </w:tcPr>
          <w:p>
            <w:pPr>
              <w:spacing w:after="0"/>
              <w:rPr>
                <w:sz w:val="10"/>
                <w:szCs w:val="10"/>
                <w:color w:val="auto"/>
              </w:rPr>
            </w:pPr>
          </w:p>
        </w:tc>
        <w:tc>
          <w:tcPr>
            <w:tcW w:w="1140" w:type="dxa"/>
            <w:vAlign w:val="bottom"/>
            <w:gridSpan w:val="3"/>
          </w:tcPr>
          <w:p>
            <w:pPr>
              <w:jc w:val="center"/>
              <w:ind w:right="100"/>
              <w:spacing w:after="0" w:line="124" w:lineRule="exact"/>
              <w:rPr>
                <w:sz w:val="20"/>
                <w:szCs w:val="20"/>
                <w:color w:val="auto"/>
              </w:rPr>
            </w:pPr>
            <w:r>
              <w:rPr>
                <w:rFonts w:ascii="Arial" w:cs="Arial" w:eastAsia="Arial" w:hAnsi="Arial"/>
                <w:sz w:val="12"/>
                <w:szCs w:val="12"/>
                <w:color w:val="auto"/>
                <w:w w:val="95"/>
              </w:rPr>
              <w:t>Form 8-K</w:t>
            </w:r>
          </w:p>
        </w:tc>
        <w:tc>
          <w:tcPr>
            <w:tcW w:w="12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3"/>
              </w:rPr>
              <w:t>11/20/2017</w:t>
            </w:r>
          </w:p>
        </w:tc>
        <w:tc>
          <w:tcPr>
            <w:tcW w:w="740" w:type="dxa"/>
            <w:vAlign w:val="bottom"/>
            <w:gridSpan w:val="6"/>
          </w:tcPr>
          <w:p>
            <w:pPr>
              <w:jc w:val="center"/>
              <w:ind w:left="440"/>
              <w:spacing w:after="0" w:line="124" w:lineRule="exact"/>
              <w:rPr>
                <w:sz w:val="20"/>
                <w:szCs w:val="20"/>
                <w:color w:val="auto"/>
              </w:rPr>
            </w:pPr>
            <w:r>
              <w:rPr>
                <w:rFonts w:ascii="Arial" w:cs="Arial" w:eastAsia="Arial" w:hAnsi="Arial"/>
                <w:sz w:val="12"/>
                <w:szCs w:val="12"/>
                <w:color w:val="auto"/>
                <w:w w:val="85"/>
              </w:rPr>
              <w:t>10.1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0000FF"/>
            </w:tcBorders>
            <w:gridSpan w:val="7"/>
            <w:shd w:val="clear" w:color="auto" w:fill="CCEEFF"/>
          </w:tcPr>
          <w:p>
            <w:pPr>
              <w:jc w:val="center"/>
              <w:spacing w:after="0" w:line="135" w:lineRule="exact"/>
              <w:rPr>
                <w:rFonts w:ascii="Arial" w:cs="Arial" w:eastAsia="Arial" w:hAnsi="Arial"/>
                <w:sz w:val="12"/>
                <w:szCs w:val="12"/>
                <w:color w:val="0000FF"/>
                <w:w w:val="92"/>
              </w:rPr>
            </w:pPr>
            <w:hyperlink w:anchor="page103">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24†</w:t>
              </w:r>
            </w:hyperlink>
          </w:p>
        </w:tc>
        <w:tc>
          <w:tcPr>
            <w:tcW w:w="360" w:type="dxa"/>
            <w:vAlign w:val="bottom"/>
            <w:tcBorders>
              <w:bottom w:val="single" w:sz="8" w:color="CCEEFF"/>
            </w:tcBorders>
            <w:shd w:val="clear" w:color="auto" w:fill="CCEEFF"/>
          </w:tcPr>
          <w:p>
            <w:pPr>
              <w:spacing w:after="0"/>
              <w:rPr>
                <w:sz w:val="13"/>
                <w:szCs w:val="13"/>
                <w:color w:val="auto"/>
              </w:rPr>
            </w:pPr>
          </w:p>
        </w:tc>
        <w:tc>
          <w:tcPr>
            <w:tcW w:w="4140" w:type="dxa"/>
            <w:vAlign w:val="bottom"/>
            <w:tcBorders>
              <w:bottom w:val="single" w:sz="8" w:color="0000FF"/>
            </w:tcBorders>
            <w:gridSpan w:val="11"/>
            <w:shd w:val="clear" w:color="auto" w:fill="CCEEFF"/>
          </w:tcPr>
          <w:p>
            <w:pPr>
              <w:spacing w:after="0" w:line="135" w:lineRule="exact"/>
              <w:rPr>
                <w:rFonts w:ascii="Arial" w:cs="Arial" w:eastAsia="Arial" w:hAnsi="Arial"/>
                <w:sz w:val="12"/>
                <w:szCs w:val="12"/>
                <w:color w:val="0000FF"/>
                <w:w w:val="91"/>
              </w:rPr>
            </w:pPr>
            <w:hyperlink w:anchor="page103">
              <w:r>
                <w:rPr>
                  <w:rFonts w:ascii="Arial" w:cs="Arial" w:eastAsia="Arial" w:hAnsi="Arial"/>
                  <w:sz w:val="12"/>
                  <w:szCs w:val="12"/>
                  <w:color w:val="0000FF"/>
                  <w:w w:val="91"/>
                </w:rPr>
                <w:t>Current form of Market Stock Unit agreement under Registrant's 2005 Incentive Plan.</w:t>
              </w:r>
            </w:hyperlink>
          </w:p>
        </w:tc>
        <w:tc>
          <w:tcPr>
            <w:tcW w:w="1540" w:type="dxa"/>
            <w:vAlign w:val="bottom"/>
            <w:tcBorders>
              <w:bottom w:val="single" w:sz="8" w:color="CCEEFF"/>
            </w:tcBorders>
            <w:gridSpan w:val="11"/>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6"/>
            <w:shd w:val="clear" w:color="auto" w:fill="CCEEFF"/>
          </w:tcPr>
          <w:p>
            <w:pPr>
              <w:jc w:val="center"/>
              <w:ind w:left="440"/>
              <w:spacing w:after="0" w:line="135" w:lineRule="exact"/>
              <w:rPr>
                <w:sz w:val="20"/>
                <w:szCs w:val="20"/>
                <w:color w:val="auto"/>
              </w:rPr>
            </w:pPr>
            <w:r>
              <w:rPr>
                <w:rFonts w:ascii="Arial" w:cs="Arial" w:eastAsia="Arial" w:hAnsi="Arial"/>
                <w:sz w:val="12"/>
                <w:szCs w:val="12"/>
                <w:color w:val="auto"/>
                <w:w w:val="85"/>
              </w:rPr>
              <w:t>10.1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gridSpan w:val="9"/>
          </w:tcPr>
          <w:p>
            <w:pPr>
              <w:jc w:val="center"/>
              <w:ind w:right="20"/>
              <w:spacing w:after="0" w:line="135" w:lineRule="exact"/>
              <w:rPr>
                <w:rFonts w:ascii="Arial" w:cs="Arial" w:eastAsia="Arial" w:hAnsi="Arial"/>
                <w:sz w:val="12"/>
                <w:szCs w:val="12"/>
                <w:color w:val="0000FF"/>
                <w:w w:val="92"/>
              </w:rPr>
            </w:pPr>
            <w:hyperlink w:anchor="page110">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24†</w:t>
              </w:r>
            </w:hyperlink>
          </w:p>
        </w:tc>
        <w:tc>
          <w:tcPr>
            <w:tcW w:w="5680" w:type="dxa"/>
            <w:vAlign w:val="bottom"/>
            <w:gridSpan w:val="22"/>
          </w:tcPr>
          <w:p>
            <w:pPr>
              <w:spacing w:after="0" w:line="135" w:lineRule="exact"/>
              <w:rPr>
                <w:rFonts w:ascii="Arial" w:cs="Arial" w:eastAsia="Arial" w:hAnsi="Arial"/>
                <w:sz w:val="12"/>
                <w:szCs w:val="12"/>
                <w:color w:val="0000FF"/>
              </w:rPr>
            </w:pPr>
            <w:hyperlink w:anchor="page110">
              <w:r>
                <w:rPr>
                  <w:rFonts w:ascii="Arial" w:cs="Arial" w:eastAsia="Arial" w:hAnsi="Arial"/>
                  <w:sz w:val="12"/>
                  <w:szCs w:val="12"/>
                  <w:color w:val="0000FF"/>
                </w:rPr>
                <w:t>Current form of Market Stock Unit agreement under Registrant's 2005 Incentive Plan.</w:t>
              </w:r>
            </w:hyperlink>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6"/>
          </w:tcPr>
          <w:p>
            <w:pPr>
              <w:jc w:val="center"/>
              <w:ind w:left="440"/>
              <w:spacing w:after="0" w:line="135" w:lineRule="exact"/>
              <w:rPr>
                <w:sz w:val="20"/>
                <w:szCs w:val="20"/>
                <w:color w:val="auto"/>
              </w:rPr>
            </w:pPr>
            <w:r>
              <w:rPr>
                <w:rFonts w:ascii="Arial" w:cs="Arial" w:eastAsia="Arial" w:hAnsi="Arial"/>
                <w:sz w:val="12"/>
                <w:szCs w:val="12"/>
                <w:color w:val="auto"/>
                <w:w w:val="85"/>
              </w:rPr>
              <w:t>10.2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80" w:type="dxa"/>
            <w:vAlign w:val="bottom"/>
            <w:gridSpan w:val="22"/>
            <w:shd w:val="clear" w:color="auto" w:fill="CCEEFF"/>
          </w:tcPr>
          <w:p>
            <w:pPr>
              <w:spacing w:after="0" w:line="135" w:lineRule="exact"/>
              <w:rPr>
                <w:rFonts w:ascii="Arial" w:cs="Arial" w:eastAsia="Arial" w:hAnsi="Arial"/>
                <w:sz w:val="12"/>
                <w:szCs w:val="12"/>
                <w:color w:val="0000FF"/>
                <w:w w:val="96"/>
              </w:rPr>
            </w:pPr>
            <w:hyperlink r:id="rId39">
              <w:r>
                <w:rPr>
                  <w:rFonts w:ascii="Arial" w:cs="Arial" w:eastAsia="Arial" w:hAnsi="Arial"/>
                  <w:sz w:val="12"/>
                  <w:szCs w:val="12"/>
                  <w:color w:val="0000FF"/>
                  <w:w w:val="96"/>
                </w:rPr>
                <w:t>Credit Agreement between Align Technology, Inc. and Wells Fargo Bank, National Association dated February</w:t>
              </w:r>
            </w:hyperlink>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80" w:type="dxa"/>
            <w:vAlign w:val="bottom"/>
            <w:tcBorders>
              <w:top w:val="single" w:sz="8" w:color="CCEEFF"/>
            </w:tcBorders>
            <w:gridSpan w:val="8"/>
            <w:shd w:val="clear" w:color="auto" w:fill="CCEEFF"/>
          </w:tcPr>
          <w:p>
            <w:pPr>
              <w:jc w:val="center"/>
              <w:ind w:left="281"/>
              <w:spacing w:after="0" w:line="124" w:lineRule="exact"/>
              <w:rPr>
                <w:rFonts w:ascii="Arial" w:cs="Arial" w:eastAsia="Arial" w:hAnsi="Arial"/>
                <w:sz w:val="12"/>
                <w:szCs w:val="12"/>
                <w:color w:val="0000FF"/>
                <w:w w:val="86"/>
              </w:rPr>
            </w:pPr>
            <w:hyperlink r:id="rId39">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25</w:t>
              </w:r>
            </w:hyperlink>
          </w:p>
        </w:tc>
        <w:tc>
          <w:tcPr>
            <w:tcW w:w="3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0000FF"/>
            </w:tcBorders>
            <w:gridSpan w:val="2"/>
            <w:shd w:val="clear" w:color="auto" w:fill="CCEEFF"/>
          </w:tcPr>
          <w:p>
            <w:pPr>
              <w:spacing w:after="0" w:line="124" w:lineRule="exact"/>
              <w:rPr>
                <w:rFonts w:ascii="Arial" w:cs="Arial" w:eastAsia="Arial" w:hAnsi="Arial"/>
                <w:sz w:val="12"/>
                <w:szCs w:val="12"/>
                <w:color w:val="0000FF"/>
              </w:rPr>
            </w:pPr>
            <w:hyperlink r:id="rId39">
              <w:r>
                <w:rPr>
                  <w:rFonts w:ascii="Arial" w:cs="Arial" w:eastAsia="Arial" w:hAnsi="Arial"/>
                  <w:sz w:val="12"/>
                  <w:szCs w:val="12"/>
                  <w:color w:val="0000FF"/>
                </w:rPr>
                <w:t>27, 2018</w:t>
              </w:r>
            </w:hyperlink>
          </w:p>
        </w:tc>
        <w:tc>
          <w:tcPr>
            <w:tcW w:w="8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66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10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gridSpan w:val="6"/>
            <w:shd w:val="clear" w:color="auto" w:fill="CCEEFF"/>
          </w:tcPr>
          <w:p>
            <w:pPr>
              <w:jc w:val="center"/>
              <w:ind w:left="440"/>
              <w:spacing w:after="0" w:line="124" w:lineRule="exact"/>
              <w:rPr>
                <w:sz w:val="20"/>
                <w:szCs w:val="20"/>
                <w:color w:val="auto"/>
              </w:rPr>
            </w:pPr>
            <w:r>
              <w:rPr>
                <w:rFonts w:ascii="Arial" w:cs="Arial" w:eastAsia="Arial" w:hAnsi="Arial"/>
                <w:sz w:val="12"/>
                <w:szCs w:val="12"/>
                <w:color w:val="auto"/>
                <w:w w:val="85"/>
              </w:rPr>
              <w:t>10.3</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0" w:type="dxa"/>
            <w:vAlign w:val="bottom"/>
            <w:gridSpan w:val="2"/>
          </w:tcPr>
          <w:p>
            <w:pPr>
              <w:spacing w:after="0"/>
              <w:rPr>
                <w:sz w:val="11"/>
                <w:szCs w:val="11"/>
                <w:color w:val="auto"/>
              </w:rPr>
            </w:pPr>
          </w:p>
        </w:tc>
        <w:tc>
          <w:tcPr>
            <w:tcW w:w="260" w:type="dxa"/>
            <w:vAlign w:val="bottom"/>
            <w:gridSpan w:val="5"/>
          </w:tcPr>
          <w:p>
            <w:pPr>
              <w:jc w:val="center"/>
              <w:spacing w:after="0" w:line="135" w:lineRule="exact"/>
              <w:rPr>
                <w:rFonts w:ascii="Arial" w:cs="Arial" w:eastAsia="Arial" w:hAnsi="Arial"/>
                <w:sz w:val="12"/>
                <w:szCs w:val="12"/>
                <w:color w:val="0000FF"/>
                <w:w w:val="93"/>
              </w:rPr>
            </w:pPr>
            <w:hyperlink w:anchor="page117">
              <w:r>
                <w:rPr>
                  <w:rFonts w:ascii="Arial" w:cs="Arial" w:eastAsia="Arial" w:hAnsi="Arial"/>
                  <w:sz w:val="12"/>
                  <w:szCs w:val="12"/>
                  <w:color w:val="0000FF"/>
                  <w:w w:val="93"/>
                </w:rPr>
                <w:t>21.</w:t>
              </w:r>
              <w:r>
                <w:rPr>
                  <w:rFonts w:ascii="Arial" w:cs="Arial" w:eastAsia="Arial" w:hAnsi="Arial"/>
                  <w:sz w:val="12"/>
                  <w:szCs w:val="12"/>
                  <w:u w:val="single" w:color="auto"/>
                  <w:color w:val="0000FF"/>
                  <w:w w:val="93"/>
                </w:rPr>
                <w:t>1</w:t>
              </w:r>
            </w:hyperlink>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80" w:type="dxa"/>
            <w:vAlign w:val="bottom"/>
            <w:gridSpan w:val="22"/>
          </w:tcPr>
          <w:p>
            <w:pPr>
              <w:spacing w:after="0" w:line="135" w:lineRule="exact"/>
              <w:rPr>
                <w:rFonts w:ascii="Arial" w:cs="Arial" w:eastAsia="Arial" w:hAnsi="Arial"/>
                <w:sz w:val="12"/>
                <w:szCs w:val="12"/>
                <w:color w:val="0000FF"/>
              </w:rPr>
            </w:pPr>
            <w:hyperlink w:anchor="page117">
              <w:r>
                <w:rPr>
                  <w:rFonts w:ascii="Arial" w:cs="Arial" w:eastAsia="Arial" w:hAnsi="Arial"/>
                  <w:sz w:val="12"/>
                  <w:szCs w:val="12"/>
                  <w:color w:val="0000FF"/>
                </w:rPr>
                <w:t>Subsidiaries of Align Technology, Inc.</w:t>
              </w:r>
            </w:hyperlink>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spacing w:after="0"/>
              <w:rPr>
                <w:sz w:val="11"/>
                <w:szCs w:val="11"/>
                <w:color w:val="auto"/>
              </w:rPr>
            </w:pPr>
          </w:p>
        </w:tc>
        <w:tc>
          <w:tcPr>
            <w:tcW w:w="220" w:type="dxa"/>
            <w:vAlign w:val="bottom"/>
            <w:gridSpan w:val="3"/>
            <w:shd w:val="clear" w:color="auto" w:fill="CCEEFF"/>
          </w:tcPr>
          <w:p>
            <w:pPr>
              <w:jc w:val="center"/>
              <w:spacing w:after="0" w:line="135" w:lineRule="exact"/>
              <w:rPr>
                <w:rFonts w:ascii="Arial" w:cs="Arial" w:eastAsia="Arial" w:hAnsi="Arial"/>
                <w:sz w:val="12"/>
                <w:szCs w:val="12"/>
                <w:color w:val="0000FF"/>
                <w:w w:val="93"/>
              </w:rPr>
            </w:pPr>
            <w:hyperlink w:anchor="page118">
              <w:r>
                <w:rPr>
                  <w:rFonts w:ascii="Arial" w:cs="Arial" w:eastAsia="Arial" w:hAnsi="Arial"/>
                  <w:sz w:val="12"/>
                  <w:szCs w:val="12"/>
                  <w:color w:val="0000FF"/>
                  <w:w w:val="93"/>
                </w:rPr>
                <w:t>23.</w:t>
              </w:r>
              <w:r>
                <w:rPr>
                  <w:rFonts w:ascii="Arial" w:cs="Arial" w:eastAsia="Arial" w:hAnsi="Arial"/>
                  <w:sz w:val="12"/>
                  <w:szCs w:val="12"/>
                  <w:u w:val="single" w:color="auto"/>
                  <w:color w:val="0000FF"/>
                  <w:w w:val="93"/>
                </w:rPr>
                <w:t>1</w:t>
              </w:r>
            </w:hyperlink>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80" w:type="dxa"/>
            <w:vAlign w:val="bottom"/>
            <w:gridSpan w:val="22"/>
            <w:shd w:val="clear" w:color="auto" w:fill="CCEEFF"/>
          </w:tcPr>
          <w:p>
            <w:pPr>
              <w:spacing w:after="0" w:line="135" w:lineRule="exact"/>
              <w:rPr>
                <w:rFonts w:ascii="Arial" w:cs="Arial" w:eastAsia="Arial" w:hAnsi="Arial"/>
                <w:sz w:val="12"/>
                <w:szCs w:val="12"/>
                <w:color w:val="0000FF"/>
              </w:rPr>
            </w:pPr>
            <w:hyperlink w:anchor="page118">
              <w:r>
                <w:rPr>
                  <w:rFonts w:ascii="Arial" w:cs="Arial" w:eastAsia="Arial" w:hAnsi="Arial"/>
                  <w:sz w:val="12"/>
                  <w:szCs w:val="12"/>
                  <w:color w:val="0000FF"/>
                </w:rPr>
                <w:t>Consent of PricewaterhouseCoopers LLP, Independent Registered Public Accounting Firm</w:t>
              </w:r>
            </w:hyperlink>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80" w:type="dxa"/>
            <w:vAlign w:val="bottom"/>
            <w:gridSpan w:val="22"/>
          </w:tcPr>
          <w:p>
            <w:pPr>
              <w:spacing w:after="0" w:line="135" w:lineRule="exact"/>
              <w:rPr>
                <w:rFonts w:ascii="Arial" w:cs="Arial" w:eastAsia="Arial" w:hAnsi="Arial"/>
                <w:sz w:val="12"/>
                <w:szCs w:val="12"/>
                <w:color w:val="0000FF"/>
                <w:w w:val="97"/>
              </w:rPr>
            </w:pPr>
            <w:hyperlink w:anchor="page119">
              <w:r>
                <w:rPr>
                  <w:rFonts w:ascii="Arial" w:cs="Arial" w:eastAsia="Arial" w:hAnsi="Arial"/>
                  <w:sz w:val="12"/>
                  <w:szCs w:val="12"/>
                  <w:color w:val="0000FF"/>
                  <w:w w:val="97"/>
                </w:rPr>
                <w:t>Certifications of Chief Executive Officer pursuant to Exchange Act Rules 13a-14(a) and 15d-14(a), as adopted</w:t>
              </w:r>
            </w:hyperlink>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40" w:type="dxa"/>
            <w:vAlign w:val="bottom"/>
            <w:gridSpan w:val="7"/>
          </w:tcPr>
          <w:p>
            <w:pPr>
              <w:jc w:val="center"/>
              <w:ind w:left="321"/>
              <w:spacing w:after="0" w:line="124" w:lineRule="exact"/>
              <w:rPr>
                <w:rFonts w:ascii="Arial" w:cs="Arial" w:eastAsia="Arial" w:hAnsi="Arial"/>
                <w:sz w:val="12"/>
                <w:szCs w:val="12"/>
                <w:color w:val="0000FF"/>
                <w:w w:val="93"/>
              </w:rPr>
            </w:pPr>
            <w:hyperlink w:anchor="page119">
              <w:r>
                <w:rPr>
                  <w:rFonts w:ascii="Arial" w:cs="Arial" w:eastAsia="Arial" w:hAnsi="Arial"/>
                  <w:sz w:val="12"/>
                  <w:szCs w:val="12"/>
                  <w:color w:val="0000FF"/>
                  <w:w w:val="93"/>
                </w:rPr>
                <w:t>31.</w:t>
              </w:r>
              <w:r>
                <w:rPr>
                  <w:rFonts w:ascii="Arial" w:cs="Arial" w:eastAsia="Arial" w:hAnsi="Arial"/>
                  <w:sz w:val="12"/>
                  <w:szCs w:val="12"/>
                  <w:u w:val="single" w:color="auto"/>
                  <w:color w:val="0000FF"/>
                  <w:w w:val="93"/>
                </w:rPr>
                <w:t>1</w:t>
              </w:r>
            </w:hyperlink>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320" w:type="dxa"/>
            <w:vAlign w:val="bottom"/>
            <w:tcBorders>
              <w:top w:val="single" w:sz="8" w:color="0000FF"/>
            </w:tcBorders>
            <w:gridSpan w:val="17"/>
          </w:tcPr>
          <w:p>
            <w:pPr>
              <w:spacing w:after="0" w:line="124" w:lineRule="exact"/>
              <w:rPr>
                <w:rFonts w:ascii="Arial" w:cs="Arial" w:eastAsia="Arial" w:hAnsi="Arial"/>
                <w:sz w:val="12"/>
                <w:szCs w:val="12"/>
                <w:color w:val="0000FF"/>
              </w:rPr>
            </w:pPr>
            <w:hyperlink w:anchor="page119">
              <w:r>
                <w:rPr>
                  <w:rFonts w:ascii="Arial" w:cs="Arial" w:eastAsia="Arial" w:hAnsi="Arial"/>
                  <w:sz w:val="12"/>
                  <w:szCs w:val="12"/>
                  <w:color w:val="0000FF"/>
                </w:rPr>
                <w:t>pursuant to Section 302 of the Sarbanes-Oxley Act of 2003</w:t>
              </w:r>
            </w:hyperlink>
          </w:p>
        </w:tc>
        <w:tc>
          <w:tcPr>
            <w:tcW w:w="360" w:type="dxa"/>
            <w:vAlign w:val="bottom"/>
            <w:gridSpan w:val="5"/>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80" w:type="dxa"/>
            <w:vAlign w:val="bottom"/>
            <w:gridSpan w:val="22"/>
            <w:shd w:val="clear" w:color="auto" w:fill="CCEEFF"/>
          </w:tcPr>
          <w:p>
            <w:pPr>
              <w:spacing w:after="0" w:line="135" w:lineRule="exact"/>
              <w:rPr>
                <w:rFonts w:ascii="Arial" w:cs="Arial" w:eastAsia="Arial" w:hAnsi="Arial"/>
                <w:sz w:val="12"/>
                <w:szCs w:val="12"/>
                <w:color w:val="0000FF"/>
                <w:w w:val="97"/>
              </w:rPr>
            </w:pPr>
            <w:hyperlink w:anchor="page120">
              <w:r>
                <w:rPr>
                  <w:rFonts w:ascii="Arial" w:cs="Arial" w:eastAsia="Arial" w:hAnsi="Arial"/>
                  <w:sz w:val="12"/>
                  <w:szCs w:val="12"/>
                  <w:color w:val="0000FF"/>
                  <w:w w:val="97"/>
                </w:rPr>
                <w:t>Certifications of Chief Financial Officer pursuant to Exchange Act Rules 13a-14(a) and 15d-14(a), as adopted</w:t>
              </w:r>
            </w:hyperlink>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00" w:type="dxa"/>
            <w:vAlign w:val="bottom"/>
            <w:tcBorders>
              <w:top w:val="single" w:sz="8" w:color="CCEEFF"/>
            </w:tcBorders>
            <w:gridSpan w:val="3"/>
            <w:shd w:val="clear" w:color="auto" w:fill="CCEEFF"/>
          </w:tcPr>
          <w:p>
            <w:pPr>
              <w:spacing w:after="0"/>
              <w:rPr>
                <w:sz w:val="10"/>
                <w:szCs w:val="10"/>
                <w:color w:val="auto"/>
              </w:rPr>
            </w:pPr>
          </w:p>
        </w:tc>
        <w:tc>
          <w:tcPr>
            <w:tcW w:w="220" w:type="dxa"/>
            <w:vAlign w:val="bottom"/>
            <w:tcBorders>
              <w:top w:val="single" w:sz="8" w:color="CCEEFF"/>
            </w:tcBorders>
            <w:gridSpan w:val="3"/>
            <w:shd w:val="clear" w:color="auto" w:fill="CCEEFF"/>
          </w:tcPr>
          <w:p>
            <w:pPr>
              <w:jc w:val="center"/>
              <w:spacing w:after="0" w:line="124" w:lineRule="exact"/>
              <w:rPr>
                <w:rFonts w:ascii="Arial" w:cs="Arial" w:eastAsia="Arial" w:hAnsi="Arial"/>
                <w:sz w:val="12"/>
                <w:szCs w:val="12"/>
                <w:color w:val="0000FF"/>
                <w:w w:val="93"/>
              </w:rPr>
            </w:pPr>
            <w:hyperlink w:anchor="page120">
              <w:r>
                <w:rPr>
                  <w:rFonts w:ascii="Arial" w:cs="Arial" w:eastAsia="Arial" w:hAnsi="Arial"/>
                  <w:sz w:val="12"/>
                  <w:szCs w:val="12"/>
                  <w:color w:val="0000FF"/>
                  <w:w w:val="93"/>
                </w:rPr>
                <w:t>31.</w:t>
              </w:r>
              <w:r>
                <w:rPr>
                  <w:rFonts w:ascii="Arial" w:cs="Arial" w:eastAsia="Arial" w:hAnsi="Arial"/>
                  <w:sz w:val="12"/>
                  <w:szCs w:val="12"/>
                  <w:u w:val="single" w:color="auto"/>
                  <w:color w:val="0000FF"/>
                  <w:w w:val="93"/>
                </w:rPr>
                <w:t>2</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280" w:type="dxa"/>
            <w:vAlign w:val="bottom"/>
            <w:tcBorders>
              <w:top w:val="single" w:sz="8" w:color="0000FF"/>
            </w:tcBorders>
            <w:gridSpan w:val="16"/>
            <w:shd w:val="clear" w:color="auto" w:fill="CCEEFF"/>
          </w:tcPr>
          <w:p>
            <w:pPr>
              <w:spacing w:after="0" w:line="124" w:lineRule="exact"/>
              <w:rPr>
                <w:rFonts w:ascii="Arial" w:cs="Arial" w:eastAsia="Arial" w:hAnsi="Arial"/>
                <w:sz w:val="12"/>
                <w:szCs w:val="12"/>
                <w:color w:val="0000FF"/>
              </w:rPr>
            </w:pPr>
            <w:hyperlink w:anchor="page120">
              <w:r>
                <w:rPr>
                  <w:rFonts w:ascii="Arial" w:cs="Arial" w:eastAsia="Arial" w:hAnsi="Arial"/>
                  <w:sz w:val="12"/>
                  <w:szCs w:val="12"/>
                  <w:color w:val="0000FF"/>
                </w:rPr>
                <w:t>pursuant to Section 302 of the Sarbanes-Oxley Act of 2003</w:t>
              </w:r>
            </w:hyperlink>
          </w:p>
        </w:tc>
        <w:tc>
          <w:tcPr>
            <w:tcW w:w="400" w:type="dxa"/>
            <w:vAlign w:val="bottom"/>
            <w:tcBorders>
              <w:top w:val="single" w:sz="8" w:color="CCEEFF"/>
            </w:tcBorders>
            <w:gridSpan w:val="6"/>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80" w:type="dxa"/>
            <w:vAlign w:val="bottom"/>
            <w:gridSpan w:val="22"/>
          </w:tcPr>
          <w:p>
            <w:pPr>
              <w:spacing w:after="0" w:line="135" w:lineRule="exact"/>
              <w:rPr>
                <w:rFonts w:ascii="Arial" w:cs="Arial" w:eastAsia="Arial" w:hAnsi="Arial"/>
                <w:sz w:val="12"/>
                <w:szCs w:val="12"/>
                <w:color w:val="0000FF"/>
              </w:rPr>
            </w:pPr>
            <w:hyperlink w:anchor="page121">
              <w:r>
                <w:rPr>
                  <w:rFonts w:ascii="Arial" w:cs="Arial" w:eastAsia="Arial" w:hAnsi="Arial"/>
                  <w:sz w:val="12"/>
                  <w:szCs w:val="12"/>
                  <w:color w:val="0000FF"/>
                </w:rPr>
                <w:t>Certification of Chief Executive Officer and Chief Financial Officer pursuant to 18 U.S.C. Section 1350, as</w:t>
              </w:r>
            </w:hyperlink>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20" w:type="dxa"/>
            <w:vAlign w:val="bottom"/>
            <w:gridSpan w:val="6"/>
          </w:tcPr>
          <w:p>
            <w:pPr>
              <w:jc w:val="center"/>
              <w:ind w:left="341"/>
              <w:spacing w:after="0" w:line="124" w:lineRule="exact"/>
              <w:rPr>
                <w:rFonts w:ascii="Arial" w:cs="Arial" w:eastAsia="Arial" w:hAnsi="Arial"/>
                <w:sz w:val="12"/>
                <w:szCs w:val="12"/>
                <w:color w:val="0000FF"/>
              </w:rPr>
            </w:pPr>
            <w:hyperlink w:anchor="page121">
              <w:r>
                <w:rPr>
                  <w:rFonts w:ascii="Arial" w:cs="Arial" w:eastAsia="Arial" w:hAnsi="Arial"/>
                  <w:sz w:val="12"/>
                  <w:szCs w:val="12"/>
                  <w:color w:val="0000FF"/>
                </w:rPr>
                <w:t>32</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160" w:type="dxa"/>
            <w:vAlign w:val="bottom"/>
            <w:tcBorders>
              <w:top w:val="single" w:sz="8" w:color="0000FF"/>
            </w:tcBorders>
            <w:gridSpan w:val="15"/>
          </w:tcPr>
          <w:p>
            <w:pPr>
              <w:spacing w:after="0" w:line="124" w:lineRule="exact"/>
              <w:rPr>
                <w:rFonts w:ascii="Arial" w:cs="Arial" w:eastAsia="Arial" w:hAnsi="Arial"/>
                <w:sz w:val="12"/>
                <w:szCs w:val="12"/>
                <w:color w:val="0000FF"/>
              </w:rPr>
            </w:pPr>
            <w:hyperlink w:anchor="page121">
              <w:r>
                <w:rPr>
                  <w:rFonts w:ascii="Arial" w:cs="Arial" w:eastAsia="Arial" w:hAnsi="Arial"/>
                  <w:sz w:val="12"/>
                  <w:szCs w:val="12"/>
                  <w:color w:val="0000FF"/>
                </w:rPr>
                <w:t>adopted pursuant to Section 906 of the Sarbanes-Oxley Act of 2003</w:t>
              </w:r>
            </w:hyperlink>
          </w:p>
        </w:tc>
        <w:tc>
          <w:tcPr>
            <w:tcW w:w="520" w:type="dxa"/>
            <w:vAlign w:val="bottom"/>
            <w:gridSpan w:val="7"/>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gridSpan w:val="9"/>
            <w:shd w:val="clear" w:color="auto" w:fill="CCEEFF"/>
          </w:tcPr>
          <w:p>
            <w:pPr>
              <w:jc w:val="center"/>
              <w:ind w:right="20"/>
              <w:spacing w:after="0"/>
              <w:rPr>
                <w:sz w:val="20"/>
                <w:szCs w:val="20"/>
                <w:color w:val="auto"/>
              </w:rPr>
            </w:pPr>
            <w:r>
              <w:rPr>
                <w:rFonts w:ascii="Arial" w:cs="Arial" w:eastAsia="Arial" w:hAnsi="Arial"/>
                <w:sz w:val="12"/>
                <w:szCs w:val="12"/>
                <w:color w:val="auto"/>
                <w:w w:val="96"/>
              </w:rPr>
              <w:t>101.INS</w:t>
            </w:r>
          </w:p>
        </w:tc>
        <w:tc>
          <w:tcPr>
            <w:tcW w:w="5680" w:type="dxa"/>
            <w:vAlign w:val="bottom"/>
            <w:gridSpan w:val="22"/>
            <w:shd w:val="clear" w:color="auto" w:fill="CCEEFF"/>
          </w:tcPr>
          <w:p>
            <w:pPr>
              <w:spacing w:after="0"/>
              <w:rPr>
                <w:sz w:val="20"/>
                <w:szCs w:val="20"/>
                <w:color w:val="auto"/>
              </w:rPr>
            </w:pPr>
            <w:r>
              <w:rPr>
                <w:rFonts w:ascii="Arial" w:cs="Arial" w:eastAsia="Arial" w:hAnsi="Arial"/>
                <w:sz w:val="12"/>
                <w:szCs w:val="12"/>
                <w:color w:val="auto"/>
              </w:rPr>
              <w:t>XBRL Instance Document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40" w:type="dxa"/>
            <w:vAlign w:val="bottom"/>
            <w:gridSpan w:val="9"/>
          </w:tcPr>
          <w:p>
            <w:pPr>
              <w:jc w:val="center"/>
              <w:ind w:right="20"/>
              <w:spacing w:after="0"/>
              <w:rPr>
                <w:sz w:val="20"/>
                <w:szCs w:val="20"/>
                <w:color w:val="auto"/>
              </w:rPr>
            </w:pPr>
            <w:r>
              <w:rPr>
                <w:rFonts w:ascii="Arial" w:cs="Arial" w:eastAsia="Arial" w:hAnsi="Arial"/>
                <w:sz w:val="12"/>
                <w:szCs w:val="12"/>
                <w:color w:val="auto"/>
                <w:w w:val="94"/>
              </w:rPr>
              <w:t>101.SCH</w:t>
            </w:r>
          </w:p>
        </w:tc>
        <w:tc>
          <w:tcPr>
            <w:tcW w:w="5680" w:type="dxa"/>
            <w:vAlign w:val="bottom"/>
            <w:gridSpan w:val="22"/>
          </w:tcPr>
          <w:p>
            <w:pPr>
              <w:spacing w:after="0"/>
              <w:rPr>
                <w:sz w:val="20"/>
                <w:szCs w:val="20"/>
                <w:color w:val="auto"/>
              </w:rPr>
            </w:pPr>
            <w:r>
              <w:rPr>
                <w:rFonts w:ascii="Arial" w:cs="Arial" w:eastAsia="Arial" w:hAnsi="Arial"/>
                <w:sz w:val="12"/>
                <w:szCs w:val="12"/>
                <w:color w:val="auto"/>
              </w:rPr>
              <w:t>XBRL Taxonomy Extension Schema Document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gridSpan w:val="9"/>
            <w:shd w:val="clear" w:color="auto" w:fill="CCEEFF"/>
          </w:tcPr>
          <w:p>
            <w:pPr>
              <w:jc w:val="center"/>
              <w:ind w:right="20"/>
              <w:spacing w:after="0"/>
              <w:rPr>
                <w:sz w:val="20"/>
                <w:szCs w:val="20"/>
                <w:color w:val="auto"/>
              </w:rPr>
            </w:pPr>
            <w:r>
              <w:rPr>
                <w:rFonts w:ascii="Arial" w:cs="Arial" w:eastAsia="Arial" w:hAnsi="Arial"/>
                <w:sz w:val="12"/>
                <w:szCs w:val="12"/>
                <w:color w:val="auto"/>
                <w:w w:val="98"/>
              </w:rPr>
              <w:t>101.CAL</w:t>
            </w:r>
          </w:p>
        </w:tc>
        <w:tc>
          <w:tcPr>
            <w:tcW w:w="5680" w:type="dxa"/>
            <w:vAlign w:val="bottom"/>
            <w:gridSpan w:val="22"/>
            <w:shd w:val="clear" w:color="auto" w:fill="CCEEFF"/>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40" w:type="dxa"/>
            <w:vAlign w:val="bottom"/>
            <w:gridSpan w:val="9"/>
          </w:tcPr>
          <w:p>
            <w:pPr>
              <w:jc w:val="center"/>
              <w:ind w:right="20"/>
              <w:spacing w:after="0"/>
              <w:rPr>
                <w:sz w:val="20"/>
                <w:szCs w:val="20"/>
                <w:color w:val="auto"/>
              </w:rPr>
            </w:pPr>
            <w:r>
              <w:rPr>
                <w:rFonts w:ascii="Arial" w:cs="Arial" w:eastAsia="Arial" w:hAnsi="Arial"/>
                <w:sz w:val="12"/>
                <w:szCs w:val="12"/>
                <w:color w:val="auto"/>
                <w:w w:val="88"/>
              </w:rPr>
              <w:t>101.DEF</w:t>
            </w:r>
          </w:p>
        </w:tc>
        <w:tc>
          <w:tcPr>
            <w:tcW w:w="5680" w:type="dxa"/>
            <w:vAlign w:val="bottom"/>
            <w:gridSpan w:val="22"/>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gridSpan w:val="9"/>
            <w:shd w:val="clear" w:color="auto" w:fill="CCEEFF"/>
          </w:tcPr>
          <w:p>
            <w:pPr>
              <w:jc w:val="center"/>
              <w:ind w:right="20"/>
              <w:spacing w:after="0"/>
              <w:rPr>
                <w:sz w:val="20"/>
                <w:szCs w:val="20"/>
                <w:color w:val="auto"/>
              </w:rPr>
            </w:pPr>
            <w:r>
              <w:rPr>
                <w:rFonts w:ascii="Arial" w:cs="Arial" w:eastAsia="Arial" w:hAnsi="Arial"/>
                <w:sz w:val="12"/>
                <w:szCs w:val="12"/>
                <w:color w:val="auto"/>
                <w:w w:val="99"/>
              </w:rPr>
              <w:t>101.LAB</w:t>
            </w:r>
          </w:p>
        </w:tc>
        <w:tc>
          <w:tcPr>
            <w:tcW w:w="5680" w:type="dxa"/>
            <w:vAlign w:val="bottom"/>
            <w:gridSpan w:val="22"/>
            <w:shd w:val="clear" w:color="auto" w:fill="CCEEFF"/>
          </w:tcPr>
          <w:p>
            <w:pPr>
              <w:spacing w:after="0"/>
              <w:rPr>
                <w:sz w:val="20"/>
                <w:szCs w:val="20"/>
                <w:color w:val="auto"/>
              </w:rPr>
            </w:pPr>
            <w:r>
              <w:rPr>
                <w:rFonts w:ascii="Arial" w:cs="Arial" w:eastAsia="Arial" w:hAnsi="Arial"/>
                <w:sz w:val="12"/>
                <w:szCs w:val="12"/>
                <w:color w:val="auto"/>
              </w:rPr>
              <w:t>XBRL Taxonomy Extension Label Linkbase Document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gridSpan w:val="9"/>
          </w:tcPr>
          <w:p>
            <w:pPr>
              <w:jc w:val="center"/>
              <w:ind w:right="20"/>
              <w:spacing w:after="0"/>
              <w:rPr>
                <w:sz w:val="20"/>
                <w:szCs w:val="20"/>
                <w:color w:val="auto"/>
              </w:rPr>
            </w:pPr>
            <w:r>
              <w:rPr>
                <w:rFonts w:ascii="Arial" w:cs="Arial" w:eastAsia="Arial" w:hAnsi="Arial"/>
                <w:sz w:val="12"/>
                <w:szCs w:val="12"/>
                <w:color w:val="auto"/>
                <w:w w:val="87"/>
              </w:rPr>
              <w:t>101.PRE</w:t>
            </w:r>
          </w:p>
        </w:tc>
        <w:tc>
          <w:tcPr>
            <w:tcW w:w="5680" w:type="dxa"/>
            <w:vAlign w:val="bottom"/>
            <w:gridSpan w:val="22"/>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80"/>
          </w:cols>
          <w:pgMar w:left="220" w:top="529" w:right="199" w:bottom="1440" w:gutter="0" w:footer="0" w:header="0"/>
        </w:sectPr>
      </w:pPr>
    </w:p>
    <w:bookmarkStart w:id="99" w:name="page100"/>
    <w:bookmarkEnd w:id="99"/>
    <w:p>
      <w:pPr>
        <w:ind w:left="690" w:hanging="690"/>
        <w:spacing w:after="0"/>
        <w:tabs>
          <w:tab w:leader="none" w:pos="690" w:val="left"/>
        </w:tabs>
        <w:numPr>
          <w:ilvl w:val="0"/>
          <w:numId w:val="54"/>
        </w:numPr>
        <w:rPr>
          <w:rFonts w:ascii="Arial" w:cs="Arial" w:eastAsia="Arial" w:hAnsi="Arial"/>
          <w:sz w:val="11"/>
          <w:szCs w:val="11"/>
          <w:color w:val="auto"/>
        </w:rPr>
      </w:pPr>
      <w:r>
        <w:rPr>
          <w:rFonts w:ascii="Arial" w:cs="Arial" w:eastAsia="Arial" w:hAnsi="Arial"/>
          <w:sz w:val="11"/>
          <w:szCs w:val="11"/>
          <w:color w:val="auto"/>
        </w:rPr>
        <w:t>Management contract or compensatory plan or arrangement filed as an Exhibit to this form pursuant to Items 14(a) and 14(c) of Form 10-K.</w:t>
      </w:r>
    </w:p>
    <w:p>
      <w:pPr>
        <w:spacing w:after="0" w:line="54" w:lineRule="exact"/>
        <w:rPr>
          <w:sz w:val="20"/>
          <w:szCs w:val="20"/>
          <w:color w:val="auto"/>
        </w:rPr>
      </w:pPr>
    </w:p>
    <w:p>
      <w:pPr>
        <w:ind w:left="5630" w:right="2539" w:hanging="5630"/>
        <w:spacing w:after="0" w:line="840" w:lineRule="auto"/>
        <w:tabs>
          <w:tab w:leader="none" w:pos="69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Portions of the exhibit have been omitted pursuant to a request for confidential treatment. The confidential portions have been filed with the SEC. 100</w:t>
      </w:r>
    </w:p>
    <w:p>
      <w:pPr>
        <w:sectPr>
          <w:pgSz w:w="11900" w:h="16838" w:orient="portrait"/>
          <w:cols w:equalWidth="0" w:num="1">
            <w:col w:w="10229"/>
          </w:cols>
          <w:pgMar w:left="230" w:top="545" w:right="1440" w:bottom="1440" w:gutter="0" w:footer="0" w:header="0"/>
        </w:sectPr>
      </w:pPr>
    </w:p>
    <w:bookmarkStart w:id="100" w:name="page101"/>
    <w:bookmarkEnd w:id="100"/>
    <w:p>
      <w:pPr>
        <w:spacing w:after="0"/>
        <w:tabs>
          <w:tab w:leader="none" w:pos="112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2"/>
          <w:szCs w:val="12"/>
          <w:b w:val="1"/>
          <w:bCs w:val="1"/>
          <w:color w:val="auto"/>
        </w:rPr>
        <w:t>FORM 10-K SUMMARY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239"/>
          </w:cols>
          <w:pgMar w:left="220" w:top="451"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 on February 28, 2018.</w:t>
      </w:r>
    </w:p>
    <w:p>
      <w:pPr>
        <w:spacing w:after="0" w:line="252" w:lineRule="exact"/>
        <w:rPr>
          <w:sz w:val="20"/>
          <w:szCs w:val="20"/>
          <w:color w:val="auto"/>
        </w:rPr>
      </w:pPr>
    </w:p>
    <w:p>
      <w:pPr>
        <w:ind w:left="6540"/>
        <w:spacing w:after="0"/>
        <w:rPr>
          <w:sz w:val="20"/>
          <w:szCs w:val="20"/>
          <w:color w:val="auto"/>
        </w:rPr>
      </w:pPr>
      <w:r>
        <w:rPr>
          <w:rFonts w:ascii="Arial" w:cs="Arial" w:eastAsia="Arial" w:hAnsi="Arial"/>
          <w:sz w:val="12"/>
          <w:szCs w:val="12"/>
          <w:color w:val="auto"/>
        </w:rPr>
        <w:t>ALIGN TECHNOLOGY, INC.</w:t>
      </w:r>
    </w:p>
    <w:p>
      <w:pPr>
        <w:spacing w:after="0" w:line="258" w:lineRule="exact"/>
        <w:rPr>
          <w:sz w:val="20"/>
          <w:szCs w:val="20"/>
          <w:color w:val="auto"/>
        </w:rPr>
      </w:pPr>
    </w:p>
    <w:p>
      <w:pPr>
        <w:ind w:left="6540"/>
        <w:spacing w:after="0"/>
        <w:tabs>
          <w:tab w:leader="none" w:pos="8660" w:val="left"/>
          <w:tab w:leader="none" w:pos="89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20955</wp:posOffset>
            </wp:positionV>
            <wp:extent cx="26022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extLst>
                    </a:blip>
                    <a:srcRect/>
                    <a:stretch>
                      <a:fillRect/>
                    </a:stretch>
                  </pic:blipFill>
                  <pic:spPr bwMode="auto">
                    <a:xfrm>
                      <a:off x="0" y="0"/>
                      <a:ext cx="2602230" cy="5715"/>
                    </a:xfrm>
                    <a:prstGeom prst="rect">
                      <a:avLst/>
                    </a:prstGeom>
                    <a:noFill/>
                  </pic:spPr>
                </pic:pic>
              </a:graphicData>
            </a:graphic>
          </wp:anchor>
        </w:drawing>
      </w:r>
    </w:p>
    <w:p>
      <w:pPr>
        <w:spacing w:after="0" w:line="62" w:lineRule="exact"/>
        <w:rPr>
          <w:sz w:val="20"/>
          <w:szCs w:val="20"/>
          <w:color w:val="auto"/>
        </w:rPr>
      </w:pPr>
    </w:p>
    <w:p>
      <w:pPr>
        <w:jc w:val="center"/>
        <w:ind w:left="7400"/>
        <w:spacing w:after="0"/>
        <w:rPr>
          <w:sz w:val="20"/>
          <w:szCs w:val="20"/>
          <w:color w:val="auto"/>
        </w:rPr>
      </w:pPr>
      <w:r>
        <w:rPr>
          <w:rFonts w:ascii="Arial" w:cs="Arial" w:eastAsia="Arial" w:hAnsi="Arial"/>
          <w:sz w:val="10"/>
          <w:szCs w:val="10"/>
          <w:b w:val="1"/>
          <w:bCs w:val="1"/>
          <w:color w:val="auto"/>
        </w:rPr>
        <w:t>Joseph M. Hogan</w:t>
      </w:r>
    </w:p>
    <w:p>
      <w:pPr>
        <w:spacing w:after="0" w:line="67" w:lineRule="exact"/>
        <w:rPr>
          <w:sz w:val="20"/>
          <w:szCs w:val="20"/>
          <w:color w:val="auto"/>
        </w:rPr>
      </w:pPr>
    </w:p>
    <w:p>
      <w:pPr>
        <w:jc w:val="center"/>
        <w:ind w:left="7400"/>
        <w:spacing w:after="0"/>
        <w:rPr>
          <w:sz w:val="20"/>
          <w:szCs w:val="20"/>
          <w:color w:val="auto"/>
        </w:rPr>
      </w:pPr>
      <w:r>
        <w:rPr>
          <w:rFonts w:ascii="Arial" w:cs="Arial" w:eastAsia="Arial" w:hAnsi="Arial"/>
          <w:sz w:val="10"/>
          <w:szCs w:val="10"/>
          <w:b w:val="1"/>
          <w:bCs w:val="1"/>
          <w:i w:val="1"/>
          <w:iCs w:val="1"/>
          <w:color w:val="auto"/>
        </w:rPr>
        <w:t>President and Chief Executive Officer</w:t>
      </w:r>
    </w:p>
    <w:p>
      <w:pPr>
        <w:spacing w:after="0" w:line="150"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Each person whose signature appears below constitutes and appoints Joseph M. Hogan or John F. Morici,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180" w:type="dxa"/>
            <w:vAlign w:val="bottom"/>
          </w:tcPr>
          <w:p>
            <w:pPr>
              <w:spacing w:after="0"/>
              <w:rPr>
                <w:sz w:val="10"/>
                <w:szCs w:val="10"/>
                <w:color w:val="auto"/>
              </w:rPr>
            </w:pPr>
          </w:p>
        </w:tc>
        <w:tc>
          <w:tcPr>
            <w:tcW w:w="3760" w:type="dxa"/>
            <w:vAlign w:val="bottom"/>
            <w:gridSpan w:val="3"/>
          </w:tcPr>
          <w:p>
            <w:pPr>
              <w:ind w:left="1560"/>
              <w:spacing w:after="0"/>
              <w:rPr>
                <w:sz w:val="20"/>
                <w:szCs w:val="20"/>
                <w:color w:val="auto"/>
              </w:rPr>
            </w:pPr>
            <w:r>
              <w:rPr>
                <w:rFonts w:ascii="Arial" w:cs="Arial" w:eastAsia="Arial" w:hAnsi="Arial"/>
                <w:sz w:val="11"/>
                <w:szCs w:val="11"/>
                <w:b w:val="1"/>
                <w:bCs w:val="1"/>
                <w:color w:val="auto"/>
              </w:rPr>
              <w:t>Signature</w:t>
            </w:r>
          </w:p>
        </w:tc>
        <w:tc>
          <w:tcPr>
            <w:tcW w:w="460" w:type="dxa"/>
            <w:vAlign w:val="bottom"/>
          </w:tcPr>
          <w:p>
            <w:pPr>
              <w:spacing w:after="0"/>
              <w:rPr>
                <w:sz w:val="10"/>
                <w:szCs w:val="10"/>
                <w:color w:val="auto"/>
              </w:rPr>
            </w:pPr>
          </w:p>
        </w:tc>
        <w:tc>
          <w:tcPr>
            <w:tcW w:w="44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1000" w:type="dxa"/>
            <w:vAlign w:val="bottom"/>
          </w:tcPr>
          <w:p>
            <w:pPr>
              <w:spacing w:after="0"/>
              <w:rPr>
                <w:sz w:val="10"/>
                <w:szCs w:val="10"/>
                <w:color w:val="auto"/>
              </w:rPr>
            </w:pPr>
          </w:p>
        </w:tc>
        <w:tc>
          <w:tcPr>
            <w:tcW w:w="5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Date</w:t>
            </w:r>
          </w:p>
        </w:tc>
      </w:tr>
      <w:tr>
        <w:trPr>
          <w:trHeight w:val="20"/>
        </w:trPr>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2"/>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1560" w:type="dxa"/>
            <w:vAlign w:val="bottom"/>
          </w:tcPr>
          <w:p>
            <w:pPr>
              <w:ind w:left="60"/>
              <w:spacing w:after="0"/>
              <w:rPr>
                <w:sz w:val="20"/>
                <w:szCs w:val="20"/>
                <w:color w:val="auto"/>
              </w:rPr>
            </w:pPr>
            <w:r>
              <w:rPr>
                <w:rFonts w:ascii="Arial" w:cs="Arial" w:eastAsia="Arial" w:hAnsi="Arial"/>
                <w:sz w:val="11"/>
                <w:szCs w:val="11"/>
                <w:color w:val="auto"/>
              </w:rPr>
              <w:t>JOSEPH M. HOGAN</w:t>
            </w: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President and Chief Executive Officer (Principal Executive Officer)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Joseph M. Hogan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JOHN F. MORICI</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Chief Financial Officer (Principal Financial Officer and Principal Accounting Officer)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John F. Morici</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JOSEPH LACOB</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73"/>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Joseph Lacob</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C. RAYMOND LARKIN</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C. Raymond Larkin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GEORGE J. MORROW</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George J. Morrow</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387"/>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ANDREA L. SAIA</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Andrea L. Saia</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GREG J. SANTORA</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Greg J. Santora</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8"/>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THOMAS M. PRESCOTT</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Thomas M. Prescott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9"/>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WARREN S. THALER</w:t>
            </w:r>
          </w:p>
        </w:tc>
        <w:tc>
          <w:tcPr>
            <w:tcW w:w="4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157"/>
        </w:trPr>
        <w:tc>
          <w:tcPr>
            <w:tcW w:w="174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Warren S. Thaler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70"/>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3760" w:type="dxa"/>
            <w:vAlign w:val="bottom"/>
            <w:gridSpan w:val="3"/>
          </w:tcPr>
          <w:p>
            <w:pPr>
              <w:ind w:left="60"/>
              <w:spacing w:after="0"/>
              <w:rPr>
                <w:sz w:val="20"/>
                <w:szCs w:val="20"/>
                <w:color w:val="auto"/>
              </w:rPr>
            </w:pPr>
            <w:r>
              <w:rPr>
                <w:rFonts w:ascii="Arial" w:cs="Arial" w:eastAsia="Arial" w:hAnsi="Arial"/>
                <w:sz w:val="11"/>
                <w:szCs w:val="11"/>
                <w:color w:val="auto"/>
              </w:rPr>
              <w:t>SUSAN E. SIEGEL</w:t>
            </w:r>
          </w:p>
        </w:tc>
        <w:tc>
          <w:tcPr>
            <w:tcW w:w="46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1500" w:type="dxa"/>
            <w:vAlign w:val="bottom"/>
            <w:gridSpan w:val="3"/>
          </w:tcPr>
          <w:p>
            <w:pPr>
              <w:jc w:val="center"/>
              <w:ind w:left="666"/>
              <w:spacing w:after="0"/>
              <w:rPr>
                <w:sz w:val="20"/>
                <w:szCs w:val="20"/>
                <w:color w:val="auto"/>
              </w:rPr>
            </w:pPr>
            <w:r>
              <w:rPr>
                <w:rFonts w:ascii="Arial" w:cs="Arial" w:eastAsia="Arial" w:hAnsi="Arial"/>
                <w:sz w:val="11"/>
                <w:szCs w:val="11"/>
                <w:color w:val="auto"/>
                <w:w w:val="86"/>
              </w:rPr>
              <w:t>February 28, 2018</w:t>
            </w:r>
          </w:p>
        </w:tc>
      </w:tr>
      <w:tr>
        <w:trPr>
          <w:trHeight w:val="22"/>
        </w:trPr>
        <w:tc>
          <w:tcPr>
            <w:tcW w:w="1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8"/>
        </w:trPr>
        <w:tc>
          <w:tcPr>
            <w:tcW w:w="3940" w:type="dxa"/>
            <w:vAlign w:val="bottom"/>
            <w:gridSpan w:val="4"/>
          </w:tcPr>
          <w:p>
            <w:pPr>
              <w:ind w:left="20"/>
              <w:spacing w:after="0"/>
              <w:rPr>
                <w:sz w:val="20"/>
                <w:szCs w:val="20"/>
                <w:color w:val="auto"/>
              </w:rPr>
            </w:pPr>
            <w:r>
              <w:rPr>
                <w:rFonts w:ascii="Arial" w:cs="Arial" w:eastAsia="Arial" w:hAnsi="Arial"/>
                <w:sz w:val="11"/>
                <w:szCs w:val="11"/>
                <w:b w:val="1"/>
                <w:bCs w:val="1"/>
                <w:color w:val="auto"/>
              </w:rPr>
              <w:t>Susan E. Siegel</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480"/>
          </w:cols>
          <w:pgMar w:left="220" w:top="433" w:right="1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2"/>
          <w:szCs w:val="12"/>
          <w:b w:val="1"/>
          <w:bCs w:val="1"/>
          <w:color w:val="auto"/>
        </w:rPr>
        <w:t>Exhibit 10.1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ALIGN 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2005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GRANT OF MARKET STOCK UNITS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Unless otherwise defined herein, the terms defined in the Amended and Restated 2005 Incentive Plan (the “Plan”) will have the same defined meanings in this Notice of Grant of Market Stock Units (the “Notice of Grant”).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Participant:</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Address:</w:t>
      </w:r>
    </w:p>
    <w:p>
      <w:pPr>
        <w:spacing w:after="0" w:line="28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You (the “Participant”) have been granted an award (“Award”) of market-performance based Restricted Stock Units (“Market Stock Units”), subject to the terms and conditions of the Plan, this Notice of Grant and the Market Stock Unit Agreement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“Agreement”) as follows:</w:t>
      </w:r>
    </w:p>
    <w:p>
      <w:pPr>
        <w:sectPr>
          <w:pgSz w:w="11900" w:h="16838" w:orient="portrait"/>
          <w:cols w:equalWidth="0" w:num="1">
            <w:col w:w="11480"/>
          </w:cols>
          <w:pgMar w:left="220" w:top="127" w:right="199" w:bottom="1440" w:gutter="0" w:footer="0" w:header="0"/>
        </w:sectPr>
      </w:pPr>
    </w:p>
    <w:p>
      <w:pPr>
        <w:spacing w:after="0" w:line="115" w:lineRule="exact"/>
        <w:rPr>
          <w:sz w:val="20"/>
          <w:szCs w:val="20"/>
          <w:color w:val="auto"/>
        </w:rPr>
      </w:pPr>
    </w:p>
    <w:p>
      <w:pPr>
        <w:ind w:left="2800"/>
        <w:spacing w:after="0"/>
        <w:rPr>
          <w:sz w:val="20"/>
          <w:szCs w:val="20"/>
          <w:color w:val="auto"/>
        </w:rPr>
      </w:pPr>
      <w:r>
        <w:rPr>
          <w:rFonts w:ascii="Arial" w:cs="Arial" w:eastAsia="Arial" w:hAnsi="Arial"/>
          <w:sz w:val="11"/>
          <w:szCs w:val="11"/>
          <w:color w:val="auto"/>
        </w:rPr>
        <w:t>Date of Grant: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xxx</w:t>
      </w:r>
    </w:p>
    <w:p>
      <w:pPr>
        <w:spacing w:after="0" w:line="150" w:lineRule="exact"/>
        <w:rPr>
          <w:sz w:val="20"/>
          <w:szCs w:val="20"/>
          <w:color w:val="auto"/>
        </w:rPr>
      </w:pPr>
    </w:p>
    <w:p>
      <w:pPr>
        <w:sectPr>
          <w:pgSz w:w="11900" w:h="16838" w:orient="portrait"/>
          <w:cols w:equalWidth="0" w:num="2">
            <w:col w:w="3500" w:space="480"/>
            <w:col w:w="7500"/>
          </w:cols>
          <w:pgMar w:left="220" w:top="127" w:right="199" w:bottom="1440" w:gutter="0" w:footer="0" w:header="0"/>
          <w:type w:val="continuous"/>
        </w:sectPr>
      </w:pPr>
    </w:p>
    <w:p>
      <w:pPr>
        <w:ind w:left="2800"/>
        <w:spacing w:after="0"/>
        <w:rPr>
          <w:sz w:val="20"/>
          <w:szCs w:val="20"/>
          <w:color w:val="auto"/>
        </w:rPr>
      </w:pPr>
      <w:r>
        <w:rPr>
          <w:rFonts w:ascii="Arial" w:cs="Arial" w:eastAsia="Arial" w:hAnsi="Arial"/>
          <w:sz w:val="11"/>
          <w:szCs w:val="11"/>
          <w:color w:val="auto"/>
        </w:rPr>
        <w:t>Target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“Target Number of Market Stock Units”)</w:t>
      </w:r>
    </w:p>
    <w:p>
      <w:pPr>
        <w:spacing w:after="0" w:line="162" w:lineRule="exact"/>
        <w:rPr>
          <w:sz w:val="20"/>
          <w:szCs w:val="20"/>
          <w:color w:val="auto"/>
        </w:rPr>
      </w:pPr>
    </w:p>
    <w:p>
      <w:pPr>
        <w:sectPr>
          <w:pgSz w:w="11900" w:h="16838" w:orient="portrait"/>
          <w:cols w:equalWidth="0" w:num="2">
            <w:col w:w="4660" w:space="120"/>
            <w:col w:w="6700"/>
          </w:cols>
          <w:pgMar w:left="220" w:top="127" w:right="199" w:bottom="1440" w:gutter="0" w:footer="0" w:header="0"/>
          <w:type w:val="continuous"/>
        </w:sectPr>
      </w:pPr>
    </w:p>
    <w:p>
      <w:pPr>
        <w:ind w:left="2800"/>
        <w:spacing w:after="0"/>
        <w:rPr>
          <w:sz w:val="20"/>
          <w:szCs w:val="20"/>
          <w:color w:val="auto"/>
        </w:rPr>
      </w:pPr>
      <w:r>
        <w:rPr>
          <w:rFonts w:ascii="Arial" w:cs="Arial" w:eastAsia="Arial" w:hAnsi="Arial"/>
          <w:sz w:val="11"/>
          <w:szCs w:val="11"/>
          <w:color w:val="auto"/>
        </w:rPr>
        <w:t>Maximum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“Maximum Number of Market Stock Units”)</w:t>
      </w:r>
    </w:p>
    <w:p>
      <w:pPr>
        <w:spacing w:after="0" w:line="189" w:lineRule="exact"/>
        <w:rPr>
          <w:sz w:val="20"/>
          <w:szCs w:val="20"/>
          <w:color w:val="auto"/>
        </w:rPr>
      </w:pPr>
    </w:p>
    <w:p>
      <w:pPr>
        <w:sectPr>
          <w:pgSz w:w="11900" w:h="16838" w:orient="portrait"/>
          <w:cols w:equalWidth="0" w:num="2">
            <w:col w:w="4860" w:space="120"/>
            <w:col w:w="6500"/>
          </w:cols>
          <w:pgMar w:left="220" w:top="127" w:right="199" w:bottom="1440" w:gutter="0" w:footer="0" w:header="0"/>
          <w:type w:val="continuous"/>
        </w:sectPr>
      </w:pPr>
    </w:p>
    <w:p>
      <w:pPr>
        <w:ind w:left="420"/>
        <w:spacing w:after="0"/>
        <w:rPr>
          <w:sz w:val="20"/>
          <w:szCs w:val="20"/>
          <w:color w:val="auto"/>
        </w:rPr>
      </w:pPr>
      <w:r>
        <w:rPr>
          <w:rFonts w:ascii="Arial" w:cs="Arial" w:eastAsia="Arial" w:hAnsi="Arial"/>
          <w:sz w:val="10"/>
          <w:szCs w:val="10"/>
          <w:color w:val="auto"/>
        </w:rPr>
        <w:t>Performance Period: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Means the three year period commencing on the Date of Grant and ending on the third year anniversary of the Date of Grant (subject to Sections 4 and 5 of Exhibit A (the “Performance Period”)).</w:t>
      </w:r>
    </w:p>
    <w:p>
      <w:pPr>
        <w:spacing w:after="0" w:line="115" w:lineRule="exact"/>
        <w:rPr>
          <w:sz w:val="20"/>
          <w:szCs w:val="20"/>
          <w:color w:val="auto"/>
        </w:rPr>
      </w:pPr>
    </w:p>
    <w:p>
      <w:pPr>
        <w:sectPr>
          <w:pgSz w:w="11900" w:h="16838" w:orient="portrait"/>
          <w:cols w:equalWidth="0" w:num="2">
            <w:col w:w="1860" w:space="720"/>
            <w:col w:w="8900"/>
          </w:cols>
          <w:pgMar w:left="220" w:top="127" w:right="199" w:bottom="1440" w:gutter="0" w:footer="0" w:header="0"/>
          <w:type w:val="continuous"/>
        </w:sectPr>
      </w:pPr>
    </w:p>
    <w:p>
      <w:pPr>
        <w:ind w:left="420"/>
        <w:spacing w:after="0"/>
        <w:rPr>
          <w:sz w:val="20"/>
          <w:szCs w:val="20"/>
          <w:color w:val="auto"/>
        </w:rPr>
      </w:pPr>
      <w:r>
        <w:rPr>
          <w:rFonts w:ascii="Arial" w:cs="Arial" w:eastAsia="Arial" w:hAnsi="Arial"/>
          <w:sz w:val="11"/>
          <w:szCs w:val="11"/>
          <w:color w:val="auto"/>
        </w:rPr>
        <w:t>Performance Matrix:</w:t>
      </w:r>
    </w:p>
    <w:p>
      <w:pPr>
        <w:spacing w:after="0" w:line="20" w:lineRule="exact"/>
        <w:rPr>
          <w:sz w:val="20"/>
          <w:szCs w:val="20"/>
          <w:color w:val="auto"/>
        </w:rPr>
      </w:pPr>
      <w:r>
        <w:rPr>
          <w:sz w:val="20"/>
          <w:szCs w:val="20"/>
          <w:color w:val="auto"/>
        </w:rPr>
        <w:br w:type="column"/>
      </w:r>
    </w:p>
    <w:p>
      <w:pPr>
        <w:spacing w:after="0" w:line="380" w:lineRule="auto"/>
        <w:rPr>
          <w:sz w:val="20"/>
          <w:szCs w:val="20"/>
          <w:color w:val="auto"/>
        </w:rPr>
      </w:pPr>
      <w:r>
        <w:rPr>
          <w:rFonts w:ascii="Arial" w:cs="Arial" w:eastAsia="Arial" w:hAnsi="Arial"/>
          <w:sz w:val="10"/>
          <w:szCs w:val="10"/>
          <w:color w:val="auto"/>
        </w:rPr>
        <w:t>The number of Market Stock Units in which Participant may vest in accordance with the Vesting Schedule will depend upon the Company’s Stock Price Performance (as defined below) as compared to the NASDAQ Composite Stock Price Performance (as defined below) for the Performance Period and will be determined in accordance with Section 1 of Exhibit A.</w:t>
      </w:r>
    </w:p>
    <w:p>
      <w:pPr>
        <w:spacing w:after="0" w:line="68" w:lineRule="exact"/>
        <w:rPr>
          <w:sz w:val="20"/>
          <w:szCs w:val="20"/>
          <w:color w:val="auto"/>
        </w:rPr>
      </w:pPr>
    </w:p>
    <w:p>
      <w:pPr>
        <w:sectPr>
          <w:pgSz w:w="11900" w:h="16838" w:orient="portrait"/>
          <w:cols w:equalWidth="0" w:num="2">
            <w:col w:w="1860" w:space="720"/>
            <w:col w:w="8900"/>
          </w:cols>
          <w:pgMar w:left="220" w:top="127" w:right="199" w:bottom="1440" w:gutter="0" w:footer="0" w:header="0"/>
          <w:type w:val="continuous"/>
        </w:sectPr>
      </w:pPr>
    </w:p>
    <w:p>
      <w:pPr>
        <w:ind w:left="420"/>
        <w:spacing w:after="0"/>
        <w:rPr>
          <w:sz w:val="20"/>
          <w:szCs w:val="20"/>
          <w:color w:val="auto"/>
        </w:rPr>
      </w:pPr>
      <w:r>
        <w:rPr>
          <w:rFonts w:ascii="Arial" w:cs="Arial" w:eastAsia="Arial" w:hAnsi="Arial"/>
          <w:sz w:val="10"/>
          <w:szCs w:val="10"/>
          <w:color w:val="auto"/>
        </w:rPr>
        <w:t>Vesting Schedule:</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Subject to Sections 4 and 5 of Exhibit A and the terms of the Plan, the Participant will vest in his or her Calculated Market Stock Units (as defined below) on the last day of the Performance Period (the “Vesting Date”).</w:t>
      </w:r>
    </w:p>
    <w:p>
      <w:pPr>
        <w:spacing w:after="0" w:line="200" w:lineRule="exact"/>
        <w:rPr>
          <w:sz w:val="20"/>
          <w:szCs w:val="20"/>
          <w:color w:val="auto"/>
        </w:rPr>
      </w:pPr>
    </w:p>
    <w:p>
      <w:pPr>
        <w:sectPr>
          <w:pgSz w:w="11900" w:h="16838" w:orient="portrait"/>
          <w:cols w:equalWidth="0" w:num="2">
            <w:col w:w="1860" w:space="720"/>
            <w:col w:w="8900"/>
          </w:cols>
          <w:pgMar w:left="220" w:top="127" w:right="199" w:bottom="1440" w:gutter="0" w:footer="0" w:header="0"/>
          <w:type w:val="continuous"/>
        </w:sectPr>
      </w:pPr>
    </w:p>
    <w:p>
      <w:pPr>
        <w:spacing w:after="0" w:line="55"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By accepting this agreement, you and the Company agree that this Award is granted under and governed by the terms and conditions of the Plan and the Agreement, each of which are made a part of this document.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 further agree to accept, acknowledge and execute this Agreement as a condition to receiving any Market Stock Units under this Award.</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Nothing in this Notice of Grant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480"/>
          </w:cols>
          <w:pgMar w:left="220" w:top="127" w:right="19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2"/>
          <w:szCs w:val="12"/>
          <w:b w:val="1"/>
          <w:bCs w:val="1"/>
          <w:color w:val="auto"/>
        </w:rPr>
        <w:t>Exhibit 10.1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STOCK UNIT AGREEMENT</w:t>
      </w:r>
    </w:p>
    <w:p>
      <w:pPr>
        <w:spacing w:after="0" w:line="154" w:lineRule="exact"/>
        <w:rPr>
          <w:sz w:val="20"/>
          <w:szCs w:val="20"/>
          <w:color w:val="auto"/>
        </w:rPr>
      </w:pPr>
    </w:p>
    <w:p>
      <w:pPr>
        <w:ind w:left="900" w:hanging="476"/>
        <w:spacing w:after="0"/>
        <w:tabs>
          <w:tab w:leader="none" w:pos="900"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95" w:lineRule="exact"/>
        <w:rPr>
          <w:rFonts w:ascii="Arial" w:cs="Arial" w:eastAsia="Arial" w:hAnsi="Arial"/>
          <w:sz w:val="12"/>
          <w:szCs w:val="12"/>
          <w:color w:val="auto"/>
        </w:rPr>
      </w:pPr>
    </w:p>
    <w:p>
      <w:pPr>
        <w:ind w:left="1120" w:hanging="263"/>
        <w:spacing w:after="0"/>
        <w:tabs>
          <w:tab w:leader="none" w:pos="11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Company hereby grants to Participant under the Plan an Award of Market Stock Units, subject to all of the terms and conditions in the Notice of Grant, this Agreement and the Plan.</w:t>
      </w:r>
    </w:p>
    <w:p>
      <w:pPr>
        <w:spacing w:after="0" w:line="177" w:lineRule="exact"/>
        <w:rPr>
          <w:rFonts w:ascii="Arial" w:cs="Arial" w:eastAsia="Arial" w:hAnsi="Arial"/>
          <w:sz w:val="12"/>
          <w:szCs w:val="12"/>
          <w:color w:val="auto"/>
        </w:rPr>
      </w:pPr>
    </w:p>
    <w:p>
      <w:pPr>
        <w:jc w:val="both"/>
        <w:ind w:firstLine="857"/>
        <w:spacing w:after="0" w:line="310" w:lineRule="auto"/>
        <w:tabs>
          <w:tab w:leader="none" w:pos="11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number of Market Stock Units in which the Participant may vest in accordance with the Vesting Schedule set forth in the Notice of Grant will depend upon the Company’s Stock Price Performance as compared to the NASDAQ Composite Index Performance calculated on the Vesting Date with 100% of the Market Stock Units eligible to vest on the Vesting Date. The actual number of Market Stock Units that will vest on the Vesting Date will be determined as follows:</w:t>
      </w:r>
    </w:p>
    <w:p>
      <w:pPr>
        <w:spacing w:after="0" w:line="131" w:lineRule="exact"/>
        <w:rPr>
          <w:rFonts w:ascii="Arial" w:cs="Arial" w:eastAsia="Arial" w:hAnsi="Arial"/>
          <w:sz w:val="12"/>
          <w:szCs w:val="12"/>
          <w:color w:val="auto"/>
        </w:rPr>
      </w:pPr>
    </w:p>
    <w:p>
      <w:pPr>
        <w:ind w:left="1540" w:hanging="251"/>
        <w:spacing w:after="0"/>
        <w:tabs>
          <w:tab w:leader="none" w:pos="1540" w:val="left"/>
        </w:tabs>
        <w:numPr>
          <w:ilvl w:val="2"/>
          <w:numId w:val="56"/>
        </w:numPr>
        <w:rPr>
          <w:rFonts w:ascii="Arial" w:cs="Arial" w:eastAsia="Arial" w:hAnsi="Arial"/>
          <w:sz w:val="13"/>
          <w:szCs w:val="13"/>
          <w:color w:val="auto"/>
        </w:rPr>
      </w:pPr>
      <w:r>
        <w:rPr>
          <w:rFonts w:ascii="Arial" w:cs="Arial" w:eastAsia="Arial" w:hAnsi="Arial"/>
          <w:sz w:val="12"/>
          <w:szCs w:val="12"/>
          <w:u w:val="single" w:color="auto"/>
          <w:color w:val="auto"/>
        </w:rPr>
        <w:t>Performance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jc w:val="both"/>
        <w:ind w:firstLine="1721"/>
        <w:spacing w:after="0" w:line="257" w:lineRule="auto"/>
        <w:tabs>
          <w:tab w:leader="none" w:pos="1979" w:val="left"/>
        </w:tabs>
        <w:numPr>
          <w:ilvl w:val="3"/>
          <w:numId w:val="56"/>
        </w:numPr>
        <w:rPr>
          <w:rFonts w:ascii="Arial" w:cs="Arial" w:eastAsia="Arial" w:hAnsi="Arial"/>
          <w:sz w:val="12"/>
          <w:szCs w:val="12"/>
          <w:color w:val="auto"/>
        </w:rPr>
      </w:pPr>
      <w:r>
        <w:rPr>
          <w:rFonts w:ascii="Arial" w:cs="Arial" w:eastAsia="Arial" w:hAnsi="Arial"/>
          <w:sz w:val="12"/>
          <w:szCs w:val="12"/>
          <w:color w:val="auto"/>
        </w:rPr>
        <w:t>The “Company’s Stock Price Performance” means the percentage increase or decrease in (i) the average adjusted closing price per share of the Company’s common stock for the last sixty (60) market trading days prior to the commencement of the Performance Period over (ii) the average adjusted closing price of the Company’s common stock for the last sixty (60) market trading days prior to the last day of the Performance Period. Notwithstanding the foregoing, in the event of a Change of Control of the Company, the “Company’s Stock Price Performance” means the percentage increase or decrease in (i) the average adjusted closing price per share of the Company’s common stock for the last sixty (60) market trading days prior to the commencement of the Performance Period over (ii) the per share value of the Company’s common stock paid to its stockholders in connection with the Change of Control.</w:t>
      </w:r>
    </w:p>
    <w:p>
      <w:pPr>
        <w:spacing w:after="0" w:line="125" w:lineRule="exact"/>
        <w:rPr>
          <w:rFonts w:ascii="Arial" w:cs="Arial" w:eastAsia="Arial" w:hAnsi="Arial"/>
          <w:sz w:val="12"/>
          <w:szCs w:val="12"/>
          <w:color w:val="auto"/>
        </w:rPr>
      </w:pPr>
    </w:p>
    <w:p>
      <w:pPr>
        <w:ind w:firstLine="1721"/>
        <w:spacing w:after="0" w:line="323" w:lineRule="auto"/>
        <w:tabs>
          <w:tab w:leader="none" w:pos="1968" w:val="left"/>
        </w:tabs>
        <w:numPr>
          <w:ilvl w:val="3"/>
          <w:numId w:val="56"/>
        </w:numPr>
        <w:rPr>
          <w:rFonts w:ascii="Arial" w:cs="Arial" w:eastAsia="Arial" w:hAnsi="Arial"/>
          <w:sz w:val="11"/>
          <w:szCs w:val="11"/>
          <w:color w:val="auto"/>
        </w:rPr>
      </w:pPr>
      <w:r>
        <w:rPr>
          <w:rFonts w:ascii="Arial" w:cs="Arial" w:eastAsia="Arial" w:hAnsi="Arial"/>
          <w:sz w:val="11"/>
          <w:szCs w:val="11"/>
          <w:color w:val="auto"/>
        </w:rPr>
        <w:t>The “NASDAQ Composite Index Performance” means the percentage increase or decrease in (i) the adjusted index value of the NASDAQ Composite Index for the last sixty (60) market trading days prior to the commencement of the Performance Period over (ii) the adjusted index value of the NAQDAQ Composite Index for the last sixty (60) market trading days prior to the last day of the Performance Period.</w:t>
      </w:r>
    </w:p>
    <w:p>
      <w:pPr>
        <w:spacing w:after="0" w:line="91" w:lineRule="exact"/>
        <w:rPr>
          <w:rFonts w:ascii="Arial" w:cs="Arial" w:eastAsia="Arial" w:hAnsi="Arial"/>
          <w:sz w:val="11"/>
          <w:szCs w:val="11"/>
          <w:color w:val="auto"/>
        </w:rPr>
      </w:pPr>
    </w:p>
    <w:p>
      <w:pPr>
        <w:ind w:firstLine="1721"/>
        <w:spacing w:after="0" w:line="276" w:lineRule="auto"/>
        <w:tabs>
          <w:tab w:leader="none" w:pos="1946" w:val="left"/>
        </w:tabs>
        <w:numPr>
          <w:ilvl w:val="3"/>
          <w:numId w:val="56"/>
        </w:numPr>
        <w:rPr>
          <w:rFonts w:ascii="Arial" w:cs="Arial" w:eastAsia="Arial" w:hAnsi="Arial"/>
          <w:sz w:val="12"/>
          <w:szCs w:val="12"/>
          <w:color w:val="auto"/>
        </w:rPr>
      </w:pPr>
      <w:r>
        <w:rPr>
          <w:rFonts w:ascii="Arial" w:cs="Arial" w:eastAsia="Arial" w:hAnsi="Arial"/>
          <w:sz w:val="12"/>
          <w:szCs w:val="12"/>
          <w:color w:val="auto"/>
        </w:rPr>
        <w:t>The Company’s Stock Price Performance will be compared against the NASDAQ Composite Index Performance (each expressed as a growth rate percentage) to result in a growth rate (the “Growth Rate Delta”) equal to the Company’s Stock Price Performance minus the NASDAQ Composite Index Performance. The Growth Rate Delta will be calculated on the Vesting Date.</w:t>
      </w:r>
    </w:p>
    <w:p>
      <w:pPr>
        <w:spacing w:after="0" w:line="141" w:lineRule="exact"/>
        <w:rPr>
          <w:rFonts w:ascii="Arial" w:cs="Arial" w:eastAsia="Arial" w:hAnsi="Arial"/>
          <w:sz w:val="12"/>
          <w:szCs w:val="12"/>
          <w:color w:val="auto"/>
        </w:rPr>
      </w:pPr>
    </w:p>
    <w:p>
      <w:pPr>
        <w:ind w:left="1580" w:hanging="291"/>
        <w:spacing w:after="0"/>
        <w:tabs>
          <w:tab w:leader="none" w:pos="1580" w:val="left"/>
        </w:tabs>
        <w:numPr>
          <w:ilvl w:val="2"/>
          <w:numId w:val="56"/>
        </w:numPr>
        <w:rPr>
          <w:rFonts w:ascii="Arial" w:cs="Arial" w:eastAsia="Arial" w:hAnsi="Arial"/>
          <w:sz w:val="13"/>
          <w:szCs w:val="13"/>
          <w:color w:val="auto"/>
        </w:rPr>
      </w:pPr>
      <w:r>
        <w:rPr>
          <w:rFonts w:ascii="Arial" w:cs="Arial" w:eastAsia="Arial" w:hAnsi="Arial"/>
          <w:sz w:val="12"/>
          <w:szCs w:val="12"/>
          <w:u w:val="single" w:color="auto"/>
          <w:color w:val="auto"/>
        </w:rPr>
        <w:t>Market Stock Unit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ind w:left="1960" w:hanging="239"/>
        <w:spacing w:after="0"/>
        <w:tabs>
          <w:tab w:leader="none" w:pos="1960" w:val="left"/>
        </w:tabs>
        <w:numPr>
          <w:ilvl w:val="3"/>
          <w:numId w:val="56"/>
        </w:numPr>
        <w:rPr>
          <w:rFonts w:ascii="Arial" w:cs="Arial" w:eastAsia="Arial" w:hAnsi="Arial"/>
          <w:sz w:val="11"/>
          <w:szCs w:val="11"/>
          <w:color w:val="auto"/>
        </w:rPr>
      </w:pPr>
      <w:r>
        <w:rPr>
          <w:rFonts w:ascii="Arial" w:cs="Arial" w:eastAsia="Arial" w:hAnsi="Arial"/>
          <w:sz w:val="11"/>
          <w:szCs w:val="11"/>
          <w:color w:val="auto"/>
        </w:rPr>
        <w:t>If the Growth Rate Delta is equal to 0%, the number of Market Stock Units that will be eligible to vest (the “Calculated Market Stock Units”) on the Vesting Date will equal 100% of the Target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Number of Market Stock Units.</w:t>
      </w:r>
    </w:p>
    <w:p>
      <w:pPr>
        <w:spacing w:after="0" w:line="141" w:lineRule="exact"/>
        <w:rPr>
          <w:rFonts w:ascii="Arial" w:cs="Arial" w:eastAsia="Arial" w:hAnsi="Arial"/>
          <w:sz w:val="11"/>
          <w:szCs w:val="11"/>
          <w:color w:val="auto"/>
        </w:rPr>
      </w:pPr>
    </w:p>
    <w:p>
      <w:pPr>
        <w:jc w:val="both"/>
        <w:ind w:firstLine="1721"/>
        <w:spacing w:after="0" w:line="298" w:lineRule="auto"/>
        <w:tabs>
          <w:tab w:leader="none" w:pos="1963" w:val="left"/>
        </w:tabs>
        <w:numPr>
          <w:ilvl w:val="3"/>
          <w:numId w:val="56"/>
        </w:numPr>
        <w:rPr>
          <w:rFonts w:ascii="Arial" w:cs="Arial" w:eastAsia="Arial" w:hAnsi="Arial"/>
          <w:sz w:val="11"/>
          <w:szCs w:val="11"/>
          <w:color w:val="auto"/>
        </w:rPr>
      </w:pPr>
      <w:r>
        <w:rPr>
          <w:rFonts w:ascii="Arial" w:cs="Arial" w:eastAsia="Arial" w:hAnsi="Arial"/>
          <w:sz w:val="11"/>
          <w:szCs w:val="11"/>
          <w:color w:val="auto"/>
        </w:rPr>
        <w:t>If the Growth Rate Delta is greater or less than 0%, the number of Market Stock Units that will be Calculated Market Stock Units on the Vesting Date will equal: (i) the Target Number of Market Stock Units, multiplied by (ii) the sum of (A) 100% plus (B) three times the Growth Rate Delta; provided, however, that in no event will more than the Maximum Number of Market Stock Units become Calculated Market Stock Units on the Vesting Date. If the Growth Rate Delta is equal to negative-33.3%, then the number of Target Market Stock Units that will become Calculated Market Stock Units on the Vesting Date will equal 0.</w:t>
      </w:r>
    </w:p>
    <w:p>
      <w:pPr>
        <w:sectPr>
          <w:pgSz w:w="11900" w:h="16838" w:orient="portrait"/>
          <w:cols w:equalWidth="0" w:num="1">
            <w:col w:w="11480"/>
          </w:cols>
          <w:pgMar w:left="220" w:top="127" w:right="1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2"/>
          <w:szCs w:val="12"/>
          <w:b w:val="1"/>
          <w:bCs w:val="1"/>
          <w:color w:val="auto"/>
        </w:rPr>
        <w:t>Exhibit 10.1</w:t>
      </w:r>
    </w:p>
    <w:p>
      <w:pPr>
        <w:spacing w:after="0" w:line="181" w:lineRule="exact"/>
        <w:rPr>
          <w:sz w:val="20"/>
          <w:szCs w:val="20"/>
          <w:color w:val="auto"/>
        </w:rPr>
      </w:pPr>
    </w:p>
    <w:p>
      <w:pPr>
        <w:ind w:left="1600" w:hanging="311"/>
        <w:spacing w:after="0"/>
        <w:tabs>
          <w:tab w:leader="none" w:pos="1600" w:val="left"/>
        </w:tabs>
        <w:numPr>
          <w:ilvl w:val="2"/>
          <w:numId w:val="57"/>
        </w:numPr>
        <w:rPr>
          <w:rFonts w:ascii="Arial" w:cs="Arial" w:eastAsia="Arial" w:hAnsi="Arial"/>
          <w:sz w:val="13"/>
          <w:szCs w:val="13"/>
          <w:color w:val="auto"/>
        </w:rPr>
      </w:pPr>
      <w:r>
        <w:rPr>
          <w:rFonts w:ascii="Arial" w:cs="Arial" w:eastAsia="Arial" w:hAnsi="Arial"/>
          <w:sz w:val="12"/>
          <w:szCs w:val="12"/>
          <w:u w:val="single" w:color="auto"/>
          <w:color w:val="auto"/>
        </w:rPr>
        <w:t>Examples (for illustration purposes only)</w:t>
      </w:r>
      <w:r>
        <w:rPr>
          <w:rFonts w:ascii="Arial" w:cs="Arial" w:eastAsia="Arial" w:hAnsi="Arial"/>
          <w:sz w:val="12"/>
          <w:szCs w:val="12"/>
          <w:color w:val="auto"/>
        </w:rPr>
        <w:t>.</w:t>
      </w:r>
    </w:p>
    <w:p>
      <w:pPr>
        <w:spacing w:after="0" w:line="4" w:lineRule="exact"/>
        <w:rPr>
          <w:rFonts w:ascii="Arial" w:cs="Arial" w:eastAsia="Arial" w:hAnsi="Arial"/>
          <w:sz w:val="13"/>
          <w:szCs w:val="13"/>
          <w:color w:val="auto"/>
        </w:rPr>
      </w:pPr>
    </w:p>
    <w:p>
      <w:pPr>
        <w:ind w:left="1940" w:right="20" w:hanging="219"/>
        <w:spacing w:after="0" w:line="259" w:lineRule="auto"/>
        <w:tabs>
          <w:tab w:leader="none" w:pos="1940" w:val="left"/>
        </w:tabs>
        <w:numPr>
          <w:ilvl w:val="3"/>
          <w:numId w:val="57"/>
        </w:numPr>
        <w:rPr>
          <w:rFonts w:ascii="Arial" w:cs="Arial" w:eastAsia="Arial" w:hAnsi="Arial"/>
          <w:sz w:val="12"/>
          <w:szCs w:val="12"/>
          <w:color w:val="auto"/>
        </w:rPr>
      </w:pPr>
      <w:r>
        <w:rPr>
          <w:rFonts w:ascii="Arial" w:cs="Arial" w:eastAsia="Arial" w:hAnsi="Arial"/>
          <w:sz w:val="12"/>
          <w:szCs w:val="12"/>
          <w:color w:val="auto"/>
        </w:rPr>
        <w:t>If the Growth Rate Delta on the Vesting Date equaled 20%, then 160% (equal to 100% plus (3 times 20%)) of the Target Number of Market Stock Units would be Calculated Market Stock Units and would vest on the Vesting Date.</w:t>
      </w:r>
    </w:p>
    <w:p>
      <w:pPr>
        <w:spacing w:after="0" w:line="124" w:lineRule="exact"/>
        <w:rPr>
          <w:rFonts w:ascii="Arial" w:cs="Arial" w:eastAsia="Arial" w:hAnsi="Arial"/>
          <w:sz w:val="12"/>
          <w:szCs w:val="12"/>
          <w:color w:val="auto"/>
        </w:rPr>
      </w:pPr>
    </w:p>
    <w:p>
      <w:pPr>
        <w:ind w:left="1940" w:right="20" w:hanging="219"/>
        <w:spacing w:after="0" w:line="276" w:lineRule="auto"/>
        <w:tabs>
          <w:tab w:leader="none" w:pos="1940" w:val="left"/>
        </w:tabs>
        <w:numPr>
          <w:ilvl w:val="3"/>
          <w:numId w:val="57"/>
        </w:numPr>
        <w:rPr>
          <w:rFonts w:ascii="Arial" w:cs="Arial" w:eastAsia="Arial" w:hAnsi="Arial"/>
          <w:sz w:val="12"/>
          <w:szCs w:val="12"/>
          <w:color w:val="auto"/>
        </w:rPr>
      </w:pPr>
      <w:r>
        <w:rPr>
          <w:rFonts w:ascii="Arial" w:cs="Arial" w:eastAsia="Arial" w:hAnsi="Arial"/>
          <w:sz w:val="12"/>
          <w:szCs w:val="12"/>
          <w:color w:val="auto"/>
        </w:rPr>
        <w:t>If the Growth Rate Delta on the Vesting Date equaled negative-20%, then 40% (equal to 100% plus (3 times negative-20%)) of the Target Number of Market Stock Units would be Calculated Market Stock Units and would vest on the Vesting Date.</w:t>
      </w:r>
    </w:p>
    <w:p>
      <w:pPr>
        <w:spacing w:after="0" w:line="132" w:lineRule="exact"/>
        <w:rPr>
          <w:rFonts w:ascii="Arial" w:cs="Arial" w:eastAsia="Arial" w:hAnsi="Arial"/>
          <w:sz w:val="12"/>
          <w:szCs w:val="12"/>
          <w:color w:val="auto"/>
        </w:rPr>
      </w:pPr>
    </w:p>
    <w:p>
      <w:pPr>
        <w:jc w:val="both"/>
        <w:ind w:firstLine="424"/>
        <w:spacing w:after="0" w:line="349" w:lineRule="auto"/>
        <w:tabs>
          <w:tab w:leader="none" w:pos="612"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Company’s Obligation to Pay</w:t>
      </w:r>
      <w:r>
        <w:rPr>
          <w:rFonts w:ascii="Arial" w:cs="Arial" w:eastAsia="Arial" w:hAnsi="Arial"/>
          <w:sz w:val="11"/>
          <w:szCs w:val="11"/>
          <w:color w:val="auto"/>
        </w:rPr>
        <w:t>. Each Market Stock Unit represents a value equal to the Fair Market Value of a Share on the date it is granted. Unless and until the Market Stock Units will have vested in the manner set forth in Sections 3, 4 and 5, Participant will have no right to payment of any such Market Stock Units. Prior to actual payment of any vested Market Stock Units, such Market Stock Unit will represent an unsecured obligation of the Company, payable (if at all) only from the general assets of the Company. Payment of any vested Market Stock Units will be made in whole Shares only and any fractional Shares will be forfeited at the time of payment.</w:t>
      </w:r>
    </w:p>
    <w:p>
      <w:pPr>
        <w:spacing w:after="0" w:line="105" w:lineRule="exact"/>
        <w:rPr>
          <w:rFonts w:ascii="Arial" w:cs="Arial" w:eastAsia="Arial" w:hAnsi="Arial"/>
          <w:sz w:val="11"/>
          <w:szCs w:val="11"/>
          <w:color w:val="auto"/>
        </w:rPr>
      </w:pPr>
    </w:p>
    <w:p>
      <w:pPr>
        <w:ind w:right="20" w:firstLine="424"/>
        <w:spacing w:after="0" w:line="323" w:lineRule="auto"/>
        <w:tabs>
          <w:tab w:leader="none" w:pos="612"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Vesting Schedule</w:t>
      </w:r>
      <w:r>
        <w:rPr>
          <w:rFonts w:ascii="Arial" w:cs="Arial" w:eastAsia="Arial" w:hAnsi="Arial"/>
          <w:sz w:val="12"/>
          <w:szCs w:val="12"/>
          <w:color w:val="auto"/>
        </w:rPr>
        <w:t>. Subject to Section 6, the Market Stock Units awarded by this Agreement will vest in Participant according to the Vesting Schedule set forth on the attached Notice of Grant, subject to Participant continuing to be a Service Provider through each such date.</w:t>
      </w:r>
    </w:p>
    <w:p>
      <w:pPr>
        <w:spacing w:after="0" w:line="132" w:lineRule="exact"/>
        <w:rPr>
          <w:rFonts w:ascii="Arial" w:cs="Arial" w:eastAsia="Arial" w:hAnsi="Arial"/>
          <w:sz w:val="12"/>
          <w:szCs w:val="12"/>
          <w:color w:val="auto"/>
        </w:rPr>
      </w:pPr>
    </w:p>
    <w:p>
      <w:pPr>
        <w:jc w:val="both"/>
        <w:ind w:firstLine="424"/>
        <w:spacing w:after="0" w:line="310" w:lineRule="auto"/>
        <w:tabs>
          <w:tab w:leader="none" w:pos="612"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In the event of a Change of Control, the Performance Period shall be deemed to end upon the closing of the Change of Control for purposes of determining the Company’s Stock Price Performance and the NASDAQ Composite Index Performance and the number of Market Stock Units that are Calculated Market Stock Units will be determined in accordance with the Performance Matrix and Section 1 of this Exhibit A. The Participant shall vest in the number of Calculated Market Stock Units determined based on the preceding sentence as follows:</w:t>
      </w:r>
    </w:p>
    <w:p>
      <w:pPr>
        <w:spacing w:after="0" w:line="131" w:lineRule="exact"/>
        <w:rPr>
          <w:rFonts w:ascii="Arial" w:cs="Arial" w:eastAsia="Arial" w:hAnsi="Arial"/>
          <w:sz w:val="12"/>
          <w:szCs w:val="12"/>
          <w:color w:val="auto"/>
        </w:rPr>
      </w:pPr>
    </w:p>
    <w:p>
      <w:pPr>
        <w:jc w:val="both"/>
        <w:ind w:firstLine="857"/>
        <w:spacing w:after="0" w:line="268" w:lineRule="auto"/>
        <w:tabs>
          <w:tab w:leader="none" w:pos="1149" w:val="left"/>
        </w:tabs>
        <w:numPr>
          <w:ilvl w:val="1"/>
          <w:numId w:val="58"/>
        </w:numPr>
        <w:rPr>
          <w:rFonts w:ascii="Arial" w:cs="Arial" w:eastAsia="Arial" w:hAnsi="Arial"/>
          <w:sz w:val="13"/>
          <w:szCs w:val="13"/>
          <w:color w:val="auto"/>
        </w:rPr>
      </w:pPr>
      <w:r>
        <w:rPr>
          <w:rFonts w:ascii="Arial" w:cs="Arial" w:eastAsia="Arial" w:hAnsi="Arial"/>
          <w:sz w:val="12"/>
          <w:szCs w:val="12"/>
          <w:color w:val="auto"/>
        </w:rPr>
        <w:t>On the date of, and contingent upon, the Change of Control, Participant will vest in that number of Calculated Market Stock Units equal to (i) (A) the number of calendar months (including any partial month) that have elapsed from the commencement of the Performance Period through the date of the Change of Control, (B) divided by 36, multiplied by (ii) the number of Calculated Market Stock Units, with the result rounded down to the nearest whole Share.</w:t>
      </w:r>
    </w:p>
    <w:p>
      <w:pPr>
        <w:spacing w:after="0" w:line="128" w:lineRule="exact"/>
        <w:rPr>
          <w:rFonts w:ascii="Arial" w:cs="Arial" w:eastAsia="Arial" w:hAnsi="Arial"/>
          <w:sz w:val="13"/>
          <w:szCs w:val="13"/>
          <w:color w:val="auto"/>
        </w:rPr>
      </w:pPr>
    </w:p>
    <w:p>
      <w:pPr>
        <w:ind w:right="20" w:firstLine="857"/>
        <w:spacing w:after="0" w:line="272" w:lineRule="auto"/>
        <w:tabs>
          <w:tab w:leader="none" w:pos="1143" w:val="left"/>
        </w:tabs>
        <w:numPr>
          <w:ilvl w:val="1"/>
          <w:numId w:val="58"/>
        </w:numPr>
        <w:rPr>
          <w:rFonts w:ascii="Arial" w:cs="Arial" w:eastAsia="Arial" w:hAnsi="Arial"/>
          <w:sz w:val="13"/>
          <w:szCs w:val="13"/>
          <w:color w:val="auto"/>
        </w:rPr>
      </w:pPr>
      <w:r>
        <w:rPr>
          <w:rFonts w:ascii="Arial" w:cs="Arial" w:eastAsia="Arial" w:hAnsi="Arial"/>
          <w:sz w:val="12"/>
          <w:szCs w:val="12"/>
          <w:color w:val="auto"/>
        </w:rPr>
        <w:t>The Calculated Market Stock Units that do not vest pursuant to Section 4(a) will vest on the Vesting Date, unless vested earlier in accordance with the terms of this Award, Section 18 of the Plan or any employment or other change in control agreement by and between the Company and Participant.</w:t>
      </w:r>
    </w:p>
    <w:p>
      <w:pPr>
        <w:spacing w:after="0" w:line="142" w:lineRule="exact"/>
        <w:rPr>
          <w:rFonts w:ascii="Arial" w:cs="Arial" w:eastAsia="Arial" w:hAnsi="Arial"/>
          <w:sz w:val="13"/>
          <w:szCs w:val="13"/>
          <w:color w:val="auto"/>
        </w:rPr>
      </w:pPr>
    </w:p>
    <w:p>
      <w:pPr>
        <w:jc w:val="both"/>
        <w:ind w:right="20" w:firstLine="857"/>
        <w:spacing w:after="0" w:line="268" w:lineRule="auto"/>
        <w:tabs>
          <w:tab w:leader="none" w:pos="1146" w:val="left"/>
        </w:tabs>
        <w:numPr>
          <w:ilvl w:val="1"/>
          <w:numId w:val="58"/>
        </w:numPr>
        <w:rPr>
          <w:rFonts w:ascii="Arial" w:cs="Arial" w:eastAsia="Arial" w:hAnsi="Arial"/>
          <w:sz w:val="13"/>
          <w:szCs w:val="13"/>
          <w:color w:val="auto"/>
        </w:rPr>
      </w:pPr>
      <w:r>
        <w:rPr>
          <w:rFonts w:ascii="Arial" w:cs="Arial" w:eastAsia="Arial" w:hAnsi="Arial"/>
          <w:sz w:val="12"/>
          <w:szCs w:val="12"/>
          <w:color w:val="auto"/>
        </w:rPr>
        <w:t>Notwithstanding the foregoing, if Participant’s employment is terminated without Cause or for Good Reason (as such terms are defined in Participant’s individual employment agreement with the Company) within twelve months following the occurrence of a Change of Control, then 100% of his or her unvested Calculated Market Stock Units will fully vest, provided the Participant executes and does not revoke a release of claims as provided for in Participant’s employment agreement (as a necessary condition to the receipt of severance thereunder).</w:t>
      </w:r>
    </w:p>
    <w:p>
      <w:pPr>
        <w:spacing w:after="0" w:line="146" w:lineRule="exact"/>
        <w:rPr>
          <w:rFonts w:ascii="Arial" w:cs="Arial" w:eastAsia="Arial" w:hAnsi="Arial"/>
          <w:sz w:val="13"/>
          <w:szCs w:val="13"/>
          <w:color w:val="auto"/>
        </w:rPr>
      </w:pPr>
    </w:p>
    <w:p>
      <w:pPr>
        <w:ind w:right="20" w:firstLine="857"/>
        <w:spacing w:after="0" w:line="272" w:lineRule="auto"/>
        <w:tabs>
          <w:tab w:leader="none" w:pos="1176" w:val="left"/>
        </w:tabs>
        <w:numPr>
          <w:ilvl w:val="1"/>
          <w:numId w:val="58"/>
        </w:numPr>
        <w:rPr>
          <w:rFonts w:ascii="Arial" w:cs="Arial" w:eastAsia="Arial" w:hAnsi="Arial"/>
          <w:sz w:val="13"/>
          <w:szCs w:val="13"/>
          <w:color w:val="auto"/>
        </w:rPr>
      </w:pPr>
      <w:r>
        <w:rPr>
          <w:rFonts w:ascii="Arial" w:cs="Arial" w:eastAsia="Arial" w:hAnsi="Arial"/>
          <w:sz w:val="12"/>
          <w:szCs w:val="12"/>
          <w:color w:val="auto"/>
        </w:rPr>
        <w:t>In accordance with Section 1 of this Exhibit A, the Administrator shall not be entitled to eliminate or reduce the number of Calculated Market Stock Units determined in accordance with Section 1of Exhibit A following a Change of Control.</w:t>
      </w:r>
    </w:p>
    <w:p>
      <w:pPr>
        <w:spacing w:after="0" w:line="133" w:lineRule="exact"/>
        <w:rPr>
          <w:rFonts w:ascii="Arial" w:cs="Arial" w:eastAsia="Arial" w:hAnsi="Arial"/>
          <w:sz w:val="13"/>
          <w:szCs w:val="13"/>
          <w:color w:val="auto"/>
        </w:rPr>
      </w:pPr>
    </w:p>
    <w:p>
      <w:pPr>
        <w:jc w:val="both"/>
        <w:ind w:firstLine="424"/>
        <w:spacing w:after="0" w:line="349" w:lineRule="auto"/>
        <w:tabs>
          <w:tab w:leader="none" w:pos="612"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Termination without Cause or a Resignation for Good Reason Not Following a Change of Control</w:t>
      </w:r>
      <w:r>
        <w:rPr>
          <w:rFonts w:ascii="Arial" w:cs="Arial" w:eastAsia="Arial" w:hAnsi="Arial"/>
          <w:sz w:val="11"/>
          <w:szCs w:val="11"/>
          <w:color w:val="auto"/>
        </w:rPr>
        <w:t>. In the event Participant’s employment with the Company is terminated without Cause or if Participant terminates his or her employment for Good Reason (as such terms are defined in Participant’s individual employment agreement with the Company) and such termination does not occur on or within twelve months following a Change of Control, the Performance Period shall be deemed to end upon the Participant’s employment termination date for purposes of determining the Company’s Stock Price Performance and the NASDAQ Composite Index Performance and the number</w:t>
      </w:r>
    </w:p>
    <w:p>
      <w:pPr>
        <w:sectPr>
          <w:pgSz w:w="11900" w:h="16838" w:orient="portrait"/>
          <w:cols w:equalWidth="0" w:num="1">
            <w:col w:w="11480"/>
          </w:cols>
          <w:pgMar w:left="220" w:top="127" w:right="1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2"/>
          <w:szCs w:val="12"/>
          <w:b w:val="1"/>
          <w:bCs w:val="1"/>
          <w:color w:val="auto"/>
        </w:rPr>
        <w:t>Exhibit 10.1</w:t>
      </w:r>
    </w:p>
    <w:p>
      <w:pPr>
        <w:spacing w:after="0" w:line="190" w:lineRule="exact"/>
        <w:rPr>
          <w:sz w:val="20"/>
          <w:szCs w:val="20"/>
          <w:color w:val="auto"/>
        </w:rPr>
      </w:pPr>
    </w:p>
    <w:p>
      <w:pPr>
        <w:jc w:val="both"/>
        <w:spacing w:after="0" w:line="341" w:lineRule="auto"/>
        <w:rPr>
          <w:sz w:val="20"/>
          <w:szCs w:val="20"/>
          <w:color w:val="auto"/>
        </w:rPr>
      </w:pPr>
      <w:r>
        <w:rPr>
          <w:rFonts w:ascii="Arial" w:cs="Arial" w:eastAsia="Arial" w:hAnsi="Arial"/>
          <w:sz w:val="11"/>
          <w:szCs w:val="11"/>
          <w:color w:val="auto"/>
        </w:rPr>
        <w:t>of Market Stock Units that are Calculated Market Stock Units will be determined in accordance with the Performance Matrix and Section 1 of this Exhibit A. Subject to Participant executing and not revoking a release of claims as provided for in Participant’s employment agreement (as a necessary condition to the receipt of severance thereunder), Participant shall vest in that number of Calculated Market Stock Units equal to (i) (A) the number of months (including any partial month, expressed as a fraction) that have elapsed from the commencement of the Performance Period through the date of the termination of employment, (B) divided by 36, multiplied by (ii) the number of Calculated Market Stock Units, with the result rounded down to the nearest whole Share. The remaining unvested Calculated Market Stock Units will be forfeited at no cost to the Company and Participant will have no further rights thereunder.</w:t>
      </w:r>
    </w:p>
    <w:p>
      <w:pPr>
        <w:spacing w:after="0" w:line="110" w:lineRule="exact"/>
        <w:rPr>
          <w:sz w:val="20"/>
          <w:szCs w:val="20"/>
          <w:color w:val="auto"/>
        </w:rPr>
      </w:pPr>
    </w:p>
    <w:p>
      <w:pPr>
        <w:ind w:firstLine="424"/>
        <w:spacing w:after="0" w:line="323" w:lineRule="auto"/>
        <w:tabs>
          <w:tab w:leader="none" w:pos="612"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Forfeiture upon Termination of Status as a Service Provider</w:t>
      </w:r>
      <w:r>
        <w:rPr>
          <w:rFonts w:ascii="Arial" w:cs="Arial" w:eastAsia="Arial" w:hAnsi="Arial"/>
          <w:sz w:val="12"/>
          <w:szCs w:val="12"/>
          <w:color w:val="auto"/>
        </w:rPr>
        <w:t>. Subject to the provisions of Section 4 and 5, if Participant ceases to be a Service Provider for any or no reason, the then-unvested Market Stock Units awarded by this Agreement will thereupon be forfeited at no cost to the Company and Participant will have no further rights thereunder.</w:t>
      </w:r>
    </w:p>
    <w:p>
      <w:pPr>
        <w:spacing w:after="0" w:line="132" w:lineRule="exact"/>
        <w:rPr>
          <w:rFonts w:ascii="Arial" w:cs="Arial" w:eastAsia="Arial" w:hAnsi="Arial"/>
          <w:sz w:val="12"/>
          <w:szCs w:val="12"/>
          <w:color w:val="auto"/>
        </w:rPr>
      </w:pPr>
    </w:p>
    <w:p>
      <w:pPr>
        <w:jc w:val="both"/>
        <w:ind w:right="20" w:firstLine="424"/>
        <w:spacing w:after="0" w:line="349" w:lineRule="auto"/>
        <w:tabs>
          <w:tab w:leader="none" w:pos="612" w:val="left"/>
        </w:tabs>
        <w:numPr>
          <w:ilvl w:val="0"/>
          <w:numId w:val="59"/>
        </w:numPr>
        <w:rPr>
          <w:rFonts w:ascii="Arial" w:cs="Arial" w:eastAsia="Arial" w:hAnsi="Arial"/>
          <w:sz w:val="11"/>
          <w:szCs w:val="11"/>
          <w:color w:val="auto"/>
        </w:rPr>
      </w:pPr>
      <w:r>
        <w:rPr>
          <w:rFonts w:ascii="Arial" w:cs="Arial" w:eastAsia="Arial" w:hAnsi="Arial"/>
          <w:sz w:val="11"/>
          <w:szCs w:val="11"/>
          <w:u w:val="single" w:color="auto"/>
          <w:color w:val="auto"/>
        </w:rPr>
        <w:t>Payment after Vesting</w:t>
      </w:r>
      <w:r>
        <w:rPr>
          <w:rFonts w:ascii="Arial" w:cs="Arial" w:eastAsia="Arial" w:hAnsi="Arial"/>
          <w:sz w:val="11"/>
          <w:szCs w:val="11"/>
          <w:color w:val="auto"/>
        </w:rPr>
        <w:t>. Any Market Stock Units that vest in accordance with Sections 3, 4 and 5 will be paid to Participant (or in the event of Participant’s death, to his or her estate) in whole Shares, subject to Participant satisfying any applicable tax withholding obligations as set forth in Section 9. Subject to the provisions of Section 21, any Shares will be issued to Participant as soon as practicable after the relevant vesting date, but in any event, within the period ending on the later to occur of the date that is two-and-one-half months from the end of (a) Participant’s tax year that includes the vesting date, or (b) the Company’s tax year that includes the vesting date.</w:t>
      </w:r>
    </w:p>
    <w:p>
      <w:pPr>
        <w:spacing w:after="0" w:line="123" w:lineRule="exact"/>
        <w:rPr>
          <w:rFonts w:ascii="Arial" w:cs="Arial" w:eastAsia="Arial" w:hAnsi="Arial"/>
          <w:sz w:val="11"/>
          <w:szCs w:val="11"/>
          <w:color w:val="auto"/>
        </w:rPr>
      </w:pPr>
    </w:p>
    <w:p>
      <w:pPr>
        <w:jc w:val="both"/>
        <w:ind w:firstLine="424"/>
        <w:spacing w:after="0" w:line="310" w:lineRule="auto"/>
        <w:tabs>
          <w:tab w:leader="none" w:pos="612"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Payments after Death</w:t>
      </w:r>
      <w:r>
        <w:rPr>
          <w:rFonts w:ascii="Arial" w:cs="Arial" w:eastAsia="Arial" w:hAnsi="Arial"/>
          <w:sz w:val="12"/>
          <w:szCs w:val="12"/>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1" w:lineRule="exact"/>
        <w:rPr>
          <w:sz w:val="20"/>
          <w:szCs w:val="20"/>
          <w:color w:val="auto"/>
        </w:rPr>
      </w:pPr>
    </w:p>
    <w:p>
      <w:pPr>
        <w:ind w:left="420"/>
        <w:spacing w:after="0"/>
        <w:tabs>
          <w:tab w:leader="none" w:pos="2340" w:val="left"/>
        </w:tabs>
        <w:rPr>
          <w:sz w:val="20"/>
          <w:szCs w:val="20"/>
          <w:color w:val="auto"/>
        </w:rPr>
      </w:pPr>
      <w:r>
        <w:rPr>
          <w:rFonts w:ascii="Arial" w:cs="Arial" w:eastAsia="Arial" w:hAnsi="Arial"/>
          <w:sz w:val="12"/>
          <w:szCs w:val="12"/>
          <w:color w:val="auto"/>
        </w:rPr>
        <w:t>9.</w:t>
      </w:r>
      <w:r>
        <w:rPr>
          <w:sz w:val="20"/>
          <w:szCs w:val="20"/>
          <w:color w:val="auto"/>
        </w:rPr>
        <w:tab/>
      </w:r>
      <w:r>
        <w:rPr>
          <w:rFonts w:ascii="Arial" w:cs="Arial" w:eastAsia="Arial" w:hAnsi="Arial"/>
          <w:sz w:val="12"/>
          <w:szCs w:val="12"/>
          <w:u w:val="single" w:color="auto"/>
          <w:color w:val="auto"/>
        </w:rPr>
        <w:t>Withholding of Taxes</w:t>
      </w:r>
      <w:r>
        <w:rPr>
          <w:rFonts w:ascii="Arial" w:cs="Arial" w:eastAsia="Arial" w:hAnsi="Arial"/>
          <w:sz w:val="12"/>
          <w:szCs w:val="12"/>
          <w:color w:val="auto"/>
        </w:rPr>
        <w:t>.</w:t>
      </w:r>
    </w:p>
    <w:p>
      <w:pPr>
        <w:spacing w:after="0" w:line="186" w:lineRule="exact"/>
        <w:rPr>
          <w:sz w:val="20"/>
          <w:szCs w:val="20"/>
          <w:color w:val="auto"/>
        </w:rPr>
      </w:pPr>
    </w:p>
    <w:p>
      <w:pPr>
        <w:jc w:val="both"/>
        <w:ind w:left="1080" w:hanging="223"/>
        <w:spacing w:after="0" w:line="334" w:lineRule="auto"/>
        <w:tabs>
          <w:tab w:leader="none" w:pos="1080" w:val="left"/>
        </w:tabs>
        <w:numPr>
          <w:ilvl w:val="0"/>
          <w:numId w:val="60"/>
        </w:numPr>
        <w:rPr>
          <w:rFonts w:ascii="Arial" w:cs="Arial" w:eastAsia="Arial" w:hAnsi="Arial"/>
          <w:sz w:val="14"/>
          <w:szCs w:val="14"/>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The Participant is ultimately liable and responsible for all taxes owed in connection with the Market Stock Units, regardless of any action the Company or any of its Subsidiaries takes with respect to any tax withholding obligations that arise in connection with the Market Stock Units. Neither the Company nor any of its Subsidiaries makes any representation or undertaking regarding the treatment of any tax withholding in connection with the grant or vesting of the Market Stock Units or the subsequent sale of Shares issuable pursuant to the Market Stock Units. The Company and its Subsidiaries do not commit and are under no obligation to structure the Market Stock Units to reduce or eliminate the Participant’s tax liability.</w:t>
      </w:r>
    </w:p>
    <w:p>
      <w:pPr>
        <w:spacing w:after="0" w:line="136" w:lineRule="exact"/>
        <w:rPr>
          <w:rFonts w:ascii="Arial" w:cs="Arial" w:eastAsia="Arial" w:hAnsi="Arial"/>
          <w:sz w:val="14"/>
          <w:szCs w:val="14"/>
          <w:color w:val="auto"/>
        </w:rPr>
      </w:pPr>
    </w:p>
    <w:p>
      <w:pPr>
        <w:jc w:val="both"/>
        <w:ind w:left="1080" w:hanging="223"/>
        <w:spacing w:after="0" w:line="371" w:lineRule="auto"/>
        <w:tabs>
          <w:tab w:leader="none" w:pos="1080" w:val="left"/>
        </w:tabs>
        <w:numPr>
          <w:ilvl w:val="0"/>
          <w:numId w:val="60"/>
        </w:numPr>
        <w:rPr>
          <w:rFonts w:ascii="Arial" w:cs="Arial" w:eastAsia="Arial" w:hAnsi="Arial"/>
          <w:sz w:val="13"/>
          <w:szCs w:val="13"/>
          <w:color w:val="auto"/>
        </w:rPr>
      </w:pPr>
      <w:r>
        <w:rPr>
          <w:rFonts w:ascii="Arial" w:cs="Arial" w:eastAsia="Arial" w:hAnsi="Arial"/>
          <w:sz w:val="11"/>
          <w:szCs w:val="11"/>
          <w:u w:val="single" w:color="auto"/>
          <w:color w:val="auto"/>
        </w:rPr>
        <w:t>Payment of Withholding Taxes</w:t>
      </w:r>
      <w:r>
        <w:rPr>
          <w:rFonts w:ascii="Arial" w:cs="Arial" w:eastAsia="Arial" w:hAnsi="Arial"/>
          <w:sz w:val="11"/>
          <w:szCs w:val="11"/>
          <w:color w:val="auto"/>
        </w:rPr>
        <w:t>. Notwithstanding any contrary provision of this Agreement, no Shares will be issued to Participant, unless and until satisfactory arrangements (as determined by the Administrator) will have been made by the Participant with respect to the payment of any taxes which the Company determines must be withheld with respect to the Market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ectPr>
          <w:pgSz w:w="11900" w:h="16838" w:orient="portrait"/>
          <w:cols w:equalWidth="0" w:num="1">
            <w:col w:w="11480"/>
          </w:cols>
          <w:pgMar w:left="220" w:top="127" w:right="1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Exhibit 10.1</w:t>
      </w:r>
    </w:p>
    <w:p>
      <w:pPr>
        <w:spacing w:after="0" w:line="190" w:lineRule="exact"/>
        <w:rPr>
          <w:sz w:val="20"/>
          <w:szCs w:val="20"/>
          <w:color w:val="auto"/>
        </w:rPr>
      </w:pPr>
    </w:p>
    <w:p>
      <w:pPr>
        <w:ind w:firstLine="424"/>
        <w:spacing w:after="0" w:line="323" w:lineRule="auto"/>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32" w:lineRule="exact"/>
        <w:rPr>
          <w:rFonts w:ascii="Arial" w:cs="Arial" w:eastAsia="Arial" w:hAnsi="Arial"/>
          <w:sz w:val="12"/>
          <w:szCs w:val="12"/>
          <w:color w:val="auto"/>
        </w:rPr>
      </w:pPr>
    </w:p>
    <w:p>
      <w:pPr>
        <w:jc w:val="both"/>
        <w:ind w:firstLine="424"/>
        <w:spacing w:after="0" w:line="306" w:lineRule="auto"/>
        <w:tabs>
          <w:tab w:leader="none" w:pos="722"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No Effect on Service</w:t>
      </w:r>
      <w:r>
        <w:rPr>
          <w:rFonts w:ascii="Arial" w:cs="Arial" w:eastAsia="Arial" w:hAnsi="Arial"/>
          <w:sz w:val="12"/>
          <w:szCs w:val="12"/>
          <w:color w:val="auto"/>
        </w:rPr>
        <w:t>. Participant acknowledges and agrees that the vesting of the Market Stock Units pursuant to Sections 3, 4 or 5 hereof is earned only by Participant continuing to be a Service Provider through the applicable vesting dates (and not through the act of being hired or acquiring Shares hereunder).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42" w:lineRule="exact"/>
        <w:rPr>
          <w:rFonts w:ascii="Arial" w:cs="Arial" w:eastAsia="Arial" w:hAnsi="Arial"/>
          <w:sz w:val="12"/>
          <w:szCs w:val="12"/>
          <w:color w:val="auto"/>
        </w:rPr>
      </w:pPr>
    </w:p>
    <w:p>
      <w:pPr>
        <w:ind w:firstLine="424"/>
        <w:spacing w:after="0" w:line="323" w:lineRule="auto"/>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Address for Notices</w:t>
      </w:r>
      <w:r>
        <w:rPr>
          <w:rFonts w:ascii="Arial" w:cs="Arial" w:eastAsia="Arial" w:hAnsi="Arial"/>
          <w:sz w:val="12"/>
          <w:szCs w:val="12"/>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w:t>
      </w:r>
    </w:p>
    <w:p>
      <w:pPr>
        <w:spacing w:after="0" w:line="132" w:lineRule="exact"/>
        <w:rPr>
          <w:rFonts w:ascii="Arial" w:cs="Arial" w:eastAsia="Arial" w:hAnsi="Arial"/>
          <w:sz w:val="12"/>
          <w:szCs w:val="12"/>
          <w:color w:val="auto"/>
        </w:rPr>
      </w:pPr>
    </w:p>
    <w:p>
      <w:pPr>
        <w:jc w:val="both"/>
        <w:ind w:firstLine="424"/>
        <w:spacing w:after="0" w:line="349" w:lineRule="auto"/>
        <w:tabs>
          <w:tab w:leader="none" w:pos="727"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auto"/>
        </w:rPr>
        <w:t>Grant is Not Transferable</w:t>
      </w:r>
      <w:r>
        <w:rPr>
          <w:rFonts w:ascii="Arial" w:cs="Arial" w:eastAsia="Arial" w:hAnsi="Arial"/>
          <w:sz w:val="11"/>
          <w:szCs w:val="11"/>
          <w:color w:val="auto"/>
        </w:rPr>
        <w:t>. Except to the limited extent provided in Section 8,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23" w:lineRule="exact"/>
        <w:rPr>
          <w:rFonts w:ascii="Arial" w:cs="Arial" w:eastAsia="Arial" w:hAnsi="Arial"/>
          <w:sz w:val="11"/>
          <w:szCs w:val="11"/>
          <w:color w:val="auto"/>
        </w:rPr>
      </w:pPr>
    </w:p>
    <w:p>
      <w:pPr>
        <w:ind w:right="20" w:firstLine="424"/>
        <w:spacing w:after="0" w:line="323" w:lineRule="auto"/>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Binding Agreement</w:t>
      </w:r>
      <w:r>
        <w:rPr>
          <w:rFonts w:ascii="Arial" w:cs="Arial" w:eastAsia="Arial" w:hAnsi="Arial"/>
          <w:sz w:val="12"/>
          <w:szCs w:val="12"/>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2" w:lineRule="exact"/>
        <w:rPr>
          <w:rFonts w:ascii="Arial" w:cs="Arial" w:eastAsia="Arial" w:hAnsi="Arial"/>
          <w:sz w:val="12"/>
          <w:szCs w:val="12"/>
          <w:color w:val="auto"/>
        </w:rPr>
      </w:pPr>
    </w:p>
    <w:p>
      <w:pPr>
        <w:jc w:val="both"/>
        <w:ind w:firstLine="424"/>
        <w:spacing w:after="0" w:line="337" w:lineRule="auto"/>
        <w:tabs>
          <w:tab w:leader="none" w:pos="727"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auto"/>
        </w:rPr>
        <w:t>Additional Conditions to Issuance of Stock</w:t>
      </w:r>
      <w:r>
        <w:rPr>
          <w:rFonts w:ascii="Arial" w:cs="Arial" w:eastAsia="Arial" w:hAnsi="Arial"/>
          <w:sz w:val="11"/>
          <w:szCs w:val="11"/>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29" w:lineRule="exact"/>
        <w:rPr>
          <w:rFonts w:ascii="Arial" w:cs="Arial" w:eastAsia="Arial" w:hAnsi="Arial"/>
          <w:sz w:val="11"/>
          <w:szCs w:val="11"/>
          <w:color w:val="auto"/>
        </w:rPr>
      </w:pPr>
    </w:p>
    <w:p>
      <w:pPr>
        <w:ind w:firstLine="424"/>
        <w:spacing w:after="0" w:line="323" w:lineRule="auto"/>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Plan Governs</w:t>
      </w:r>
      <w:r>
        <w:rPr>
          <w:rFonts w:ascii="Arial" w:cs="Arial" w:eastAsia="Arial" w:hAnsi="Arial"/>
          <w:sz w:val="12"/>
          <w:szCs w:val="12"/>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32" w:lineRule="exact"/>
        <w:rPr>
          <w:rFonts w:ascii="Arial" w:cs="Arial" w:eastAsia="Arial" w:hAnsi="Arial"/>
          <w:sz w:val="12"/>
          <w:szCs w:val="12"/>
          <w:color w:val="auto"/>
        </w:rPr>
      </w:pPr>
    </w:p>
    <w:p>
      <w:pPr>
        <w:jc w:val="both"/>
        <w:ind w:firstLine="424"/>
        <w:spacing w:after="0" w:line="306" w:lineRule="auto"/>
        <w:tabs>
          <w:tab w:leader="none" w:pos="727"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t>Administrator Authority</w:t>
      </w:r>
      <w:r>
        <w:rPr>
          <w:rFonts w:ascii="Arial" w:cs="Arial" w:eastAsia="Arial" w:hAnsi="Arial"/>
          <w:sz w:val="12"/>
          <w:szCs w:val="12"/>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Market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ectPr>
          <w:pgSz w:w="11900" w:h="16838" w:orient="portrait"/>
          <w:cols w:equalWidth="0" w:num="1">
            <w:col w:w="11480"/>
          </w:cols>
          <w:pgMar w:left="220" w:top="127" w:right="1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t>Exhibit 10.1</w:t>
      </w:r>
    </w:p>
    <w:p>
      <w:pPr>
        <w:spacing w:after="0" w:line="190" w:lineRule="exact"/>
        <w:rPr>
          <w:sz w:val="20"/>
          <w:szCs w:val="20"/>
          <w:color w:val="auto"/>
        </w:rPr>
      </w:pPr>
    </w:p>
    <w:p>
      <w:pPr>
        <w:jc w:val="both"/>
        <w:ind w:firstLine="424"/>
        <w:spacing w:after="0" w:line="310" w:lineRule="auto"/>
        <w:tabs>
          <w:tab w:leader="none" w:pos="727"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The Company may, in its sole discretion, decide to deliver any documents related to Market Stock Units awarded under the Plan or future Market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41" w:lineRule="exact"/>
        <w:rPr>
          <w:rFonts w:ascii="Arial" w:cs="Arial" w:eastAsia="Arial" w:hAnsi="Arial"/>
          <w:sz w:val="12"/>
          <w:szCs w:val="12"/>
          <w:color w:val="auto"/>
        </w:rPr>
      </w:pPr>
    </w:p>
    <w:p>
      <w:pPr>
        <w:ind w:left="820" w:hanging="396"/>
        <w:spacing w:after="0"/>
        <w:tabs>
          <w:tab w:leader="none" w:pos="820" w:val="left"/>
        </w:tabs>
        <w:numPr>
          <w:ilvl w:val="0"/>
          <w:numId w:val="62"/>
        </w:numPr>
        <w:rPr>
          <w:rFonts w:ascii="Arial" w:cs="Arial" w:eastAsia="Arial" w:hAnsi="Arial"/>
          <w:sz w:val="14"/>
          <w:szCs w:val="14"/>
          <w:color w:val="auto"/>
        </w:rPr>
      </w:pPr>
      <w:r>
        <w:rPr>
          <w:rFonts w:ascii="Arial" w:cs="Arial" w:eastAsia="Arial" w:hAnsi="Arial"/>
          <w:sz w:val="12"/>
          <w:szCs w:val="12"/>
          <w:u w:val="single" w:color="auto"/>
          <w:color w:val="auto"/>
        </w:rPr>
        <w:t>Captions</w:t>
      </w:r>
      <w:r>
        <w:rPr>
          <w:rFonts w:ascii="Arial" w:cs="Arial" w:eastAsia="Arial" w:hAnsi="Arial"/>
          <w:sz w:val="12"/>
          <w:szCs w:val="12"/>
          <w:color w:val="auto"/>
        </w:rPr>
        <w:t>. Captions provided herein are for convenience only and are not to serve as a basis for interpretation or construction of this Agreement.</w:t>
      </w:r>
    </w:p>
    <w:p>
      <w:pPr>
        <w:spacing w:after="0" w:line="180" w:lineRule="exact"/>
        <w:rPr>
          <w:rFonts w:ascii="Arial" w:cs="Arial" w:eastAsia="Arial" w:hAnsi="Arial"/>
          <w:sz w:val="14"/>
          <w:szCs w:val="14"/>
          <w:color w:val="auto"/>
        </w:rPr>
      </w:pPr>
    </w:p>
    <w:p>
      <w:pPr>
        <w:ind w:firstLine="424"/>
        <w:spacing w:after="0" w:line="323" w:lineRule="auto"/>
        <w:tabs>
          <w:tab w:leader="none" w:pos="727"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Agreement Severable</w:t>
      </w:r>
      <w:r>
        <w:rPr>
          <w:rFonts w:ascii="Arial" w:cs="Arial" w:eastAsia="Arial" w:hAnsi="Arial"/>
          <w:sz w:val="12"/>
          <w:szCs w:val="1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Arial" w:cs="Arial" w:eastAsia="Arial" w:hAnsi="Arial"/>
          <w:sz w:val="12"/>
          <w:szCs w:val="12"/>
          <w:color w:val="auto"/>
        </w:rPr>
      </w:pPr>
    </w:p>
    <w:p>
      <w:pPr>
        <w:jc w:val="both"/>
        <w:ind w:firstLine="424"/>
        <w:spacing w:after="0" w:line="331" w:lineRule="auto"/>
        <w:tabs>
          <w:tab w:leader="none" w:pos="727" w:val="left"/>
        </w:tabs>
        <w:numPr>
          <w:ilvl w:val="0"/>
          <w:numId w:val="62"/>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Notwithstanding anything in the Plan or this Agreement to the contrary, if the vesting of the balance, or some lesser portion of the balance, of the Market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1"/>
          <w:szCs w:val="11"/>
          <w:b w:val="1"/>
          <w:bCs w:val="1"/>
          <w:color w:val="auto"/>
        </w:rPr>
        <w:t>,</w:t>
      </w:r>
      <w:r>
        <w:rPr>
          <w:rFonts w:ascii="Arial" w:cs="Arial" w:eastAsia="Arial" w:hAnsi="Arial"/>
          <w:sz w:val="11"/>
          <w:szCs w:val="11"/>
          <w:color w:val="auto"/>
        </w:rPr>
        <w:t xml:space="preserve"> and if (x) Participant is a “specified employee” within the meaning of Section 409A at the time of such termination as a Service Provider and (y) the payment of such accelerated Market Stock Units will result in the imposition of additional tax under Section 409A if paid to Participant on or within the six (6) month period following Participant’s termination as a Service Provider, then the payment of such accelerated Market Stock Units will not be made until the date six (6) months and one (1) day following the date of Participant’s termination as a Service Provider, unless the Participant dies following his or her termination as a Service Provider, in which case, the Market Stock Units will be paid in Shares to the Participant’s estate as soon as practicable following his or her death. It is the intent of this Agreement to comply with the requirements of Section 409A so that none of the Market Stock Units provided under this Agreement or Shares issuable thereunder will be subject to the additional tax imposed under Section 409A, and any ambiguities herein will 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17" w:lineRule="exact"/>
        <w:rPr>
          <w:rFonts w:ascii="Arial" w:cs="Arial" w:eastAsia="Arial" w:hAnsi="Arial"/>
          <w:sz w:val="11"/>
          <w:szCs w:val="11"/>
          <w:color w:val="auto"/>
        </w:rPr>
      </w:pPr>
    </w:p>
    <w:p>
      <w:pPr>
        <w:jc w:val="both"/>
        <w:ind w:firstLine="424"/>
        <w:spacing w:after="0" w:line="310" w:lineRule="auto"/>
        <w:tabs>
          <w:tab w:leader="none" w:pos="727"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the laws of the State of California, without giving effect to the conflict of law principles thereof. For purposes of litigating any dispute that arises under this Award of Market Stock Units or this Agreement, the parties hereby submit to and consent to the jurisdiction of the State of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and agree that such litigation shall be conducted in the courts of Santa Clara County,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or the federal courts for the United States for the Northern District of California, and no other courts, where this Award of Market Stock Units is made and/or to be performed.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[Remainder of Page Intentionally Left Blank]</w:t>
      </w:r>
    </w:p>
    <w:p>
      <w:pPr>
        <w:sectPr>
          <w:pgSz w:w="11900" w:h="16838" w:orient="portrait"/>
          <w:cols w:equalWidth="0" w:num="1">
            <w:col w:w="11480"/>
          </w:cols>
          <w:pgMar w:left="220" w:top="127" w:right="1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2"/>
          <w:szCs w:val="12"/>
          <w:b w:val="1"/>
          <w:bCs w:val="1"/>
          <w:color w:val="auto"/>
        </w:rPr>
        <w:t>Exhibit 10.1</w:t>
      </w:r>
    </w:p>
    <w:p>
      <w:pPr>
        <w:spacing w:after="0" w:line="31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Market Stock Units.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PARTICIPANT:</w:t>
            </w:r>
          </w:p>
        </w:tc>
        <w:tc>
          <w:tcPr>
            <w:tcW w:w="8740" w:type="dxa"/>
            <w:vAlign w:val="bottom"/>
            <w:gridSpan w:val="2"/>
          </w:tcPr>
          <w:p>
            <w:pPr>
              <w:ind w:left="480"/>
              <w:spacing w:after="0"/>
              <w:rPr>
                <w:sz w:val="20"/>
                <w:szCs w:val="20"/>
                <w:color w:val="auto"/>
              </w:rPr>
            </w:pPr>
            <w:r>
              <w:rPr>
                <w:rFonts w:ascii="Arial" w:cs="Arial" w:eastAsia="Arial" w:hAnsi="Arial"/>
                <w:sz w:val="14"/>
                <w:szCs w:val="14"/>
                <w:color w:val="auto"/>
              </w:rPr>
              <w:t>ALIGN TECHNOLOGY, INC.</w:t>
            </w:r>
          </w:p>
        </w:tc>
      </w:tr>
      <w:tr>
        <w:trPr>
          <w:trHeight w:val="685"/>
        </w:trPr>
        <w:tc>
          <w:tcPr>
            <w:tcW w:w="1160" w:type="dxa"/>
            <w:vAlign w:val="bottom"/>
          </w:tcPr>
          <w:p>
            <w:pPr>
              <w:spacing w:after="0"/>
              <w:rPr>
                <w:sz w:val="20"/>
                <w:szCs w:val="20"/>
                <w:color w:val="auto"/>
              </w:rPr>
            </w:pPr>
            <w:r>
              <w:rPr>
                <w:rFonts w:ascii="Arial" w:cs="Arial" w:eastAsia="Arial" w:hAnsi="Arial"/>
                <w:sz w:val="14"/>
                <w:szCs w:val="14"/>
                <w:color w:val="auto"/>
              </w:rPr>
              <w:t>Signature</w:t>
            </w:r>
          </w:p>
        </w:tc>
        <w:tc>
          <w:tcPr>
            <w:tcW w:w="8740" w:type="dxa"/>
            <w:vAlign w:val="bottom"/>
            <w:gridSpan w:val="2"/>
          </w:tcPr>
          <w:p>
            <w:pPr>
              <w:ind w:left="240"/>
              <w:spacing w:after="0"/>
              <w:rPr>
                <w:sz w:val="20"/>
                <w:szCs w:val="20"/>
                <w:color w:val="auto"/>
              </w:rPr>
            </w:pPr>
            <w:r>
              <w:rPr>
                <w:rFonts w:ascii="Arial" w:cs="Arial" w:eastAsia="Arial" w:hAnsi="Arial"/>
                <w:sz w:val="14"/>
                <w:szCs w:val="14"/>
                <w:color w:val="auto"/>
              </w:rPr>
              <w:t>By</w:t>
            </w:r>
          </w:p>
        </w:tc>
      </w:tr>
      <w:tr>
        <w:trPr>
          <w:trHeight w:val="282"/>
        </w:trPr>
        <w:tc>
          <w:tcPr>
            <w:tcW w:w="1160" w:type="dxa"/>
            <w:vAlign w:val="bottom"/>
          </w:tcPr>
          <w:p>
            <w:pPr>
              <w:spacing w:after="0"/>
              <w:rPr>
                <w:sz w:val="24"/>
                <w:szCs w:val="24"/>
                <w:color w:val="auto"/>
              </w:rPr>
            </w:pPr>
          </w:p>
        </w:tc>
        <w:tc>
          <w:tcPr>
            <w:tcW w:w="8740" w:type="dxa"/>
            <w:vAlign w:val="bottom"/>
            <w:gridSpan w:val="2"/>
          </w:tcPr>
          <w:p>
            <w:pPr>
              <w:ind w:left="6620"/>
              <w:spacing w:after="0"/>
              <w:rPr>
                <w:sz w:val="20"/>
                <w:szCs w:val="20"/>
                <w:color w:val="auto"/>
              </w:rPr>
            </w:pPr>
            <w:r>
              <w:rPr>
                <w:rFonts w:ascii="Arial" w:cs="Arial" w:eastAsia="Arial" w:hAnsi="Arial"/>
                <w:sz w:val="14"/>
                <w:szCs w:val="14"/>
                <w:color w:val="auto"/>
                <w:w w:val="96"/>
              </w:rPr>
              <w:t>Joseph Hogan, President and CEO</w:t>
            </w:r>
          </w:p>
        </w:tc>
      </w:tr>
      <w:tr>
        <w:trPr>
          <w:trHeight w:val="184"/>
        </w:trPr>
        <w:tc>
          <w:tcPr>
            <w:tcW w:w="1160" w:type="dxa"/>
            <w:vAlign w:val="bottom"/>
          </w:tcPr>
          <w:p>
            <w:pPr>
              <w:spacing w:after="0"/>
              <w:rPr>
                <w:sz w:val="20"/>
                <w:szCs w:val="20"/>
                <w:color w:val="auto"/>
              </w:rPr>
            </w:pPr>
            <w:r>
              <w:rPr>
                <w:rFonts w:ascii="Arial" w:cs="Arial" w:eastAsia="Arial" w:hAnsi="Arial"/>
                <w:sz w:val="14"/>
                <w:szCs w:val="14"/>
                <w:color w:val="auto"/>
              </w:rPr>
              <w:t>Print Name</w:t>
            </w:r>
          </w:p>
        </w:tc>
        <w:tc>
          <w:tcPr>
            <w:tcW w:w="6620" w:type="dxa"/>
            <w:vAlign w:val="bottom"/>
          </w:tcPr>
          <w:p>
            <w:pPr>
              <w:ind w:left="360"/>
              <w:spacing w:after="0"/>
              <w:rPr>
                <w:sz w:val="20"/>
                <w:szCs w:val="20"/>
                <w:color w:val="auto"/>
              </w:rPr>
            </w:pPr>
            <w:r>
              <w:rPr>
                <w:rFonts w:ascii="Arial" w:cs="Arial" w:eastAsia="Arial" w:hAnsi="Arial"/>
                <w:sz w:val="14"/>
                <w:szCs w:val="14"/>
                <w:color w:val="auto"/>
              </w:rPr>
              <w:t>Title</w:t>
            </w:r>
          </w:p>
        </w:tc>
        <w:tc>
          <w:tcPr>
            <w:tcW w:w="2120" w:type="dxa"/>
            <w:vAlign w:val="bottom"/>
            <w:tcBorders>
              <w:top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6583680</wp:posOffset>
            </wp:positionH>
            <wp:positionV relativeFrom="paragraph">
              <wp:posOffset>-438150</wp:posOffset>
            </wp:positionV>
            <wp:extent cx="7442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2"/>
          <w:szCs w:val="12"/>
          <w:b w:val="1"/>
          <w:bCs w:val="1"/>
          <w:color w:val="auto"/>
        </w:rPr>
        <w:t>Exhibit 10.2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ALIGN 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2005 INCENTIVE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GRANT OF MARKET STOCK UNITS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Unless otherwise defined herein, the terms defined in the Amended and Restated 2005 Incentive Plan (the “Plan”) will have the same defined meanings in this Notice of Grant of Market Stock Units (the “Notice of Grant”).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Participant:</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Address:</w:t>
      </w:r>
    </w:p>
    <w:p>
      <w:pPr>
        <w:spacing w:after="0" w:line="28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You (the “Participant”) have been granted an award (“Award”) of market-performance based Restricted Stock Units (“Market Stock Units”), subject to the terms and conditions of the Plan, this Notice of Grant and the Market Stock Unit Agreement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“Agreement”) as follows:</w:t>
      </w:r>
    </w:p>
    <w:p>
      <w:pPr>
        <w:sectPr>
          <w:pgSz w:w="11900" w:h="16838" w:orient="portrait"/>
          <w:cols w:equalWidth="0" w:num="1">
            <w:col w:w="11480"/>
          </w:cols>
          <w:pgMar w:left="220" w:top="126" w:right="199" w:bottom="1440" w:gutter="0" w:footer="0" w:header="0"/>
        </w:sectPr>
      </w:pPr>
    </w:p>
    <w:p>
      <w:pPr>
        <w:spacing w:after="0" w:line="115" w:lineRule="exact"/>
        <w:rPr>
          <w:sz w:val="20"/>
          <w:szCs w:val="20"/>
          <w:color w:val="auto"/>
        </w:rPr>
      </w:pPr>
    </w:p>
    <w:p>
      <w:pPr>
        <w:ind w:left="2800"/>
        <w:spacing w:after="0"/>
        <w:tabs>
          <w:tab w:leader="none" w:pos="3960" w:val="left"/>
        </w:tabs>
        <w:rPr>
          <w:sz w:val="20"/>
          <w:szCs w:val="20"/>
          <w:color w:val="auto"/>
        </w:rPr>
      </w:pPr>
      <w:r>
        <w:rPr>
          <w:rFonts w:ascii="Arial" w:cs="Arial" w:eastAsia="Arial" w:hAnsi="Arial"/>
          <w:sz w:val="12"/>
          <w:szCs w:val="12"/>
          <w:color w:val="auto"/>
        </w:rPr>
        <w:t>Date of Grant:</w:t>
      </w:r>
      <w:r>
        <w:rPr>
          <w:sz w:val="20"/>
          <w:szCs w:val="20"/>
          <w:color w:val="auto"/>
        </w:rPr>
        <w:tab/>
      </w:r>
      <w:r>
        <w:rPr>
          <w:rFonts w:ascii="Arial" w:cs="Arial" w:eastAsia="Arial" w:hAnsi="Arial"/>
          <w:sz w:val="11"/>
          <w:szCs w:val="11"/>
          <w:color w:val="auto"/>
        </w:rPr>
        <w:t>xx/xx/xxx</w:t>
      </w:r>
    </w:p>
    <w:p>
      <w:pPr>
        <w:spacing w:after="0" w:line="15" w:lineRule="exact"/>
        <w:rPr>
          <w:sz w:val="20"/>
          <w:szCs w:val="20"/>
          <w:color w:val="auto"/>
        </w:rPr>
      </w:pPr>
    </w:p>
    <w:p>
      <w:pPr>
        <w:ind w:left="2800"/>
        <w:spacing w:after="0"/>
        <w:rPr>
          <w:sz w:val="20"/>
          <w:szCs w:val="20"/>
          <w:color w:val="auto"/>
        </w:rPr>
      </w:pPr>
      <w:r>
        <w:rPr>
          <w:rFonts w:ascii="Arial" w:cs="Arial" w:eastAsia="Arial" w:hAnsi="Arial"/>
          <w:sz w:val="11"/>
          <w:szCs w:val="11"/>
          <w:color w:val="auto"/>
        </w:rPr>
        <w:t>Target Number of Market Stock Units: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xxx (the “Target Number of Market Stock Units”)</w:t>
      </w:r>
    </w:p>
    <w:p>
      <w:pPr>
        <w:spacing w:after="0" w:line="161" w:lineRule="exact"/>
        <w:rPr>
          <w:sz w:val="20"/>
          <w:szCs w:val="20"/>
          <w:color w:val="auto"/>
        </w:rPr>
      </w:pPr>
    </w:p>
    <w:p>
      <w:pPr>
        <w:sectPr>
          <w:pgSz w:w="11900" w:h="16838" w:orient="portrait"/>
          <w:cols w:equalWidth="0" w:num="2">
            <w:col w:w="4660" w:space="120"/>
            <w:col w:w="6700"/>
          </w:cols>
          <w:pgMar w:left="220" w:top="126" w:right="199" w:bottom="1440" w:gutter="0" w:footer="0" w:header="0"/>
          <w:type w:val="continuous"/>
        </w:sectPr>
      </w:pPr>
    </w:p>
    <w:p>
      <w:pPr>
        <w:ind w:left="2800"/>
        <w:spacing w:after="0"/>
        <w:rPr>
          <w:sz w:val="20"/>
          <w:szCs w:val="20"/>
          <w:color w:val="auto"/>
        </w:rPr>
      </w:pPr>
      <w:r>
        <w:rPr>
          <w:rFonts w:ascii="Arial" w:cs="Arial" w:eastAsia="Arial" w:hAnsi="Arial"/>
          <w:sz w:val="11"/>
          <w:szCs w:val="11"/>
          <w:color w:val="auto"/>
        </w:rPr>
        <w:t>Maximum Number of Market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xxx (the “Maximum Number of Market Stock Units”)</w:t>
      </w:r>
    </w:p>
    <w:p>
      <w:pPr>
        <w:spacing w:after="0" w:line="189" w:lineRule="exact"/>
        <w:rPr>
          <w:sz w:val="20"/>
          <w:szCs w:val="20"/>
          <w:color w:val="auto"/>
        </w:rPr>
      </w:pPr>
    </w:p>
    <w:p>
      <w:pPr>
        <w:sectPr>
          <w:pgSz w:w="11900" w:h="16838" w:orient="portrait"/>
          <w:cols w:equalWidth="0" w:num="2">
            <w:col w:w="4860" w:space="120"/>
            <w:col w:w="6500"/>
          </w:cols>
          <w:pgMar w:left="220" w:top="126" w:right="199" w:bottom="1440" w:gutter="0" w:footer="0" w:header="0"/>
          <w:type w:val="continuous"/>
        </w:sectPr>
      </w:pPr>
    </w:p>
    <w:p>
      <w:pPr>
        <w:ind w:left="420"/>
        <w:spacing w:after="0"/>
        <w:rPr>
          <w:sz w:val="20"/>
          <w:szCs w:val="20"/>
          <w:color w:val="auto"/>
        </w:rPr>
      </w:pPr>
      <w:r>
        <w:rPr>
          <w:rFonts w:ascii="Arial" w:cs="Arial" w:eastAsia="Arial" w:hAnsi="Arial"/>
          <w:sz w:val="10"/>
          <w:szCs w:val="10"/>
          <w:color w:val="auto"/>
        </w:rPr>
        <w:t>Performance Period:</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Means the three year period commencing on the Date of Grant and ending on the third year anniversary of the Date of Grant (subject to Sections 4 of Exhibit A (the “Performance Period”)).</w:t>
      </w:r>
    </w:p>
    <w:p>
      <w:pPr>
        <w:spacing w:after="0" w:line="115" w:lineRule="exact"/>
        <w:rPr>
          <w:sz w:val="20"/>
          <w:szCs w:val="20"/>
          <w:color w:val="auto"/>
        </w:rPr>
      </w:pPr>
    </w:p>
    <w:p>
      <w:pPr>
        <w:sectPr>
          <w:pgSz w:w="11900" w:h="16838" w:orient="portrait"/>
          <w:cols w:equalWidth="0" w:num="2">
            <w:col w:w="1860" w:space="720"/>
            <w:col w:w="8900"/>
          </w:cols>
          <w:pgMar w:left="220" w:top="126" w:right="199" w:bottom="1440" w:gutter="0" w:footer="0" w:header="0"/>
          <w:type w:val="continuous"/>
        </w:sectPr>
      </w:pPr>
    </w:p>
    <w:p>
      <w:pPr>
        <w:ind w:left="420"/>
        <w:spacing w:after="0"/>
        <w:rPr>
          <w:sz w:val="20"/>
          <w:szCs w:val="20"/>
          <w:color w:val="auto"/>
        </w:rPr>
      </w:pPr>
      <w:r>
        <w:rPr>
          <w:rFonts w:ascii="Arial" w:cs="Arial" w:eastAsia="Arial" w:hAnsi="Arial"/>
          <w:sz w:val="11"/>
          <w:szCs w:val="11"/>
          <w:color w:val="auto"/>
        </w:rPr>
        <w:t>Performance Matrix:</w:t>
      </w:r>
    </w:p>
    <w:p>
      <w:pPr>
        <w:spacing w:after="0" w:line="20" w:lineRule="exact"/>
        <w:rPr>
          <w:sz w:val="20"/>
          <w:szCs w:val="20"/>
          <w:color w:val="auto"/>
        </w:rPr>
      </w:pPr>
      <w:r>
        <w:rPr>
          <w:sz w:val="20"/>
          <w:szCs w:val="20"/>
          <w:color w:val="auto"/>
        </w:rPr>
        <w:br w:type="column"/>
      </w:r>
    </w:p>
    <w:p>
      <w:pPr>
        <w:spacing w:after="0" w:line="380" w:lineRule="auto"/>
        <w:rPr>
          <w:sz w:val="20"/>
          <w:szCs w:val="20"/>
          <w:color w:val="auto"/>
        </w:rPr>
      </w:pPr>
      <w:r>
        <w:rPr>
          <w:rFonts w:ascii="Arial" w:cs="Arial" w:eastAsia="Arial" w:hAnsi="Arial"/>
          <w:sz w:val="10"/>
          <w:szCs w:val="10"/>
          <w:color w:val="auto"/>
        </w:rPr>
        <w:t>The number of Market Stock Units in which Participant may vest in accordance with the Vesting Schedule will depend upon the Company’s Stock Price Performance (as defined below) as compared to the NASDAQ Composite Stock Price Performance (as defined below) for the Performance Period and will be determined in accordance with Section 1 of Exhibit A.</w:t>
      </w:r>
    </w:p>
    <w:p>
      <w:pPr>
        <w:spacing w:after="0" w:line="68" w:lineRule="exact"/>
        <w:rPr>
          <w:sz w:val="20"/>
          <w:szCs w:val="20"/>
          <w:color w:val="auto"/>
        </w:rPr>
      </w:pPr>
    </w:p>
    <w:p>
      <w:pPr>
        <w:sectPr>
          <w:pgSz w:w="11900" w:h="16838" w:orient="portrait"/>
          <w:cols w:equalWidth="0" w:num="2">
            <w:col w:w="1860" w:space="720"/>
            <w:col w:w="8900"/>
          </w:cols>
          <w:pgMar w:left="220" w:top="126" w:right="199" w:bottom="1440" w:gutter="0" w:footer="0" w:header="0"/>
          <w:type w:val="continuous"/>
        </w:sectPr>
      </w:pPr>
    </w:p>
    <w:p>
      <w:pPr>
        <w:ind w:left="420"/>
        <w:spacing w:after="0"/>
        <w:rPr>
          <w:sz w:val="20"/>
          <w:szCs w:val="20"/>
          <w:color w:val="auto"/>
        </w:rPr>
      </w:pPr>
      <w:r>
        <w:rPr>
          <w:rFonts w:ascii="Arial" w:cs="Arial" w:eastAsia="Arial" w:hAnsi="Arial"/>
          <w:sz w:val="10"/>
          <w:szCs w:val="10"/>
          <w:color w:val="auto"/>
        </w:rPr>
        <w:t>Vesting Schedule: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Subject to Section 4 of Exhibit A and the terms of the Plan, the Participant will vest in his or her Calculated Market Stock Units (as defined below) on the last day of the Performance Period (the “Vesting Date”).</w:t>
      </w:r>
    </w:p>
    <w:p>
      <w:pPr>
        <w:spacing w:after="0" w:line="200" w:lineRule="exact"/>
        <w:rPr>
          <w:sz w:val="20"/>
          <w:szCs w:val="20"/>
          <w:color w:val="auto"/>
        </w:rPr>
      </w:pPr>
    </w:p>
    <w:p>
      <w:pPr>
        <w:sectPr>
          <w:pgSz w:w="11900" w:h="16838" w:orient="portrait"/>
          <w:cols w:equalWidth="0" w:num="2">
            <w:col w:w="1860" w:space="720"/>
            <w:col w:w="8900"/>
          </w:cols>
          <w:pgMar w:left="220" w:top="126" w:right="199" w:bottom="1440" w:gutter="0" w:footer="0" w:header="0"/>
          <w:type w:val="continuous"/>
        </w:sectPr>
      </w:pPr>
    </w:p>
    <w:p>
      <w:pPr>
        <w:spacing w:after="0" w:line="55"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By accepting this agreement, you and the Company agree that this Award is granted under and governed by the terms and conditions of the Plan and the Agreement, each of which are made a part of this document.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 further agree to accept, acknowledge and execute this Agreement as a condition to receiving any Market Stock Units under this Award.</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Nothing in this Notice of Grant or in the attached Agreement or in the Plan shall confer upon Participant any right to continue in service for any period of specific duration or interfere with or otherwise restrict in any way the rights of the Company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480"/>
          </w:cols>
          <w:pgMar w:left="220" w:top="126" w:right="19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t>Exhibit 10.2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STOCK UNIT AGREEMENT</w:t>
      </w:r>
    </w:p>
    <w:p>
      <w:pPr>
        <w:spacing w:after="0" w:line="154" w:lineRule="exact"/>
        <w:rPr>
          <w:sz w:val="20"/>
          <w:szCs w:val="20"/>
          <w:color w:val="auto"/>
        </w:rPr>
      </w:pPr>
    </w:p>
    <w:p>
      <w:pPr>
        <w:ind w:left="900" w:hanging="476"/>
        <w:spacing w:after="0"/>
        <w:tabs>
          <w:tab w:leader="none" w:pos="900"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w:t>
      </w:r>
    </w:p>
    <w:p>
      <w:pPr>
        <w:spacing w:after="0" w:line="195" w:lineRule="exact"/>
        <w:rPr>
          <w:rFonts w:ascii="Arial" w:cs="Arial" w:eastAsia="Arial" w:hAnsi="Arial"/>
          <w:sz w:val="12"/>
          <w:szCs w:val="12"/>
          <w:color w:val="auto"/>
        </w:rPr>
      </w:pPr>
    </w:p>
    <w:p>
      <w:pPr>
        <w:ind w:left="1120" w:hanging="263"/>
        <w:spacing w:after="0"/>
        <w:tabs>
          <w:tab w:leader="none" w:pos="1120" w:val="left"/>
        </w:tabs>
        <w:numPr>
          <w:ilvl w:val="1"/>
          <w:numId w:val="63"/>
        </w:numPr>
        <w:rPr>
          <w:rFonts w:ascii="Arial" w:cs="Arial" w:eastAsia="Arial" w:hAnsi="Arial"/>
          <w:sz w:val="12"/>
          <w:szCs w:val="12"/>
          <w:color w:val="auto"/>
        </w:rPr>
      </w:pPr>
      <w:r>
        <w:rPr>
          <w:rFonts w:ascii="Arial" w:cs="Arial" w:eastAsia="Arial" w:hAnsi="Arial"/>
          <w:sz w:val="12"/>
          <w:szCs w:val="12"/>
          <w:color w:val="auto"/>
        </w:rPr>
        <w:t>The Company hereby grants to Participant under the Plan an Award of Market Stock Units, subject to all of the terms and conditions in the Notice of Grant, this Agreement and the Plan.</w:t>
      </w:r>
    </w:p>
    <w:p>
      <w:pPr>
        <w:spacing w:after="0" w:line="177" w:lineRule="exact"/>
        <w:rPr>
          <w:rFonts w:ascii="Arial" w:cs="Arial" w:eastAsia="Arial" w:hAnsi="Arial"/>
          <w:sz w:val="12"/>
          <w:szCs w:val="12"/>
          <w:color w:val="auto"/>
        </w:rPr>
      </w:pPr>
    </w:p>
    <w:p>
      <w:pPr>
        <w:jc w:val="both"/>
        <w:ind w:firstLine="857"/>
        <w:spacing w:after="0" w:line="310" w:lineRule="auto"/>
        <w:tabs>
          <w:tab w:leader="none" w:pos="1140" w:val="left"/>
        </w:tabs>
        <w:numPr>
          <w:ilvl w:val="1"/>
          <w:numId w:val="63"/>
        </w:numPr>
        <w:rPr>
          <w:rFonts w:ascii="Arial" w:cs="Arial" w:eastAsia="Arial" w:hAnsi="Arial"/>
          <w:sz w:val="12"/>
          <w:szCs w:val="12"/>
          <w:color w:val="auto"/>
        </w:rPr>
      </w:pPr>
      <w:r>
        <w:rPr>
          <w:rFonts w:ascii="Arial" w:cs="Arial" w:eastAsia="Arial" w:hAnsi="Arial"/>
          <w:sz w:val="12"/>
          <w:szCs w:val="12"/>
          <w:color w:val="auto"/>
        </w:rPr>
        <w:t>The number of Market Stock Units in which the Participant may vest in accordance with the Vesting Schedule set forth in the Notice of Grant will depend upon the Company’s Stock Price Performance as compared to the NASDAQ Composite Index Performance calculated on the Vesting Date with 100% of the Market Stock Units eligible to vest on the Vesting Date. The actual number of Market Stock Units that will vest on the Vesting Date will be determined as follows:</w:t>
      </w:r>
    </w:p>
    <w:p>
      <w:pPr>
        <w:spacing w:after="0" w:line="113" w:lineRule="exact"/>
        <w:rPr>
          <w:rFonts w:ascii="Arial" w:cs="Arial" w:eastAsia="Arial" w:hAnsi="Arial"/>
          <w:sz w:val="12"/>
          <w:szCs w:val="12"/>
          <w:color w:val="auto"/>
        </w:rPr>
      </w:pPr>
    </w:p>
    <w:p>
      <w:pPr>
        <w:ind w:left="1540" w:hanging="251"/>
        <w:spacing w:after="0"/>
        <w:tabs>
          <w:tab w:leader="none" w:pos="1540" w:val="left"/>
        </w:tabs>
        <w:numPr>
          <w:ilvl w:val="2"/>
          <w:numId w:val="63"/>
        </w:numPr>
        <w:rPr>
          <w:rFonts w:ascii="Arial" w:cs="Arial" w:eastAsia="Arial" w:hAnsi="Arial"/>
          <w:sz w:val="13"/>
          <w:szCs w:val="13"/>
          <w:color w:val="auto"/>
        </w:rPr>
      </w:pPr>
      <w:r>
        <w:rPr>
          <w:rFonts w:ascii="Arial" w:cs="Arial" w:eastAsia="Arial" w:hAnsi="Arial"/>
          <w:sz w:val="12"/>
          <w:szCs w:val="12"/>
          <w:u w:val="single" w:color="auto"/>
          <w:color w:val="auto"/>
        </w:rPr>
        <w:t>Performance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jc w:val="both"/>
        <w:ind w:firstLine="1721"/>
        <w:spacing w:after="0" w:line="257" w:lineRule="auto"/>
        <w:tabs>
          <w:tab w:leader="none" w:pos="1979" w:val="left"/>
        </w:tabs>
        <w:numPr>
          <w:ilvl w:val="3"/>
          <w:numId w:val="63"/>
        </w:numPr>
        <w:rPr>
          <w:rFonts w:ascii="Arial" w:cs="Arial" w:eastAsia="Arial" w:hAnsi="Arial"/>
          <w:sz w:val="12"/>
          <w:szCs w:val="12"/>
          <w:color w:val="auto"/>
        </w:rPr>
      </w:pPr>
      <w:r>
        <w:rPr>
          <w:rFonts w:ascii="Arial" w:cs="Arial" w:eastAsia="Arial" w:hAnsi="Arial"/>
          <w:sz w:val="12"/>
          <w:szCs w:val="12"/>
          <w:color w:val="auto"/>
        </w:rPr>
        <w:t>The “Company’s Stock Price Performance” means the percentage increase or decrease in (i) the average adjusted closing price per share of the Company’s common stock for the last sixty (60) market trading days prior to the commencement of the Performance Period over (ii) the average adjusted closing price of the Company’s common stock for the last sixty (60) market trading days prior to the last day of the Performance Period. Notwithstanding the foregoing, in the event of a Change of Control of the Company, the “Company’s Stock Price Performance” means the percentage increase or decrease in (i) the average adjusted closing price per share of the Company’s common stock for the last sixty (60) market trading days prior to the commencement of the Performance Period over (ii) the per share value of the Company’s common stock paid to its stockholders in connection with the Change of Control.</w:t>
      </w:r>
    </w:p>
    <w:p>
      <w:pPr>
        <w:spacing w:after="0" w:line="269" w:lineRule="exact"/>
        <w:rPr>
          <w:rFonts w:ascii="Arial" w:cs="Arial" w:eastAsia="Arial" w:hAnsi="Arial"/>
          <w:sz w:val="12"/>
          <w:szCs w:val="12"/>
          <w:color w:val="auto"/>
        </w:rPr>
      </w:pPr>
    </w:p>
    <w:p>
      <w:pPr>
        <w:ind w:firstLine="1721"/>
        <w:spacing w:after="0" w:line="323" w:lineRule="auto"/>
        <w:tabs>
          <w:tab w:leader="none" w:pos="1968" w:val="left"/>
        </w:tabs>
        <w:numPr>
          <w:ilvl w:val="3"/>
          <w:numId w:val="63"/>
        </w:numPr>
        <w:rPr>
          <w:rFonts w:ascii="Arial" w:cs="Arial" w:eastAsia="Arial" w:hAnsi="Arial"/>
          <w:sz w:val="11"/>
          <w:szCs w:val="11"/>
          <w:color w:val="auto"/>
        </w:rPr>
      </w:pPr>
      <w:r>
        <w:rPr>
          <w:rFonts w:ascii="Arial" w:cs="Arial" w:eastAsia="Arial" w:hAnsi="Arial"/>
          <w:sz w:val="11"/>
          <w:szCs w:val="11"/>
          <w:color w:val="auto"/>
        </w:rPr>
        <w:t>The “NASDAQ Composite Index Performance” means the percentage increase or decrease in (i) the adjusted index value of the NASDAQ Composite Index for the last sixty (60) market trading days prior to the commencement of the Performance Period over (ii) the adjusted index value of the NAQDAQ Composite Index for the last sixty (60) market trading days prior to the last day of the Performance Period.</w:t>
      </w:r>
    </w:p>
    <w:p>
      <w:pPr>
        <w:spacing w:after="0" w:line="91" w:lineRule="exact"/>
        <w:rPr>
          <w:rFonts w:ascii="Arial" w:cs="Arial" w:eastAsia="Arial" w:hAnsi="Arial"/>
          <w:sz w:val="11"/>
          <w:szCs w:val="11"/>
          <w:color w:val="auto"/>
        </w:rPr>
      </w:pPr>
    </w:p>
    <w:p>
      <w:pPr>
        <w:ind w:firstLine="1721"/>
        <w:spacing w:after="0" w:line="276" w:lineRule="auto"/>
        <w:tabs>
          <w:tab w:leader="none" w:pos="1946" w:val="left"/>
        </w:tabs>
        <w:numPr>
          <w:ilvl w:val="3"/>
          <w:numId w:val="63"/>
        </w:numPr>
        <w:rPr>
          <w:rFonts w:ascii="Arial" w:cs="Arial" w:eastAsia="Arial" w:hAnsi="Arial"/>
          <w:sz w:val="12"/>
          <w:szCs w:val="12"/>
          <w:color w:val="auto"/>
        </w:rPr>
      </w:pPr>
      <w:r>
        <w:rPr>
          <w:rFonts w:ascii="Arial" w:cs="Arial" w:eastAsia="Arial" w:hAnsi="Arial"/>
          <w:sz w:val="12"/>
          <w:szCs w:val="12"/>
          <w:color w:val="auto"/>
        </w:rPr>
        <w:t>The Company’s Stock Price Performance will be compared against the NASDAQ Composite Index Performance (each expressed as a growth rate percentage) to result in a growth rate (the “Growth Rate Delta”) equal to the Company’s Stock Price Performance minus the NASDAQ Composite Index Performance. The Growth Rate Delta will be calculated on the Vesting Date.</w:t>
      </w:r>
    </w:p>
    <w:p>
      <w:pPr>
        <w:spacing w:after="0" w:line="141" w:lineRule="exact"/>
        <w:rPr>
          <w:rFonts w:ascii="Arial" w:cs="Arial" w:eastAsia="Arial" w:hAnsi="Arial"/>
          <w:sz w:val="12"/>
          <w:szCs w:val="12"/>
          <w:color w:val="auto"/>
        </w:rPr>
      </w:pPr>
    </w:p>
    <w:p>
      <w:pPr>
        <w:ind w:left="1580" w:hanging="291"/>
        <w:spacing w:after="0"/>
        <w:tabs>
          <w:tab w:leader="none" w:pos="1580" w:val="left"/>
        </w:tabs>
        <w:numPr>
          <w:ilvl w:val="2"/>
          <w:numId w:val="63"/>
        </w:numPr>
        <w:rPr>
          <w:rFonts w:ascii="Arial" w:cs="Arial" w:eastAsia="Arial" w:hAnsi="Arial"/>
          <w:sz w:val="13"/>
          <w:szCs w:val="13"/>
          <w:color w:val="auto"/>
        </w:rPr>
      </w:pPr>
      <w:r>
        <w:rPr>
          <w:rFonts w:ascii="Arial" w:cs="Arial" w:eastAsia="Arial" w:hAnsi="Arial"/>
          <w:sz w:val="12"/>
          <w:szCs w:val="12"/>
          <w:u w:val="single" w:color="auto"/>
          <w:color w:val="auto"/>
        </w:rPr>
        <w:t>Market Stock Unit Calculation</w:t>
      </w:r>
      <w:r>
        <w:rPr>
          <w:rFonts w:ascii="Arial" w:cs="Arial" w:eastAsia="Arial" w:hAnsi="Arial"/>
          <w:sz w:val="12"/>
          <w:szCs w:val="12"/>
          <w:color w:val="auto"/>
        </w:rPr>
        <w:t>.</w:t>
      </w:r>
    </w:p>
    <w:p>
      <w:pPr>
        <w:spacing w:after="0" w:line="138" w:lineRule="exact"/>
        <w:rPr>
          <w:rFonts w:ascii="Arial" w:cs="Arial" w:eastAsia="Arial" w:hAnsi="Arial"/>
          <w:sz w:val="13"/>
          <w:szCs w:val="13"/>
          <w:color w:val="auto"/>
        </w:rPr>
      </w:pPr>
    </w:p>
    <w:p>
      <w:pPr>
        <w:ind w:left="1960" w:hanging="239"/>
        <w:spacing w:after="0"/>
        <w:tabs>
          <w:tab w:leader="none" w:pos="1960" w:val="left"/>
        </w:tabs>
        <w:numPr>
          <w:ilvl w:val="3"/>
          <w:numId w:val="63"/>
        </w:numPr>
        <w:rPr>
          <w:rFonts w:ascii="Arial" w:cs="Arial" w:eastAsia="Arial" w:hAnsi="Arial"/>
          <w:sz w:val="11"/>
          <w:szCs w:val="11"/>
          <w:color w:val="auto"/>
        </w:rPr>
      </w:pPr>
      <w:r>
        <w:rPr>
          <w:rFonts w:ascii="Arial" w:cs="Arial" w:eastAsia="Arial" w:hAnsi="Arial"/>
          <w:sz w:val="11"/>
          <w:szCs w:val="11"/>
          <w:color w:val="auto"/>
        </w:rPr>
        <w:t>If the Growth Rate Delta is equal to 0%, the number of Market Stock Units that will be eligible to vest (the “Calculated Market Stock Units”) on the Vesting Date will equal 100% of the Target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Number of Market Stock Units.</w:t>
      </w:r>
    </w:p>
    <w:p>
      <w:pPr>
        <w:spacing w:after="0" w:line="141" w:lineRule="exact"/>
        <w:rPr>
          <w:rFonts w:ascii="Arial" w:cs="Arial" w:eastAsia="Arial" w:hAnsi="Arial"/>
          <w:sz w:val="11"/>
          <w:szCs w:val="11"/>
          <w:color w:val="auto"/>
        </w:rPr>
      </w:pPr>
    </w:p>
    <w:p>
      <w:pPr>
        <w:jc w:val="both"/>
        <w:ind w:firstLine="1721"/>
        <w:spacing w:after="0" w:line="298" w:lineRule="auto"/>
        <w:tabs>
          <w:tab w:leader="none" w:pos="1963" w:val="left"/>
        </w:tabs>
        <w:numPr>
          <w:ilvl w:val="3"/>
          <w:numId w:val="63"/>
        </w:numPr>
        <w:rPr>
          <w:rFonts w:ascii="Arial" w:cs="Arial" w:eastAsia="Arial" w:hAnsi="Arial"/>
          <w:sz w:val="11"/>
          <w:szCs w:val="11"/>
          <w:color w:val="auto"/>
        </w:rPr>
      </w:pPr>
      <w:r>
        <w:rPr>
          <w:rFonts w:ascii="Arial" w:cs="Arial" w:eastAsia="Arial" w:hAnsi="Arial"/>
          <w:sz w:val="11"/>
          <w:szCs w:val="11"/>
          <w:color w:val="auto"/>
        </w:rPr>
        <w:t>If the Growth Rate Delta is greater or less than 0%, the number of Market Stock Units that will be Calculated Market Stock Units on the Vesting Date will equal: (i) the Target Number of Market Stock Units, multiplied by (ii) the sum of (A) 100% plus (B) three times the Growth Rate Delta; provided, however, that in no event will more than the Maximum Number of Market Stock Units become Calculated Market Stock Units on the Vesting Date. If the Growth Rate Delta is equal to negative-33.3%, then the number of Target Market Stock Units that will become Calculated Market Stock Units on the Vesting Date will equal 0.</w:t>
      </w:r>
    </w:p>
    <w:p>
      <w:pPr>
        <w:sectPr>
          <w:pgSz w:w="11900" w:h="16838" w:orient="portrait"/>
          <w:cols w:equalWidth="0" w:num="1">
            <w:col w:w="11480"/>
          </w:cols>
          <w:pgMar w:left="220" w:top="127"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2"/>
          <w:szCs w:val="12"/>
          <w:b w:val="1"/>
          <w:bCs w:val="1"/>
          <w:color w:val="auto"/>
        </w:rPr>
        <w:t>Exhibit 10.2</w:t>
      </w:r>
    </w:p>
    <w:p>
      <w:pPr>
        <w:spacing w:after="0" w:line="181" w:lineRule="exact"/>
        <w:rPr>
          <w:sz w:val="20"/>
          <w:szCs w:val="20"/>
          <w:color w:val="auto"/>
        </w:rPr>
      </w:pPr>
    </w:p>
    <w:p>
      <w:pPr>
        <w:ind w:left="1600" w:hanging="311"/>
        <w:spacing w:after="0"/>
        <w:tabs>
          <w:tab w:leader="none" w:pos="1600" w:val="left"/>
        </w:tabs>
        <w:numPr>
          <w:ilvl w:val="2"/>
          <w:numId w:val="64"/>
        </w:numPr>
        <w:rPr>
          <w:rFonts w:ascii="Arial" w:cs="Arial" w:eastAsia="Arial" w:hAnsi="Arial"/>
          <w:sz w:val="13"/>
          <w:szCs w:val="13"/>
          <w:color w:val="auto"/>
        </w:rPr>
      </w:pPr>
      <w:r>
        <w:rPr>
          <w:rFonts w:ascii="Arial" w:cs="Arial" w:eastAsia="Arial" w:hAnsi="Arial"/>
          <w:sz w:val="12"/>
          <w:szCs w:val="12"/>
          <w:u w:val="single" w:color="auto"/>
          <w:color w:val="auto"/>
        </w:rPr>
        <w:t>Examples (for illustration purposes only)</w:t>
      </w:r>
      <w:r>
        <w:rPr>
          <w:rFonts w:ascii="Arial" w:cs="Arial" w:eastAsia="Arial" w:hAnsi="Arial"/>
          <w:sz w:val="12"/>
          <w:szCs w:val="12"/>
          <w:color w:val="auto"/>
        </w:rPr>
        <w:t>.</w:t>
      </w:r>
    </w:p>
    <w:p>
      <w:pPr>
        <w:spacing w:after="0" w:line="4" w:lineRule="exact"/>
        <w:rPr>
          <w:rFonts w:ascii="Arial" w:cs="Arial" w:eastAsia="Arial" w:hAnsi="Arial"/>
          <w:sz w:val="13"/>
          <w:szCs w:val="13"/>
          <w:color w:val="auto"/>
        </w:rPr>
      </w:pPr>
    </w:p>
    <w:p>
      <w:pPr>
        <w:ind w:left="1940" w:right="20" w:hanging="219"/>
        <w:spacing w:after="0" w:line="259" w:lineRule="auto"/>
        <w:tabs>
          <w:tab w:leader="none" w:pos="1940" w:val="left"/>
        </w:tabs>
        <w:numPr>
          <w:ilvl w:val="3"/>
          <w:numId w:val="64"/>
        </w:numPr>
        <w:rPr>
          <w:rFonts w:ascii="Arial" w:cs="Arial" w:eastAsia="Arial" w:hAnsi="Arial"/>
          <w:sz w:val="12"/>
          <w:szCs w:val="12"/>
          <w:color w:val="auto"/>
        </w:rPr>
      </w:pPr>
      <w:r>
        <w:rPr>
          <w:rFonts w:ascii="Arial" w:cs="Arial" w:eastAsia="Arial" w:hAnsi="Arial"/>
          <w:sz w:val="12"/>
          <w:szCs w:val="12"/>
          <w:color w:val="auto"/>
        </w:rPr>
        <w:t>If the Growth Rate Delta on the Vesting Date equaled 20%, then 160% (equal to 100% plus (3 times 20%)) of the Target Number of Market Stock Units would be Calculated Market Stock Units and would vest on the Vesting Date.</w:t>
      </w:r>
    </w:p>
    <w:p>
      <w:pPr>
        <w:spacing w:after="0" w:line="124" w:lineRule="exact"/>
        <w:rPr>
          <w:rFonts w:ascii="Arial" w:cs="Arial" w:eastAsia="Arial" w:hAnsi="Arial"/>
          <w:sz w:val="12"/>
          <w:szCs w:val="12"/>
          <w:color w:val="auto"/>
        </w:rPr>
      </w:pPr>
    </w:p>
    <w:p>
      <w:pPr>
        <w:ind w:left="1940" w:right="20" w:hanging="219"/>
        <w:spacing w:after="0" w:line="276" w:lineRule="auto"/>
        <w:tabs>
          <w:tab w:leader="none" w:pos="1940" w:val="left"/>
        </w:tabs>
        <w:numPr>
          <w:ilvl w:val="3"/>
          <w:numId w:val="64"/>
        </w:numPr>
        <w:rPr>
          <w:rFonts w:ascii="Arial" w:cs="Arial" w:eastAsia="Arial" w:hAnsi="Arial"/>
          <w:sz w:val="12"/>
          <w:szCs w:val="12"/>
          <w:color w:val="auto"/>
        </w:rPr>
      </w:pPr>
      <w:r>
        <w:rPr>
          <w:rFonts w:ascii="Arial" w:cs="Arial" w:eastAsia="Arial" w:hAnsi="Arial"/>
          <w:sz w:val="12"/>
          <w:szCs w:val="12"/>
          <w:color w:val="auto"/>
        </w:rPr>
        <w:t>If the Growth Rate Delta on the Vesting Date equaled negative-20%, then 40% (equal to 100% plus (3 times negative-20%)) of the Target Number of Market Stock Units would be Calculated Market Stock Units and would vest on the Vesting Date.</w:t>
      </w:r>
    </w:p>
    <w:p>
      <w:pPr>
        <w:spacing w:after="0" w:line="132" w:lineRule="exact"/>
        <w:rPr>
          <w:rFonts w:ascii="Arial" w:cs="Arial" w:eastAsia="Arial" w:hAnsi="Arial"/>
          <w:sz w:val="12"/>
          <w:szCs w:val="12"/>
          <w:color w:val="auto"/>
        </w:rPr>
      </w:pPr>
    </w:p>
    <w:p>
      <w:pPr>
        <w:jc w:val="both"/>
        <w:ind w:firstLine="424"/>
        <w:spacing w:after="0" w:line="349" w:lineRule="auto"/>
        <w:tabs>
          <w:tab w:leader="none" w:pos="612" w:val="left"/>
        </w:tabs>
        <w:numPr>
          <w:ilvl w:val="0"/>
          <w:numId w:val="65"/>
        </w:numPr>
        <w:rPr>
          <w:rFonts w:ascii="Arial" w:cs="Arial" w:eastAsia="Arial" w:hAnsi="Arial"/>
          <w:sz w:val="11"/>
          <w:szCs w:val="11"/>
          <w:color w:val="auto"/>
        </w:rPr>
      </w:pPr>
      <w:r>
        <w:rPr>
          <w:rFonts w:ascii="Arial" w:cs="Arial" w:eastAsia="Arial" w:hAnsi="Arial"/>
          <w:sz w:val="11"/>
          <w:szCs w:val="11"/>
          <w:u w:val="single" w:color="auto"/>
          <w:color w:val="auto"/>
        </w:rPr>
        <w:t>Company’s Obligation to Pay</w:t>
      </w:r>
      <w:r>
        <w:rPr>
          <w:rFonts w:ascii="Arial" w:cs="Arial" w:eastAsia="Arial" w:hAnsi="Arial"/>
          <w:sz w:val="11"/>
          <w:szCs w:val="11"/>
          <w:color w:val="auto"/>
        </w:rPr>
        <w:t>. Each Market Stock Unit represents a value equal to the Fair Market Value of a Share on the date it is granted. Unless and until the Market Stock Units will have vested in the manner set forth in Sections 3, 4 and 5, Participant will have no right to payment of any such Market Stock Units. Prior to actual payment of any vested Market Stock Units, such Market Stock Unit will represent an unsecured obligation of the Company, payable (if at all) only from the general assets of the Company. Payment of any vested Market Stock Units will be made in whole Shares only and any fractional Shares will be forfeited at the time of payment.</w:t>
      </w:r>
    </w:p>
    <w:p>
      <w:pPr>
        <w:spacing w:after="0" w:line="105" w:lineRule="exact"/>
        <w:rPr>
          <w:rFonts w:ascii="Arial" w:cs="Arial" w:eastAsia="Arial" w:hAnsi="Arial"/>
          <w:sz w:val="11"/>
          <w:szCs w:val="11"/>
          <w:color w:val="auto"/>
        </w:rPr>
      </w:pPr>
    </w:p>
    <w:p>
      <w:pPr>
        <w:ind w:right="20" w:firstLine="424"/>
        <w:spacing w:after="0" w:line="323" w:lineRule="auto"/>
        <w:tabs>
          <w:tab w:leader="none" w:pos="612"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Vesting Schedule</w:t>
      </w:r>
      <w:r>
        <w:rPr>
          <w:rFonts w:ascii="Arial" w:cs="Arial" w:eastAsia="Arial" w:hAnsi="Arial"/>
          <w:sz w:val="12"/>
          <w:szCs w:val="12"/>
          <w:color w:val="auto"/>
        </w:rPr>
        <w:t>. Subject to Section 5, the Market Stock Units awarded by this Agreement will vest in Participant according to the Vesting Schedule set forth on the attached Notice of Grant, subject to Participant continuing to be a Service Provider through each such date.</w:t>
      </w:r>
    </w:p>
    <w:p>
      <w:pPr>
        <w:spacing w:after="0" w:line="132" w:lineRule="exact"/>
        <w:rPr>
          <w:rFonts w:ascii="Arial" w:cs="Arial" w:eastAsia="Arial" w:hAnsi="Arial"/>
          <w:sz w:val="12"/>
          <w:szCs w:val="12"/>
          <w:color w:val="auto"/>
        </w:rPr>
      </w:pPr>
    </w:p>
    <w:p>
      <w:pPr>
        <w:jc w:val="both"/>
        <w:ind w:firstLine="424"/>
        <w:spacing w:after="0" w:line="310" w:lineRule="auto"/>
        <w:tabs>
          <w:tab w:leader="none" w:pos="612"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In the event of a Change of Control, the Performance Period shall be deemed to end upon the closing of the Change of Control for purposes of determining the Company’s Stock Price Performance and the NASDAQ Composite Index Performance and the number of Market Stock Units that are Calculated Market Stock Units will be determined in accordance with the Performance Matrix and Section 1 of this Exhibit A. The Participant shall vest in the number of Calculated Market Stock Units determined based on the preceding sentence as follows:</w:t>
      </w:r>
    </w:p>
    <w:p>
      <w:pPr>
        <w:spacing w:after="0" w:line="113" w:lineRule="exact"/>
        <w:rPr>
          <w:rFonts w:ascii="Arial" w:cs="Arial" w:eastAsia="Arial" w:hAnsi="Arial"/>
          <w:sz w:val="12"/>
          <w:szCs w:val="12"/>
          <w:color w:val="auto"/>
        </w:rPr>
      </w:pPr>
    </w:p>
    <w:p>
      <w:pPr>
        <w:jc w:val="both"/>
        <w:ind w:firstLine="857"/>
        <w:spacing w:after="0" w:line="268" w:lineRule="auto"/>
        <w:tabs>
          <w:tab w:leader="none" w:pos="1152" w:val="left"/>
        </w:tabs>
        <w:numPr>
          <w:ilvl w:val="1"/>
          <w:numId w:val="65"/>
        </w:numPr>
        <w:rPr>
          <w:rFonts w:ascii="Arial" w:cs="Arial" w:eastAsia="Arial" w:hAnsi="Arial"/>
          <w:sz w:val="13"/>
          <w:szCs w:val="13"/>
          <w:color w:val="auto"/>
        </w:rPr>
      </w:pPr>
      <w:r>
        <w:rPr>
          <w:rFonts w:ascii="Arial" w:cs="Arial" w:eastAsia="Arial" w:hAnsi="Arial"/>
          <w:sz w:val="12"/>
          <w:szCs w:val="12"/>
          <w:color w:val="auto"/>
        </w:rPr>
        <w:t>if Participant’s employment is terminated without Cause or for Good Reason (as such terms are defined in Participant’s individual employment agreement with the Company) within eighteen months following the occurrence of a Change of Control, then 100% of his or her unvested Calculated Market Stock Units will fully vest, provided the Participant executes and does not revoke a release of claims as provided for in Participant’s employment agreement (as a necessary condition to the receipt of severance thereunder).</w:t>
      </w:r>
    </w:p>
    <w:p>
      <w:pPr>
        <w:spacing w:after="0" w:line="146" w:lineRule="exact"/>
        <w:rPr>
          <w:rFonts w:ascii="Arial" w:cs="Arial" w:eastAsia="Arial" w:hAnsi="Arial"/>
          <w:sz w:val="13"/>
          <w:szCs w:val="13"/>
          <w:color w:val="auto"/>
        </w:rPr>
      </w:pPr>
    </w:p>
    <w:p>
      <w:pPr>
        <w:ind w:right="20" w:firstLine="857"/>
        <w:spacing w:after="0" w:line="272" w:lineRule="auto"/>
        <w:tabs>
          <w:tab w:leader="none" w:pos="1177" w:val="left"/>
        </w:tabs>
        <w:numPr>
          <w:ilvl w:val="1"/>
          <w:numId w:val="65"/>
        </w:numPr>
        <w:rPr>
          <w:rFonts w:ascii="Arial" w:cs="Arial" w:eastAsia="Arial" w:hAnsi="Arial"/>
          <w:sz w:val="13"/>
          <w:szCs w:val="13"/>
          <w:color w:val="auto"/>
        </w:rPr>
      </w:pPr>
      <w:r>
        <w:rPr>
          <w:rFonts w:ascii="Arial" w:cs="Arial" w:eastAsia="Arial" w:hAnsi="Arial"/>
          <w:sz w:val="12"/>
          <w:szCs w:val="12"/>
          <w:color w:val="auto"/>
        </w:rPr>
        <w:t>in accordance with Section 1 of this Exhibit A, the Administrator shall not be entitled to eliminate or reduce the number of Calculated Market Stock Units determined in accordance with Section 1of Exhibit A following a Change of Control.</w:t>
      </w:r>
    </w:p>
    <w:p>
      <w:pPr>
        <w:spacing w:after="0" w:line="133" w:lineRule="exact"/>
        <w:rPr>
          <w:rFonts w:ascii="Arial" w:cs="Arial" w:eastAsia="Arial" w:hAnsi="Arial"/>
          <w:sz w:val="13"/>
          <w:szCs w:val="13"/>
          <w:color w:val="auto"/>
        </w:rPr>
      </w:pPr>
    </w:p>
    <w:p>
      <w:pPr>
        <w:ind w:firstLine="424"/>
        <w:spacing w:after="0" w:line="323" w:lineRule="auto"/>
        <w:tabs>
          <w:tab w:leader="none" w:pos="612"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Forfeiture upon Termination of Status as a Service Provider</w:t>
      </w:r>
      <w:r>
        <w:rPr>
          <w:rFonts w:ascii="Arial" w:cs="Arial" w:eastAsia="Arial" w:hAnsi="Arial"/>
          <w:sz w:val="12"/>
          <w:szCs w:val="12"/>
          <w:color w:val="auto"/>
        </w:rPr>
        <w:t>. Subject to the provisions of Section 4, if Participant ceases to be a Service Provider for any or no reason, the then-unvested Market Stock Units awarded by this Agreement will thereupon be forfeited at no cost to the Company and Participant will have no further rights thereunder.</w:t>
      </w:r>
    </w:p>
    <w:p>
      <w:pPr>
        <w:spacing w:after="0" w:line="132" w:lineRule="exact"/>
        <w:rPr>
          <w:rFonts w:ascii="Arial" w:cs="Arial" w:eastAsia="Arial" w:hAnsi="Arial"/>
          <w:sz w:val="12"/>
          <w:szCs w:val="12"/>
          <w:color w:val="auto"/>
        </w:rPr>
      </w:pPr>
    </w:p>
    <w:p>
      <w:pPr>
        <w:jc w:val="both"/>
        <w:ind w:firstLine="424"/>
        <w:spacing w:after="0" w:line="349" w:lineRule="auto"/>
        <w:tabs>
          <w:tab w:leader="none" w:pos="612" w:val="left"/>
        </w:tabs>
        <w:numPr>
          <w:ilvl w:val="0"/>
          <w:numId w:val="65"/>
        </w:numPr>
        <w:rPr>
          <w:rFonts w:ascii="Arial" w:cs="Arial" w:eastAsia="Arial" w:hAnsi="Arial"/>
          <w:sz w:val="11"/>
          <w:szCs w:val="11"/>
          <w:color w:val="auto"/>
        </w:rPr>
      </w:pPr>
      <w:r>
        <w:rPr>
          <w:rFonts w:ascii="Arial" w:cs="Arial" w:eastAsia="Arial" w:hAnsi="Arial"/>
          <w:sz w:val="11"/>
          <w:szCs w:val="11"/>
          <w:u w:val="single" w:color="auto"/>
          <w:color w:val="auto"/>
        </w:rPr>
        <w:t>Payment after Vesting</w:t>
      </w:r>
      <w:r>
        <w:rPr>
          <w:rFonts w:ascii="Arial" w:cs="Arial" w:eastAsia="Arial" w:hAnsi="Arial"/>
          <w:sz w:val="11"/>
          <w:szCs w:val="11"/>
          <w:color w:val="auto"/>
        </w:rPr>
        <w:t>. Any Market Stock Units that vest in accordance with Sections 3 and 4 will be paid to Participant (or in the event of Participant’s death, to his or her estate) in whole Shares, subject to Participant satisfying any applicable tax withholding obligations as set forth in Section 8. Subject to the provisions of Section 20, any Shares will be issued to Participant as soon as practicable after the relevant vesting date, but in any event, within the period ending on the later to occur of the date that is two-and-one-half months from the end of (a) Participant’s tax year that includes the vesting date, or (b) the Company’s tax year that includes the vesting date.</w:t>
      </w:r>
    </w:p>
    <w:p>
      <w:pPr>
        <w:spacing w:after="0" w:line="123" w:lineRule="exact"/>
        <w:rPr>
          <w:rFonts w:ascii="Arial" w:cs="Arial" w:eastAsia="Arial" w:hAnsi="Arial"/>
          <w:sz w:val="11"/>
          <w:szCs w:val="11"/>
          <w:color w:val="auto"/>
        </w:rPr>
      </w:pPr>
    </w:p>
    <w:p>
      <w:pPr>
        <w:jc w:val="both"/>
        <w:ind w:firstLine="424"/>
        <w:spacing w:after="0" w:line="310" w:lineRule="auto"/>
        <w:tabs>
          <w:tab w:leader="none" w:pos="612"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Payments after Death</w:t>
      </w:r>
      <w:r>
        <w:rPr>
          <w:rFonts w:ascii="Arial" w:cs="Arial" w:eastAsia="Arial" w:hAnsi="Arial"/>
          <w:sz w:val="12"/>
          <w:szCs w:val="12"/>
          <w:color w:val="auto"/>
        </w:rPr>
        <w:t>. Any distribution or delivery to be made to Participant under this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1480"/>
          </w:cols>
          <w:pgMar w:left="220" w:top="127" w:right="1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2"/>
          <w:szCs w:val="12"/>
          <w:b w:val="1"/>
          <w:bCs w:val="1"/>
          <w:color w:val="auto"/>
        </w:rPr>
        <w:t>Exhibit 10.2</w:t>
      </w:r>
    </w:p>
    <w:p>
      <w:pPr>
        <w:spacing w:after="0" w:line="352" w:lineRule="exact"/>
        <w:rPr>
          <w:sz w:val="20"/>
          <w:szCs w:val="20"/>
          <w:color w:val="auto"/>
        </w:rPr>
      </w:pPr>
    </w:p>
    <w:p>
      <w:pPr>
        <w:ind w:left="420"/>
        <w:spacing w:after="0"/>
        <w:tabs>
          <w:tab w:leader="none" w:pos="2340" w:val="left"/>
        </w:tabs>
        <w:rPr>
          <w:sz w:val="20"/>
          <w:szCs w:val="20"/>
          <w:color w:val="auto"/>
        </w:rPr>
      </w:pPr>
      <w:r>
        <w:rPr>
          <w:rFonts w:ascii="Arial" w:cs="Arial" w:eastAsia="Arial" w:hAnsi="Arial"/>
          <w:sz w:val="12"/>
          <w:szCs w:val="12"/>
          <w:color w:val="auto"/>
        </w:rPr>
        <w:t>8.</w:t>
      </w:r>
      <w:r>
        <w:rPr>
          <w:sz w:val="20"/>
          <w:szCs w:val="20"/>
          <w:color w:val="auto"/>
        </w:rPr>
        <w:tab/>
      </w:r>
      <w:r>
        <w:rPr>
          <w:rFonts w:ascii="Arial" w:cs="Arial" w:eastAsia="Arial" w:hAnsi="Arial"/>
          <w:sz w:val="12"/>
          <w:szCs w:val="12"/>
          <w:u w:val="single" w:color="auto"/>
          <w:color w:val="auto"/>
        </w:rPr>
        <w:t>Withholding of Taxes</w:t>
      </w:r>
      <w:r>
        <w:rPr>
          <w:rFonts w:ascii="Arial" w:cs="Arial" w:eastAsia="Arial" w:hAnsi="Arial"/>
          <w:sz w:val="12"/>
          <w:szCs w:val="12"/>
          <w:color w:val="auto"/>
        </w:rPr>
        <w:t>.</w:t>
      </w:r>
    </w:p>
    <w:p>
      <w:pPr>
        <w:spacing w:after="0" w:line="186" w:lineRule="exact"/>
        <w:rPr>
          <w:sz w:val="20"/>
          <w:szCs w:val="20"/>
          <w:color w:val="auto"/>
        </w:rPr>
      </w:pPr>
    </w:p>
    <w:p>
      <w:pPr>
        <w:jc w:val="both"/>
        <w:ind w:left="1080" w:hanging="223"/>
        <w:spacing w:after="0" w:line="334" w:lineRule="auto"/>
        <w:tabs>
          <w:tab w:leader="none" w:pos="1080" w:val="left"/>
        </w:tabs>
        <w:numPr>
          <w:ilvl w:val="1"/>
          <w:numId w:val="66"/>
        </w:numPr>
        <w:rPr>
          <w:rFonts w:ascii="Arial" w:cs="Arial" w:eastAsia="Arial" w:hAnsi="Arial"/>
          <w:sz w:val="14"/>
          <w:szCs w:val="14"/>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The Participant is ultimately liable and responsible for all taxes owed in connection with the Market Stock Units, regardless of any action the Company or any of its Subsidiaries takes with respect to any tax withholding obligations that arise in connection with the Market Stock Units. Neither the Company nor any of its Subsidiaries makes any representation or undertaking regarding the treatment of any tax withholding in connection with the grant or vesting of the Market Stock Units or the subsequent sale of Shares issuable pursuant to the Market Stock Units. The Company and its Subsidiaries do not commit and are under no obligation to structure the Market Stock Units to reduce or eliminate the Participant’s tax liability.</w:t>
      </w:r>
    </w:p>
    <w:p>
      <w:pPr>
        <w:spacing w:after="0" w:line="136" w:lineRule="exact"/>
        <w:rPr>
          <w:rFonts w:ascii="Arial" w:cs="Arial" w:eastAsia="Arial" w:hAnsi="Arial"/>
          <w:sz w:val="14"/>
          <w:szCs w:val="14"/>
          <w:color w:val="auto"/>
        </w:rPr>
      </w:pPr>
    </w:p>
    <w:p>
      <w:pPr>
        <w:jc w:val="both"/>
        <w:ind w:left="1080" w:hanging="223"/>
        <w:spacing w:after="0" w:line="371" w:lineRule="auto"/>
        <w:tabs>
          <w:tab w:leader="none" w:pos="1080" w:val="left"/>
        </w:tabs>
        <w:numPr>
          <w:ilvl w:val="1"/>
          <w:numId w:val="66"/>
        </w:numPr>
        <w:rPr>
          <w:rFonts w:ascii="Arial" w:cs="Arial" w:eastAsia="Arial" w:hAnsi="Arial"/>
          <w:sz w:val="13"/>
          <w:szCs w:val="13"/>
          <w:color w:val="auto"/>
        </w:rPr>
      </w:pPr>
      <w:r>
        <w:rPr>
          <w:rFonts w:ascii="Arial" w:cs="Arial" w:eastAsia="Arial" w:hAnsi="Arial"/>
          <w:sz w:val="11"/>
          <w:szCs w:val="11"/>
          <w:u w:val="single" w:color="auto"/>
          <w:color w:val="auto"/>
        </w:rPr>
        <w:t>Payment of Withholding Taxes</w:t>
      </w:r>
      <w:r>
        <w:rPr>
          <w:rFonts w:ascii="Arial" w:cs="Arial" w:eastAsia="Arial" w:hAnsi="Arial"/>
          <w:sz w:val="11"/>
          <w:szCs w:val="11"/>
          <w:color w:val="auto"/>
        </w:rPr>
        <w:t>. Notwithstanding any contrary provision of this Agreement, no Shares will be issued to Participant, unless and until satisfactory arrangements (as determined by the Administrator) will have been made by the Participant with respect to the payment of any taxes which the Company determines must be withheld with respect to the Market Stock Units. The Administrator, in its sole discretion and pursuant to such procedures as it may specify from time to time, may satisfy such tax withholding obligations, in whole or in part, by withholding otherwise deliverable Shares having an aggregate Fair Market Value sufficient to (but not exceeding) the minimum amount required to be withheld. In addition and to the maximum extent permitted by law, the Company has the right to retain without notice from salary or other amounts payable to the Participant, cash having a value sufficient to satisfy any tax withholding obligations that cannot be satisfied by the withholding of otherwise deliverable Shares.</w:t>
      </w:r>
    </w:p>
    <w:p>
      <w:pPr>
        <w:spacing w:after="0" w:line="256" w:lineRule="exact"/>
        <w:rPr>
          <w:rFonts w:ascii="Arial" w:cs="Arial" w:eastAsia="Arial" w:hAnsi="Arial"/>
          <w:sz w:val="13"/>
          <w:szCs w:val="13"/>
          <w:color w:val="auto"/>
        </w:rPr>
      </w:pPr>
    </w:p>
    <w:p>
      <w:pPr>
        <w:ind w:right="20" w:firstLine="424"/>
        <w:spacing w:after="0" w:line="323" w:lineRule="auto"/>
        <w:tabs>
          <w:tab w:leader="none" w:pos="612"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w:t>
      </w:r>
    </w:p>
    <w:p>
      <w:pPr>
        <w:spacing w:after="0" w:line="132" w:lineRule="exact"/>
        <w:rPr>
          <w:rFonts w:ascii="Arial" w:cs="Arial" w:eastAsia="Arial" w:hAnsi="Arial"/>
          <w:sz w:val="12"/>
          <w:szCs w:val="12"/>
          <w:color w:val="auto"/>
        </w:rPr>
      </w:pPr>
    </w:p>
    <w:p>
      <w:pPr>
        <w:jc w:val="both"/>
        <w:ind w:firstLine="424"/>
        <w:spacing w:after="0" w:line="306" w:lineRule="auto"/>
        <w:tabs>
          <w:tab w:leader="none" w:pos="727"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No Effect on Service</w:t>
      </w:r>
      <w:r>
        <w:rPr>
          <w:rFonts w:ascii="Arial" w:cs="Arial" w:eastAsia="Arial" w:hAnsi="Arial"/>
          <w:sz w:val="12"/>
          <w:szCs w:val="12"/>
          <w:color w:val="auto"/>
        </w:rPr>
        <w:t>. Participant acknowledges and agrees that the vesting of the Market Stock Units pursuant to Sections 3 or 4 hereof is earned only by Participant continuing to be a Service Provider through the applicable vesting dates (and not through the act of being hired or acquiring Shares hereunder). Participant further acknowledges and agrees that this Agreement, the transactions contemplated hereunder and the vesting schedule set forth herein do not constitute an express or implied promise of Participant continuing to be a Service Provider for the vesting period, for any period, or at all, and will not interfere with the Participant’s right or the right of the Company (or the Affiliate employing or retaining Participant) to terminate Participant as a Service Provider at any time, with or without cause.</w:t>
      </w:r>
    </w:p>
    <w:p>
      <w:pPr>
        <w:spacing w:after="0" w:line="142" w:lineRule="exact"/>
        <w:rPr>
          <w:rFonts w:ascii="Arial" w:cs="Arial" w:eastAsia="Arial" w:hAnsi="Arial"/>
          <w:sz w:val="12"/>
          <w:szCs w:val="12"/>
          <w:color w:val="auto"/>
        </w:rPr>
      </w:pPr>
    </w:p>
    <w:p>
      <w:pPr>
        <w:ind w:right="20" w:firstLine="424"/>
        <w:spacing w:after="0" w:line="323" w:lineRule="auto"/>
        <w:tabs>
          <w:tab w:leader="none" w:pos="722"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Address for Notices</w:t>
      </w:r>
      <w:r>
        <w:rPr>
          <w:rFonts w:ascii="Arial" w:cs="Arial" w:eastAsia="Arial" w:hAnsi="Arial"/>
          <w:sz w:val="12"/>
          <w:szCs w:val="12"/>
          <w:color w:val="auto"/>
        </w:rPr>
        <w:t>. Any notice to be given to the Company under the terms of this Agreement will be addressed to the Company, in care of Stock Administrator at Align Technology, Inc., 2560 Orchard Parkway, San Jose, CA 95131, or at such other address as the Company may hereafter designate in writing.</w:t>
      </w:r>
    </w:p>
    <w:p>
      <w:pPr>
        <w:spacing w:after="0" w:line="132" w:lineRule="exact"/>
        <w:rPr>
          <w:rFonts w:ascii="Arial" w:cs="Arial" w:eastAsia="Arial" w:hAnsi="Arial"/>
          <w:sz w:val="12"/>
          <w:szCs w:val="12"/>
          <w:color w:val="auto"/>
        </w:rPr>
      </w:pPr>
    </w:p>
    <w:p>
      <w:pPr>
        <w:jc w:val="both"/>
        <w:ind w:firstLine="424"/>
        <w:spacing w:after="0" w:line="349" w:lineRule="auto"/>
        <w:tabs>
          <w:tab w:leader="none" w:pos="727" w:val="left"/>
        </w:tabs>
        <w:numPr>
          <w:ilvl w:val="0"/>
          <w:numId w:val="67"/>
        </w:numPr>
        <w:rPr>
          <w:rFonts w:ascii="Arial" w:cs="Arial" w:eastAsia="Arial" w:hAnsi="Arial"/>
          <w:sz w:val="11"/>
          <w:szCs w:val="11"/>
          <w:color w:val="auto"/>
        </w:rPr>
      </w:pPr>
      <w:r>
        <w:rPr>
          <w:rFonts w:ascii="Arial" w:cs="Arial" w:eastAsia="Arial" w:hAnsi="Arial"/>
          <w:sz w:val="11"/>
          <w:szCs w:val="11"/>
          <w:u w:val="single" w:color="auto"/>
          <w:color w:val="auto"/>
        </w:rPr>
        <w:t>Grant is Not Transferable</w:t>
      </w:r>
      <w:r>
        <w:rPr>
          <w:rFonts w:ascii="Arial" w:cs="Arial" w:eastAsia="Arial" w:hAnsi="Arial"/>
          <w:sz w:val="11"/>
          <w:szCs w:val="11"/>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ectPr>
          <w:pgSz w:w="11900" w:h="16838" w:orient="portrait"/>
          <w:cols w:equalWidth="0" w:num="1">
            <w:col w:w="11480"/>
          </w:cols>
          <w:pgMar w:left="220" w:top="126" w:right="1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2"/>
          <w:szCs w:val="12"/>
          <w:b w:val="1"/>
          <w:bCs w:val="1"/>
          <w:color w:val="auto"/>
        </w:rPr>
        <w:t>Exhibit 10.2</w:t>
      </w:r>
    </w:p>
    <w:p>
      <w:pPr>
        <w:spacing w:after="0" w:line="190" w:lineRule="exact"/>
        <w:rPr>
          <w:sz w:val="20"/>
          <w:szCs w:val="20"/>
          <w:color w:val="auto"/>
        </w:rPr>
      </w:pPr>
    </w:p>
    <w:p>
      <w:pPr>
        <w:ind w:right="20" w:firstLine="424"/>
        <w:spacing w:after="0" w:line="323" w:lineRule="auto"/>
        <w:tabs>
          <w:tab w:leader="none" w:pos="727"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Binding Agreement</w:t>
      </w:r>
      <w:r>
        <w:rPr>
          <w:rFonts w:ascii="Arial" w:cs="Arial" w:eastAsia="Arial" w:hAnsi="Arial"/>
          <w:sz w:val="12"/>
          <w:szCs w:val="12"/>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32" w:lineRule="exact"/>
        <w:rPr>
          <w:rFonts w:ascii="Arial" w:cs="Arial" w:eastAsia="Arial" w:hAnsi="Arial"/>
          <w:sz w:val="12"/>
          <w:szCs w:val="12"/>
          <w:color w:val="auto"/>
        </w:rPr>
      </w:pPr>
    </w:p>
    <w:p>
      <w:pPr>
        <w:jc w:val="both"/>
        <w:ind w:firstLine="424"/>
        <w:spacing w:after="0" w:line="337" w:lineRule="auto"/>
        <w:tabs>
          <w:tab w:leader="none" w:pos="727" w:val="left"/>
        </w:tabs>
        <w:numPr>
          <w:ilvl w:val="0"/>
          <w:numId w:val="68"/>
        </w:numPr>
        <w:rPr>
          <w:rFonts w:ascii="Arial" w:cs="Arial" w:eastAsia="Arial" w:hAnsi="Arial"/>
          <w:sz w:val="11"/>
          <w:szCs w:val="11"/>
          <w:color w:val="auto"/>
        </w:rPr>
      </w:pPr>
      <w:r>
        <w:rPr>
          <w:rFonts w:ascii="Arial" w:cs="Arial" w:eastAsia="Arial" w:hAnsi="Arial"/>
          <w:sz w:val="11"/>
          <w:szCs w:val="11"/>
          <w:u w:val="single" w:color="auto"/>
          <w:color w:val="auto"/>
        </w:rPr>
        <w:t>Additional Conditions to Issuance of Stock</w:t>
      </w:r>
      <w:r>
        <w:rPr>
          <w:rFonts w:ascii="Arial" w:cs="Arial" w:eastAsia="Arial" w:hAnsi="Arial"/>
          <w:sz w:val="11"/>
          <w:szCs w:val="11"/>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29" w:lineRule="exact"/>
        <w:rPr>
          <w:rFonts w:ascii="Arial" w:cs="Arial" w:eastAsia="Arial" w:hAnsi="Arial"/>
          <w:sz w:val="11"/>
          <w:szCs w:val="11"/>
          <w:color w:val="auto"/>
        </w:rPr>
      </w:pPr>
    </w:p>
    <w:p>
      <w:pPr>
        <w:ind w:firstLine="424"/>
        <w:spacing w:after="0" w:line="323" w:lineRule="auto"/>
        <w:tabs>
          <w:tab w:leader="none" w:pos="727"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Plan Governs</w:t>
      </w:r>
      <w:r>
        <w:rPr>
          <w:rFonts w:ascii="Arial" w:cs="Arial" w:eastAsia="Arial" w:hAnsi="Arial"/>
          <w:sz w:val="12"/>
          <w:szCs w:val="12"/>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132" w:lineRule="exact"/>
        <w:rPr>
          <w:rFonts w:ascii="Arial" w:cs="Arial" w:eastAsia="Arial" w:hAnsi="Arial"/>
          <w:sz w:val="12"/>
          <w:szCs w:val="12"/>
          <w:color w:val="auto"/>
        </w:rPr>
      </w:pPr>
    </w:p>
    <w:p>
      <w:pPr>
        <w:jc w:val="both"/>
        <w:ind w:firstLine="424"/>
        <w:spacing w:after="0" w:line="306" w:lineRule="auto"/>
        <w:tabs>
          <w:tab w:leader="none" w:pos="727"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Administrator Authority</w:t>
      </w:r>
      <w:r>
        <w:rPr>
          <w:rFonts w:ascii="Arial" w:cs="Arial" w:eastAsia="Arial" w:hAnsi="Arial"/>
          <w:sz w:val="12"/>
          <w:szCs w:val="12"/>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Market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142" w:lineRule="exact"/>
        <w:rPr>
          <w:rFonts w:ascii="Arial" w:cs="Arial" w:eastAsia="Arial" w:hAnsi="Arial"/>
          <w:sz w:val="12"/>
          <w:szCs w:val="12"/>
          <w:color w:val="auto"/>
        </w:rPr>
      </w:pPr>
    </w:p>
    <w:p>
      <w:pPr>
        <w:jc w:val="both"/>
        <w:ind w:firstLine="424"/>
        <w:spacing w:after="0" w:line="310" w:lineRule="auto"/>
        <w:tabs>
          <w:tab w:leader="none" w:pos="727"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Electronic Delivery</w:t>
      </w:r>
      <w:r>
        <w:rPr>
          <w:rFonts w:ascii="Arial" w:cs="Arial" w:eastAsia="Arial" w:hAnsi="Arial"/>
          <w:sz w:val="12"/>
          <w:szCs w:val="12"/>
          <w:color w:val="auto"/>
        </w:rPr>
        <w:t>. The Company may, in its sole discretion, decide to deliver any documents related to Market Stock Units awarded under the Plan or future Market Stock Units that may be awarded under the Plan by electronic means or request Participant’s consent to participate in the Plan by electronic means.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41" w:lineRule="exact"/>
        <w:rPr>
          <w:rFonts w:ascii="Arial" w:cs="Arial" w:eastAsia="Arial" w:hAnsi="Arial"/>
          <w:sz w:val="12"/>
          <w:szCs w:val="12"/>
          <w:color w:val="auto"/>
        </w:rPr>
      </w:pPr>
    </w:p>
    <w:p>
      <w:pPr>
        <w:ind w:left="820" w:hanging="396"/>
        <w:spacing w:after="0"/>
        <w:tabs>
          <w:tab w:leader="none" w:pos="820" w:val="left"/>
        </w:tabs>
        <w:numPr>
          <w:ilvl w:val="0"/>
          <w:numId w:val="68"/>
        </w:numPr>
        <w:rPr>
          <w:rFonts w:ascii="Arial" w:cs="Arial" w:eastAsia="Arial" w:hAnsi="Arial"/>
          <w:sz w:val="14"/>
          <w:szCs w:val="14"/>
          <w:color w:val="auto"/>
        </w:rPr>
      </w:pPr>
      <w:r>
        <w:rPr>
          <w:rFonts w:ascii="Arial" w:cs="Arial" w:eastAsia="Arial" w:hAnsi="Arial"/>
          <w:sz w:val="12"/>
          <w:szCs w:val="12"/>
          <w:u w:val="single" w:color="auto"/>
          <w:color w:val="auto"/>
        </w:rPr>
        <w:t>Captions</w:t>
      </w:r>
      <w:r>
        <w:rPr>
          <w:rFonts w:ascii="Arial" w:cs="Arial" w:eastAsia="Arial" w:hAnsi="Arial"/>
          <w:sz w:val="12"/>
          <w:szCs w:val="12"/>
          <w:color w:val="auto"/>
        </w:rPr>
        <w:t>. Captions provided herein are for convenience only and are not to serve as a basis for interpretation or construction of this Agreement.</w:t>
      </w:r>
    </w:p>
    <w:p>
      <w:pPr>
        <w:spacing w:after="0" w:line="180" w:lineRule="exact"/>
        <w:rPr>
          <w:rFonts w:ascii="Arial" w:cs="Arial" w:eastAsia="Arial" w:hAnsi="Arial"/>
          <w:sz w:val="14"/>
          <w:szCs w:val="14"/>
          <w:color w:val="auto"/>
        </w:rPr>
      </w:pPr>
    </w:p>
    <w:p>
      <w:pPr>
        <w:ind w:firstLine="424"/>
        <w:spacing w:after="0" w:line="323" w:lineRule="auto"/>
        <w:tabs>
          <w:tab w:leader="none" w:pos="727"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Agreement Severable</w:t>
      </w:r>
      <w:r>
        <w:rPr>
          <w:rFonts w:ascii="Arial" w:cs="Arial" w:eastAsia="Arial" w:hAnsi="Arial"/>
          <w:sz w:val="12"/>
          <w:szCs w:val="1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Arial" w:cs="Arial" w:eastAsia="Arial" w:hAnsi="Arial"/>
          <w:sz w:val="12"/>
          <w:szCs w:val="12"/>
          <w:color w:val="auto"/>
        </w:rPr>
      </w:pPr>
    </w:p>
    <w:p>
      <w:pPr>
        <w:jc w:val="both"/>
        <w:ind w:firstLine="424"/>
        <w:spacing w:after="0" w:line="301" w:lineRule="auto"/>
        <w:tabs>
          <w:tab w:leader="none" w:pos="727"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Notwithstanding anything in the Plan or this Agreement to the contrary, if the vesting of the balance, or some lesser portion of the balance, of the Market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2"/>
          <w:szCs w:val="12"/>
          <w:b w:val="1"/>
          <w:bCs w:val="1"/>
          <w:color w:val="auto"/>
        </w:rPr>
        <w:t>,</w:t>
      </w:r>
      <w:r>
        <w:rPr>
          <w:rFonts w:ascii="Arial" w:cs="Arial" w:eastAsia="Arial" w:hAnsi="Arial"/>
          <w:sz w:val="12"/>
          <w:szCs w:val="12"/>
          <w:color w:val="auto"/>
        </w:rPr>
        <w:t xml:space="preserve"> and if (x) Participant is a “specified employee” within the meaning of Section 409A at the time of such termination as a Service Provider and (y) the payment of such accelerated Market Stock Units will result in the imposition of additional tax under Section 409A if paid to Participant on or within the six (6) month period following Participant’s termination as a Service Provider, then the payment of such accelerated Market Stock Units will not be made until the date six (6) months and one (1) day following the date of Participant’s termination as a Service Provider, unless the Participant dies following his or her termination as a Service Provider, in which case, the Market Stock Units will be paid in Shares to the Participant’s estate as soon as practicable following his or her death. It is the intent of this Agreement to comply with the requirements of Section 409A so that none of the Market Stock Units provided under this Agreement or Shares issuable thereunder will be subject to the additional tax imposed under Section 409A, and any ambiguities herein will</w:t>
      </w:r>
    </w:p>
    <w:p>
      <w:pPr>
        <w:sectPr>
          <w:pgSz w:w="11900" w:h="16838" w:orient="portrait"/>
          <w:cols w:equalWidth="0" w:num="1">
            <w:col w:w="11480"/>
          </w:cols>
          <w:pgMar w:left="220" w:top="127"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10.2</w:t>
      </w:r>
    </w:p>
    <w:p>
      <w:pPr>
        <w:spacing w:after="0" w:line="190" w:lineRule="exact"/>
        <w:rPr>
          <w:sz w:val="20"/>
          <w:szCs w:val="20"/>
          <w:color w:val="auto"/>
        </w:rPr>
      </w:pPr>
    </w:p>
    <w:p>
      <w:pPr>
        <w:jc w:val="both"/>
        <w:ind w:right="20"/>
        <w:spacing w:after="0" w:line="323" w:lineRule="auto"/>
        <w:rPr>
          <w:sz w:val="20"/>
          <w:szCs w:val="20"/>
          <w:color w:val="auto"/>
        </w:rPr>
      </w:pPr>
      <w:r>
        <w:rPr>
          <w:rFonts w:ascii="Arial" w:cs="Arial" w:eastAsia="Arial" w:hAnsi="Arial"/>
          <w:sz w:val="12"/>
          <w:szCs w:val="12"/>
          <w:color w:val="auto"/>
        </w:rPr>
        <w:t>be interpreted to so comply. For purposes of this Agreement, “Section 409A” means Section 409A of the Code, and any proposed, temporary or final Treasury Regulations and Internal Revenue Service guidance thereunder, as each may be amended from time to time.</w:t>
      </w:r>
    </w:p>
    <w:p>
      <w:pPr>
        <w:spacing w:after="0" w:line="115" w:lineRule="exact"/>
        <w:rPr>
          <w:sz w:val="20"/>
          <w:szCs w:val="20"/>
          <w:color w:val="auto"/>
        </w:rPr>
      </w:pPr>
    </w:p>
    <w:p>
      <w:pPr>
        <w:jc w:val="both"/>
        <w:ind w:firstLine="424"/>
        <w:spacing w:after="0" w:line="310" w:lineRule="auto"/>
        <w:tabs>
          <w:tab w:leader="none" w:pos="727"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the laws of the State of California, without giving effect to the conflict of law principles thereof. For purposes of litigating any dispute that arises under this Award of Market Stock Units or this Agreement, the parties hereby submit to and consent to the jurisdiction of the State of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and agree that such litigation shall be conducted in the courts of Santa Clara County, California</w:t>
      </w:r>
      <w:r>
        <w:rPr>
          <w:rFonts w:ascii="Arial" w:cs="Arial" w:eastAsia="Arial" w:hAnsi="Arial"/>
          <w:sz w:val="12"/>
          <w:szCs w:val="12"/>
          <w:b w:val="1"/>
          <w:bCs w:val="1"/>
          <w:color w:val="auto"/>
        </w:rPr>
        <w:t>,</w:t>
      </w:r>
      <w:r>
        <w:rPr>
          <w:rFonts w:ascii="Arial" w:cs="Arial" w:eastAsia="Arial" w:hAnsi="Arial"/>
          <w:sz w:val="12"/>
          <w:szCs w:val="12"/>
          <w:color w:val="auto"/>
        </w:rPr>
        <w:t xml:space="preserve"> or the federal courts for the United States for the Northern District of California, and no other courts, where this Award of Market Stock Units is made and/or to be performed.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[Remainder of Page Intentionally Left Blank]</w:t>
      </w:r>
    </w:p>
    <w:p>
      <w:pPr>
        <w:sectPr>
          <w:pgSz w:w="11900" w:h="16838" w:orient="portrait"/>
          <w:cols w:equalWidth="0" w:num="1">
            <w:col w:w="11480"/>
          </w:cols>
          <w:pgMar w:left="220" w:top="127" w:right="1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t>Exhibit 10.2</w:t>
      </w:r>
    </w:p>
    <w:p>
      <w:pPr>
        <w:spacing w:after="0" w:line="31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By Participant’s acceptance of this Agreement, Participant represents that he or she is familiar with the terms and provisions of the Plan, and hereby accepts this Agreement subject to all of the terms and provisions thereof. Participant has reviewed the Plan and this Agreement in their entirety, has had an opportunity to obtain the advice of counsel prior to executing this Agreement and fully understands all provisions of this Agreement. Participant agrees to accept as binding, conclusive and final all decisions or interpretations of the Administrator upon any questions arising under the Plan or this Agreement. Participant further agrees to notify the Company upon any change in the residence indicated in the Notice of Grant of Market Stock Units.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PARTICIPANT:</w:t>
            </w:r>
          </w:p>
        </w:tc>
        <w:tc>
          <w:tcPr>
            <w:tcW w:w="8740" w:type="dxa"/>
            <w:vAlign w:val="bottom"/>
            <w:gridSpan w:val="2"/>
          </w:tcPr>
          <w:p>
            <w:pPr>
              <w:ind w:left="480"/>
              <w:spacing w:after="0"/>
              <w:rPr>
                <w:sz w:val="20"/>
                <w:szCs w:val="20"/>
                <w:color w:val="auto"/>
              </w:rPr>
            </w:pPr>
            <w:r>
              <w:rPr>
                <w:rFonts w:ascii="Arial" w:cs="Arial" w:eastAsia="Arial" w:hAnsi="Arial"/>
                <w:sz w:val="14"/>
                <w:szCs w:val="14"/>
                <w:color w:val="auto"/>
              </w:rPr>
              <w:t>ALIGN TECHNOLOGY, INC.</w:t>
            </w:r>
          </w:p>
        </w:tc>
      </w:tr>
      <w:tr>
        <w:trPr>
          <w:trHeight w:val="685"/>
        </w:trPr>
        <w:tc>
          <w:tcPr>
            <w:tcW w:w="1160" w:type="dxa"/>
            <w:vAlign w:val="bottom"/>
          </w:tcPr>
          <w:p>
            <w:pPr>
              <w:spacing w:after="0"/>
              <w:rPr>
                <w:sz w:val="20"/>
                <w:szCs w:val="20"/>
                <w:color w:val="auto"/>
              </w:rPr>
            </w:pPr>
            <w:r>
              <w:rPr>
                <w:rFonts w:ascii="Arial" w:cs="Arial" w:eastAsia="Arial" w:hAnsi="Arial"/>
                <w:sz w:val="14"/>
                <w:szCs w:val="14"/>
                <w:color w:val="auto"/>
              </w:rPr>
              <w:t>Signature</w:t>
            </w:r>
          </w:p>
        </w:tc>
        <w:tc>
          <w:tcPr>
            <w:tcW w:w="8740" w:type="dxa"/>
            <w:vAlign w:val="bottom"/>
            <w:gridSpan w:val="2"/>
          </w:tcPr>
          <w:p>
            <w:pPr>
              <w:ind w:left="240"/>
              <w:spacing w:after="0"/>
              <w:rPr>
                <w:sz w:val="20"/>
                <w:szCs w:val="20"/>
                <w:color w:val="auto"/>
              </w:rPr>
            </w:pPr>
            <w:r>
              <w:rPr>
                <w:rFonts w:ascii="Arial" w:cs="Arial" w:eastAsia="Arial" w:hAnsi="Arial"/>
                <w:sz w:val="14"/>
                <w:szCs w:val="14"/>
                <w:color w:val="auto"/>
              </w:rPr>
              <w:t>By</w:t>
            </w:r>
          </w:p>
        </w:tc>
      </w:tr>
      <w:tr>
        <w:trPr>
          <w:trHeight w:val="282"/>
        </w:trPr>
        <w:tc>
          <w:tcPr>
            <w:tcW w:w="1160" w:type="dxa"/>
            <w:vAlign w:val="bottom"/>
          </w:tcPr>
          <w:p>
            <w:pPr>
              <w:spacing w:after="0"/>
              <w:rPr>
                <w:sz w:val="24"/>
                <w:szCs w:val="24"/>
                <w:color w:val="auto"/>
              </w:rPr>
            </w:pPr>
          </w:p>
        </w:tc>
        <w:tc>
          <w:tcPr>
            <w:tcW w:w="8740" w:type="dxa"/>
            <w:vAlign w:val="bottom"/>
            <w:gridSpan w:val="2"/>
          </w:tcPr>
          <w:p>
            <w:pPr>
              <w:ind w:left="6620"/>
              <w:spacing w:after="0"/>
              <w:rPr>
                <w:sz w:val="20"/>
                <w:szCs w:val="20"/>
                <w:color w:val="auto"/>
              </w:rPr>
            </w:pPr>
            <w:r>
              <w:rPr>
                <w:rFonts w:ascii="Arial" w:cs="Arial" w:eastAsia="Arial" w:hAnsi="Arial"/>
                <w:sz w:val="14"/>
                <w:szCs w:val="14"/>
                <w:color w:val="auto"/>
                <w:w w:val="96"/>
              </w:rPr>
              <w:t>Joseph Hogan, President and CEO</w:t>
            </w:r>
          </w:p>
        </w:tc>
      </w:tr>
      <w:tr>
        <w:trPr>
          <w:trHeight w:val="184"/>
        </w:trPr>
        <w:tc>
          <w:tcPr>
            <w:tcW w:w="1160" w:type="dxa"/>
            <w:vAlign w:val="bottom"/>
          </w:tcPr>
          <w:p>
            <w:pPr>
              <w:spacing w:after="0"/>
              <w:rPr>
                <w:sz w:val="20"/>
                <w:szCs w:val="20"/>
                <w:color w:val="auto"/>
              </w:rPr>
            </w:pPr>
            <w:r>
              <w:rPr>
                <w:rFonts w:ascii="Arial" w:cs="Arial" w:eastAsia="Arial" w:hAnsi="Arial"/>
                <w:sz w:val="14"/>
                <w:szCs w:val="14"/>
                <w:color w:val="auto"/>
              </w:rPr>
              <w:t>Print Name</w:t>
            </w:r>
          </w:p>
        </w:tc>
        <w:tc>
          <w:tcPr>
            <w:tcW w:w="6620" w:type="dxa"/>
            <w:vAlign w:val="bottom"/>
          </w:tcPr>
          <w:p>
            <w:pPr>
              <w:ind w:left="360"/>
              <w:spacing w:after="0"/>
              <w:rPr>
                <w:sz w:val="20"/>
                <w:szCs w:val="20"/>
                <w:color w:val="auto"/>
              </w:rPr>
            </w:pPr>
            <w:r>
              <w:rPr>
                <w:rFonts w:ascii="Arial" w:cs="Arial" w:eastAsia="Arial" w:hAnsi="Arial"/>
                <w:sz w:val="14"/>
                <w:szCs w:val="14"/>
                <w:color w:val="auto"/>
              </w:rPr>
              <w:t>Title</w:t>
            </w:r>
          </w:p>
        </w:tc>
        <w:tc>
          <w:tcPr>
            <w:tcW w:w="2120" w:type="dxa"/>
            <w:vAlign w:val="bottom"/>
            <w:tcBorders>
              <w:top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6583680</wp:posOffset>
            </wp:positionH>
            <wp:positionV relativeFrom="paragraph">
              <wp:posOffset>-438150</wp:posOffset>
            </wp:positionV>
            <wp:extent cx="7442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t>Exhibit 21.1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Subsidiaries of Align Technology, Inc.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registrant’s principal subsidiaries as of December 31, 2017, are as follows:</w:t>
      </w: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23495</wp:posOffset>
            </wp:positionV>
            <wp:extent cx="703516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extLst>
                    </a:blip>
                    <a:srcRect/>
                    <a:stretch>
                      <a:fillRect/>
                    </a:stretch>
                  </pic:blipFill>
                  <pic:spPr bwMode="auto">
                    <a:xfrm>
                      <a:off x="0" y="0"/>
                      <a:ext cx="7035165" cy="120015"/>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 De Costa Rica, Costa Rica</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Technology, B.V.,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20955</wp:posOffset>
            </wp:positionV>
            <wp:extent cx="7035165"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extLst>
                    </a:blip>
                    <a:srcRect/>
                    <a:stretch>
                      <a:fillRect/>
                    </a:stretch>
                  </pic:blipFill>
                  <pic:spPr bwMode="auto">
                    <a:xfrm>
                      <a:off x="0" y="0"/>
                      <a:ext cx="7035165" cy="114300"/>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Aligntech de Mexico, S. de, Mexico</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Align Technology,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20955</wp:posOffset>
            </wp:positionV>
            <wp:extent cx="7035165"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7035165" cy="114300"/>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Malocclusion C.V., Netherlands</w:t>
      </w:r>
    </w:p>
    <w:p>
      <w:pPr>
        <w:sectPr>
          <w:pgSz w:w="11900" w:h="16838" w:orient="portrait"/>
          <w:cols w:equalWidth="0" w:num="1">
            <w:col w:w="11480"/>
          </w:cols>
          <w:pgMar w:left="220" w:top="433" w:right="1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2"/>
          <w:szCs w:val="12"/>
          <w:b w:val="1"/>
          <w:bCs w:val="1"/>
          <w:color w:val="auto"/>
        </w:rPr>
        <w:t>Exhibit 23.1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hereby consent to the incorporation by reference in the Registration Statements on Form S-8 (No. 333-134477, No. 333-143319, No. 333-161054, No. 333-82874, No. 333-116912, No. 333-125586, No. 333-168548, No. 333-176134, No. 333-190351 and No. 333-214493) of Align Technology, Inc. of our report dated February 28, 2018, relating to the financial statements, financial statement schedule, and the effectiveness of internal control over financial reporting, which appears in this Form 10-K.</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2018</w:t>
      </w:r>
    </w:p>
    <w:p>
      <w:pPr>
        <w:sectPr>
          <w:pgSz w:w="11900" w:h="16838" w:orient="portrait"/>
          <w:cols w:equalWidth="0" w:num="1">
            <w:col w:w="11480"/>
          </w:cols>
          <w:pgMar w:left="220" w:top="433" w:right="1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2"/>
          <w:szCs w:val="12"/>
          <w:b w:val="1"/>
          <w:bCs w:val="1"/>
          <w:color w:val="auto"/>
        </w:rPr>
        <w:t>Exhibit 31.1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Joseph M. Hogan, certify that:</w:t>
      </w:r>
    </w:p>
    <w:p>
      <w:pPr>
        <w:spacing w:after="0" w:line="114" w:lineRule="exact"/>
        <w:rPr>
          <w:sz w:val="20"/>
          <w:szCs w:val="20"/>
          <w:color w:val="auto"/>
        </w:rPr>
      </w:pPr>
    </w:p>
    <w:p>
      <w:pPr>
        <w:ind w:left="420" w:hanging="212"/>
        <w:spacing w:after="0"/>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Align Technology, Inc.;</w:t>
      </w:r>
    </w:p>
    <w:p>
      <w:pPr>
        <w:spacing w:after="0" w:line="14"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20" w:hanging="212"/>
        <w:spacing w:after="0" w:line="250" w:lineRule="auto"/>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20" w:right="20" w:hanging="212"/>
        <w:spacing w:after="0" w:line="250" w:lineRule="auto"/>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860" w:hanging="219"/>
        <w:spacing w:after="0" w:line="250" w:lineRule="auto"/>
        <w:tabs>
          <w:tab w:leader="none" w:pos="8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ind w:left="860" w:hanging="219"/>
        <w:spacing w:after="0" w:line="250" w:lineRule="auto"/>
        <w:tabs>
          <w:tab w:leader="none" w:pos="8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60" w:right="20" w:hanging="219"/>
        <w:spacing w:after="0" w:line="250" w:lineRule="auto"/>
        <w:tabs>
          <w:tab w:leader="none" w:pos="8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hanging="219"/>
        <w:spacing w:after="0" w:line="250" w:lineRule="auto"/>
        <w:tabs>
          <w:tab w:leader="none" w:pos="8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420" w:hanging="212"/>
        <w:spacing w:after="0" w:line="250" w:lineRule="auto"/>
        <w:tabs>
          <w:tab w:leader="none" w:pos="4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60" w:right="20" w:hanging="219"/>
        <w:spacing w:after="0" w:line="250" w:lineRule="auto"/>
        <w:tabs>
          <w:tab w:leader="none" w:pos="8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0" w:hanging="219"/>
        <w:spacing w:after="0"/>
        <w:tabs>
          <w:tab w:leader="none" w:pos="8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Date: February 28, 2018</w:t>
      </w:r>
    </w:p>
    <w:p>
      <w:pPr>
        <w:spacing w:after="0" w:line="200" w:lineRule="exact"/>
        <w:rPr>
          <w:sz w:val="20"/>
          <w:szCs w:val="20"/>
          <w:color w:val="auto"/>
        </w:rPr>
      </w:pPr>
    </w:p>
    <w:p>
      <w:pPr>
        <w:spacing w:after="0" w:line="256"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20955</wp:posOffset>
            </wp:positionV>
            <wp:extent cx="3351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0"/>
          <w:szCs w:val="10"/>
          <w:b w:val="1"/>
          <w:bCs w:val="1"/>
          <w:color w:val="auto"/>
        </w:rPr>
        <w:t>Joseph M. Hogan</w:t>
      </w:r>
    </w:p>
    <w:p>
      <w:pPr>
        <w:ind w:left="6220"/>
        <w:spacing w:after="0" w:line="236" w:lineRule="auto"/>
        <w:rPr>
          <w:sz w:val="20"/>
          <w:szCs w:val="20"/>
          <w:color w:val="auto"/>
        </w:rPr>
      </w:pPr>
      <w:r>
        <w:rPr>
          <w:rFonts w:ascii="Arial" w:cs="Arial" w:eastAsia="Arial" w:hAnsi="Arial"/>
          <w:sz w:val="10"/>
          <w:szCs w:val="10"/>
          <w:b w:val="1"/>
          <w:bCs w:val="1"/>
          <w:i w:val="1"/>
          <w:iCs w:val="1"/>
          <w:color w:val="auto"/>
        </w:rPr>
        <w:t>President and Chief Executive Officer</w:t>
      </w:r>
    </w:p>
    <w:p>
      <w:pPr>
        <w:sectPr>
          <w:pgSz w:w="11900" w:h="16838" w:orient="portrait"/>
          <w:cols w:equalWidth="0" w:num="1">
            <w:col w:w="11480"/>
          </w:cols>
          <w:pgMar w:left="220" w:top="433" w:right="1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2"/>
          <w:szCs w:val="12"/>
          <w:b w:val="1"/>
          <w:bCs w:val="1"/>
          <w:color w:val="auto"/>
        </w:rPr>
        <w:t>Exhibit 31.2</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I, John F. Morici, certify that:</w:t>
      </w:r>
    </w:p>
    <w:p>
      <w:pPr>
        <w:spacing w:after="0" w:line="150" w:lineRule="exact"/>
        <w:rPr>
          <w:sz w:val="20"/>
          <w:szCs w:val="20"/>
          <w:color w:val="auto"/>
        </w:rPr>
      </w:pPr>
    </w:p>
    <w:p>
      <w:pPr>
        <w:ind w:left="420" w:hanging="212"/>
        <w:spacing w:after="0"/>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Align Technology, Inc.;</w:t>
      </w:r>
    </w:p>
    <w:p>
      <w:pPr>
        <w:spacing w:after="0" w:line="7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2"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860" w:hanging="219"/>
        <w:spacing w:after="0"/>
        <w:tabs>
          <w:tab w:leader="none" w:pos="860" w:val="left"/>
        </w:tabs>
        <w:numPr>
          <w:ilvl w:val="1"/>
          <w:numId w:val="7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Date: February 28, 2018</w:t>
      </w:r>
    </w:p>
    <w:p>
      <w:pPr>
        <w:spacing w:after="0" w:line="200" w:lineRule="exact"/>
        <w:rPr>
          <w:sz w:val="20"/>
          <w:szCs w:val="20"/>
          <w:color w:val="auto"/>
        </w:rPr>
      </w:pPr>
    </w:p>
    <w:p>
      <w:pPr>
        <w:spacing w:after="0" w:line="256"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20955</wp:posOffset>
            </wp:positionV>
            <wp:extent cx="3351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62" w:lineRule="exact"/>
        <w:rPr>
          <w:sz w:val="20"/>
          <w:szCs w:val="20"/>
          <w:color w:val="auto"/>
        </w:rPr>
      </w:pPr>
    </w:p>
    <w:p>
      <w:pPr>
        <w:ind w:left="6220"/>
        <w:spacing w:after="0"/>
        <w:rPr>
          <w:sz w:val="20"/>
          <w:szCs w:val="20"/>
          <w:color w:val="auto"/>
        </w:rPr>
      </w:pPr>
      <w:r>
        <w:rPr>
          <w:rFonts w:ascii="Arial" w:cs="Arial" w:eastAsia="Arial" w:hAnsi="Arial"/>
          <w:sz w:val="10"/>
          <w:szCs w:val="10"/>
          <w:b w:val="1"/>
          <w:bCs w:val="1"/>
          <w:color w:val="auto"/>
        </w:rPr>
        <w:t>John F. Morici</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0"/>
          <w:szCs w:val="10"/>
          <w:b w:val="1"/>
          <w:bCs w:val="1"/>
          <w:i w:val="1"/>
          <w:iCs w:val="1"/>
          <w:color w:val="auto"/>
        </w:rPr>
        <w:t>Chief Financial Officer</w:t>
      </w:r>
    </w:p>
    <w:p>
      <w:pPr>
        <w:sectPr>
          <w:pgSz w:w="11900" w:h="16838" w:orient="portrait"/>
          <w:cols w:equalWidth="0" w:num="1">
            <w:col w:w="11480"/>
          </w:cols>
          <w:pgMar w:left="220" w:top="433"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32</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 1350,</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connection with the Quarterly Report of Align Technology, Inc. (the “Company”) on Form 10-Q for the period ending December 31, 2017 as filed with the Securities and Exchange Commission on the date hereof (the “Report”), I certify, pursuant to 18 U.S.C. § 1350, as adopted pursuant to § 906 of the Sarbanes-Oxley Act of 2002, that:</w:t>
      </w:r>
    </w:p>
    <w:p>
      <w:pPr>
        <w:spacing w:after="0" w:line="97" w:lineRule="exact"/>
        <w:rPr>
          <w:sz w:val="20"/>
          <w:szCs w:val="20"/>
          <w:color w:val="auto"/>
        </w:rPr>
      </w:pPr>
    </w:p>
    <w:p>
      <w:pPr>
        <w:ind w:left="168" w:hanging="168"/>
        <w:spacing w:after="0"/>
        <w:tabs>
          <w:tab w:leader="none" w:pos="168"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32" w:lineRule="exact"/>
        <w:rPr>
          <w:rFonts w:ascii="Arial" w:cs="Arial" w:eastAsia="Arial" w:hAnsi="Arial"/>
          <w:sz w:val="12"/>
          <w:szCs w:val="12"/>
          <w:color w:val="auto"/>
        </w:rPr>
      </w:pPr>
    </w:p>
    <w:p>
      <w:pPr>
        <w:ind w:left="168" w:hanging="168"/>
        <w:spacing w:after="0"/>
        <w:tabs>
          <w:tab w:leader="none" w:pos="168"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28"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By:</w:t>
            </w:r>
          </w:p>
        </w:tc>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JOSEPH M. HOGAN</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Date: February 28, 2018</w:t>
            </w: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Name:</w:t>
            </w:r>
          </w:p>
        </w:tc>
        <w:tc>
          <w:tcPr>
            <w:tcW w:w="6080" w:type="dxa"/>
            <w:vAlign w:val="bottom"/>
          </w:tcPr>
          <w:p>
            <w:pPr>
              <w:jc w:val="center"/>
              <w:spacing w:after="0"/>
              <w:rPr>
                <w:sz w:val="20"/>
                <w:szCs w:val="20"/>
                <w:color w:val="auto"/>
              </w:rPr>
            </w:pPr>
            <w:r>
              <w:rPr>
                <w:rFonts w:ascii="Arial" w:cs="Arial" w:eastAsia="Arial" w:hAnsi="Arial"/>
                <w:sz w:val="10"/>
                <w:szCs w:val="10"/>
                <w:b w:val="1"/>
                <w:bCs w:val="1"/>
                <w:color w:val="auto"/>
                <w:w w:val="86"/>
              </w:rPr>
              <w:t>Joseph M. Hogan</w:t>
            </w:r>
          </w:p>
        </w:tc>
      </w:tr>
      <w:tr>
        <w:trPr>
          <w:trHeight w:val="145"/>
        </w:trPr>
        <w:tc>
          <w:tcPr>
            <w:tcW w:w="2880" w:type="dxa"/>
            <w:vAlign w:val="bottom"/>
          </w:tcPr>
          <w:p>
            <w:pPr>
              <w:spacing w:after="0"/>
              <w:rPr>
                <w:sz w:val="12"/>
                <w:szCs w:val="12"/>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Title:</w:t>
            </w:r>
          </w:p>
        </w:tc>
        <w:tc>
          <w:tcPr>
            <w:tcW w:w="608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84"/>
              </w:rPr>
              <w:t>President and Chief Executive Officer</w:t>
            </w:r>
          </w:p>
        </w:tc>
      </w:tr>
    </w:tbl>
    <w:p>
      <w:pPr>
        <w:spacing w:after="0" w:line="17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connection with the Quarterly Report of Align Technology, Inc. (the “Company”) on Form 10-Q for the period ending December 31, 2017 as filed with the Securities and Exchange Commission on the date hereof (the “Report”), I certify, pursuant to 18 U.S.C. § 1350, as adopted pursuant to § 906 of the Sarbanes-Oxley Act of 2002, that:</w:t>
      </w:r>
    </w:p>
    <w:p>
      <w:pPr>
        <w:spacing w:after="0" w:line="97" w:lineRule="exact"/>
        <w:rPr>
          <w:sz w:val="20"/>
          <w:szCs w:val="20"/>
          <w:color w:val="auto"/>
        </w:rPr>
      </w:pPr>
    </w:p>
    <w:p>
      <w:pPr>
        <w:ind w:left="168" w:hanging="168"/>
        <w:spacing w:after="0"/>
        <w:tabs>
          <w:tab w:leader="none" w:pos="1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32" w:lineRule="exact"/>
        <w:rPr>
          <w:rFonts w:ascii="Arial" w:cs="Arial" w:eastAsia="Arial" w:hAnsi="Arial"/>
          <w:sz w:val="12"/>
          <w:szCs w:val="12"/>
          <w:color w:val="auto"/>
        </w:rPr>
      </w:pPr>
    </w:p>
    <w:p>
      <w:pPr>
        <w:ind w:left="168" w:hanging="168"/>
        <w:spacing w:after="0"/>
        <w:tabs>
          <w:tab w:leader="none" w:pos="16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28"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By:</w:t>
            </w:r>
          </w:p>
        </w:tc>
        <w:tc>
          <w:tcPr>
            <w:tcW w:w="6080" w:type="dxa"/>
            <w:vAlign w:val="bottom"/>
            <w:tcBorders>
              <w:bottom w:val="single" w:sz="8" w:color="auto"/>
            </w:tcBorders>
          </w:tcPr>
          <w:p>
            <w:pPr>
              <w:ind w:left="2440"/>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JOHN F. MORICI</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Date: February 28, 2018</w:t>
            </w: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Name:</w:t>
            </w:r>
          </w:p>
        </w:tc>
        <w:tc>
          <w:tcPr>
            <w:tcW w:w="6080" w:type="dxa"/>
            <w:vAlign w:val="bottom"/>
          </w:tcPr>
          <w:p>
            <w:pPr>
              <w:jc w:val="center"/>
              <w:spacing w:after="0"/>
              <w:rPr>
                <w:sz w:val="20"/>
                <w:szCs w:val="20"/>
                <w:color w:val="auto"/>
              </w:rPr>
            </w:pPr>
            <w:r>
              <w:rPr>
                <w:rFonts w:ascii="Arial" w:cs="Arial" w:eastAsia="Arial" w:hAnsi="Arial"/>
                <w:sz w:val="10"/>
                <w:szCs w:val="10"/>
                <w:b w:val="1"/>
                <w:bCs w:val="1"/>
                <w:color w:val="auto"/>
                <w:w w:val="88"/>
              </w:rPr>
              <w:t>John F. Morici</w:t>
            </w:r>
          </w:p>
        </w:tc>
      </w:tr>
      <w:tr>
        <w:trPr>
          <w:trHeight w:val="145"/>
        </w:trPr>
        <w:tc>
          <w:tcPr>
            <w:tcW w:w="2880" w:type="dxa"/>
            <w:vAlign w:val="bottom"/>
          </w:tcPr>
          <w:p>
            <w:pPr>
              <w:spacing w:after="0"/>
              <w:rPr>
                <w:sz w:val="12"/>
                <w:szCs w:val="12"/>
                <w:color w:val="auto"/>
              </w:rPr>
            </w:pPr>
          </w:p>
        </w:tc>
        <w:tc>
          <w:tcPr>
            <w:tcW w:w="2500" w:type="dxa"/>
            <w:vAlign w:val="bottom"/>
          </w:tcPr>
          <w:p>
            <w:pPr>
              <w:ind w:left="1720"/>
              <w:spacing w:after="0"/>
              <w:rPr>
                <w:sz w:val="20"/>
                <w:szCs w:val="20"/>
                <w:color w:val="auto"/>
              </w:rPr>
            </w:pPr>
            <w:r>
              <w:rPr>
                <w:rFonts w:ascii="Arial" w:cs="Arial" w:eastAsia="Arial" w:hAnsi="Arial"/>
                <w:sz w:val="10"/>
                <w:szCs w:val="10"/>
                <w:b w:val="1"/>
                <w:bCs w:val="1"/>
                <w:color w:val="auto"/>
              </w:rPr>
              <w:t>Title:</w:t>
            </w:r>
          </w:p>
        </w:tc>
        <w:tc>
          <w:tcPr>
            <w:tcW w:w="6080" w:type="dxa"/>
            <w:vAlign w:val="bottom"/>
          </w:tcPr>
          <w:p>
            <w:pPr>
              <w:jc w:val="center"/>
              <w:spacing w:after="0"/>
              <w:rPr>
                <w:sz w:val="20"/>
                <w:szCs w:val="20"/>
                <w:color w:val="auto"/>
              </w:rPr>
            </w:pPr>
            <w:r>
              <w:rPr>
                <w:rFonts w:ascii="Arial" w:cs="Arial" w:eastAsia="Arial" w:hAnsi="Arial"/>
                <w:sz w:val="10"/>
                <w:szCs w:val="10"/>
                <w:b w:val="1"/>
                <w:bCs w:val="1"/>
                <w:i w:val="1"/>
                <w:iCs w:val="1"/>
                <w:color w:val="auto"/>
                <w:w w:val="88"/>
              </w:rPr>
              <w:t>Chief Financial Officer</w:t>
            </w:r>
          </w:p>
        </w:tc>
      </w:tr>
    </w:tbl>
    <w:p>
      <w:pPr>
        <w:spacing w:after="0" w:line="1" w:lineRule="exact"/>
        <w:rPr>
          <w:sz w:val="20"/>
          <w:szCs w:val="20"/>
          <w:color w:val="auto"/>
        </w:rPr>
      </w:pPr>
    </w:p>
    <w:sectPr>
      <w:pgSz w:w="11900" w:h="16838" w:orient="portrait"/>
      <w:cols w:equalWidth="0" w:num="1">
        <w:col w:w="11488"/>
      </w:cols>
      <w:pgMar w:left="212"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
    </w:lvl>
    <w:lvl w:ilvl="1">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18">
    <w:nsid w:val="4B588F54"/>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lvl w:ilvl="1">
      <w:lvlJc w:val="left"/>
      <w:lvlText w:val="▪"/>
      <w:numFmt w:val="bullet"/>
      <w:start w:val="1"/>
    </w:lvl>
  </w:abstractNum>
  <w:abstractNum w:abstractNumId="22">
    <w:nsid w:val="7644A45C"/>
    <w:multiLevelType w:val="hybridMultilevel"/>
    <w:lvl w:ilvl="0">
      <w:lvlJc w:val="left"/>
      <w:lvlText w:val="•"/>
      <w:numFmt w:val="bullet"/>
      <w:start w:val="1"/>
    </w:lvl>
    <w:lvl w:ilvl="1">
      <w:lvlJc w:val="left"/>
      <w:lvlText w:val="◦"/>
      <w:numFmt w:val="bullet"/>
      <w:start w:val="1"/>
    </w:lvl>
  </w:abstractNum>
  <w:abstractNum w:abstractNumId="23">
    <w:nsid w:val="32FFF902"/>
    <w:multiLevelType w:val="hybridMultilevel"/>
    <w:lvl w:ilvl="0">
      <w:lvlJc w:val="left"/>
      <w:lvlText w:val="•"/>
      <w:numFmt w:val="bullet"/>
      <w:start w:val="1"/>
    </w:lvl>
    <w:lvl w:ilvl="1">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lvl w:ilvl="1">
      <w:lvlJc w:val="left"/>
      <w:lvlText w:val="◦"/>
      <w:numFmt w:val="bullet"/>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lvl w:ilvl="1">
      <w:lvlJc w:val="left"/>
      <w:lvlText w:val="•"/>
      <w:numFmt w:val="bullet"/>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bullet"/>
      <w:start w:val="1"/>
    </w:lvl>
  </w:abstractNum>
  <w:abstractNum w:abstractNumId="47">
    <w:nsid w:val="D34B6A8"/>
    <w:multiLevelType w:val="hybridMultilevel"/>
    <w:lvl w:ilvl="0">
      <w:lvlJc w:val="left"/>
      <w:lvlText w:val="2"/>
      <w:numFmt w:val="bullet"/>
      <w:start w:val="1"/>
    </w:lvl>
  </w:abstractNum>
  <w:abstractNum w:abstractNumId="48">
    <w:nsid w:val="10233C99"/>
    <w:multiLevelType w:val="hybridMultilevel"/>
    <w:lvl w:ilvl="0">
      <w:lvlJc w:val="left"/>
      <w:lvlText w:val="3"/>
      <w:numFmt w:val="bullet"/>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2"/>
    </w:lvl>
  </w:abstractNum>
  <w:abstractNum w:abstractNumId="52">
    <w:nsid w:val="77AE35EB"/>
    <w:multiLevelType w:val="hybridMultilevel"/>
    <w:lvl w:ilvl="0">
      <w:lvlJc w:val="left"/>
      <w:lvlText w:val="(%1)"/>
      <w:numFmt w:val="lowerLetter"/>
      <w:start w:val="2"/>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6">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57">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58">
    <w:nsid w:val="1DBABF00"/>
    <w:multiLevelType w:val="hybridMultilevel"/>
    <w:lvl w:ilvl="0">
      <w:lvlJc w:val="left"/>
      <w:lvlText w:val="%1."/>
      <w:numFmt w:val="decimal"/>
      <w:start w:val="6"/>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decimal"/>
      <w:start w:val="10"/>
    </w:lvl>
  </w:abstractNum>
  <w:abstractNum w:abstractNumId="61">
    <w:nsid w:val="1381823A"/>
    <w:multiLevelType w:val="hybridMultilevel"/>
    <w:lvl w:ilvl="0">
      <w:lvlJc w:val="left"/>
      <w:lvlText w:val="%1."/>
      <w:numFmt w:val="decimal"/>
      <w:start w:val="18"/>
    </w:lvl>
  </w:abstractNum>
  <w:abstractNum w:abstractNumId="62">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3">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64">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65">
    <w:nsid w:val="15014ACB"/>
    <w:multiLevelType w:val="hybridMultilevel"/>
    <w:lvl w:ilvl="0">
      <w:lvlJc w:val="left"/>
      <w:lvlText w:val="%1"/>
      <w:numFmt w:val="decimal"/>
      <w:start w:val="1"/>
    </w:lvl>
    <w:lvl w:ilvl="1">
      <w:lvlJc w:val="left"/>
      <w:lvlText w:val="(%2)"/>
      <w:numFmt w:val="lowerLetter"/>
      <w:start w:val="1"/>
    </w:lvl>
  </w:abstractNum>
  <w:abstractNum w:abstractNumId="66">
    <w:nsid w:val="5F5E7FD0"/>
    <w:multiLevelType w:val="hybridMultilevel"/>
    <w:lvl w:ilvl="0">
      <w:lvlJc w:val="left"/>
      <w:lvlText w:val="%1."/>
      <w:numFmt w:val="decimal"/>
      <w:start w:val="9"/>
    </w:lvl>
    <w:lvl w:ilvl="1">
      <w:lvlJc w:val="left"/>
      <w:lvlText w:val="%2"/>
      <w:numFmt w:val="lowerLetter"/>
      <w:start w:val="1"/>
    </w:lvl>
  </w:abstractNum>
  <w:abstractNum w:abstractNumId="67">
    <w:nsid w:val="98A3148"/>
    <w:multiLevelType w:val="hybridMultilevel"/>
    <w:lvl w:ilvl="0">
      <w:lvlJc w:val="left"/>
      <w:lvlText w:val="%1."/>
      <w:numFmt w:val="decimal"/>
      <w:start w:val="13"/>
    </w:lvl>
  </w:abstractNum>
  <w:abstractNum w:abstractNumId="68">
    <w:nsid w:val="799D0247"/>
    <w:multiLevelType w:val="hybridMultilevel"/>
    <w:lvl w:ilvl="0">
      <w:lvlJc w:val="left"/>
      <w:lvlText w:val="%1."/>
      <w:numFmt w:val="decimal"/>
      <w:start w:val="2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40" Type="http://schemas.openxmlformats.org/officeDocument/2006/relationships/image" Target="media/image7.png"/><Relationship Id="rId41" Type="http://schemas.openxmlformats.org/officeDocument/2006/relationships/image" Target="media/image8.png"/><Relationship Id="rId42" Type="http://schemas.openxmlformats.org/officeDocument/2006/relationships/image" Target="media/image9.png"/><Relationship Id="rId43"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14" Type="http://schemas.openxmlformats.org/officeDocument/2006/relationships/hyperlink" Target="http://www.sec.gov/Archives/edgar/data/1097149/000092735600002267/0000927356-00-002267-0002.txt" TargetMode="External"/><Relationship Id="rId15" Type="http://schemas.openxmlformats.org/officeDocument/2006/relationships/hyperlink" Target="http://www.sec.gov/Archives/edgar/data/1097149/000119312512089369/d308363dex32.htm" TargetMode="External"/><Relationship Id="rId16" Type="http://schemas.openxmlformats.org/officeDocument/2006/relationships/hyperlink" Target="http://www.sec.gov/Archives/edgar/data/1097149/000092962401000049/0000929624-01-000049-0002.txt" TargetMode="External"/><Relationship Id="rId17" Type="http://schemas.openxmlformats.org/officeDocument/2006/relationships/hyperlink" Target="http://www.sec.gov/Archives/edgar/data/1097149/000109714917000009/ex101-20161231.htm" TargetMode="External"/><Relationship Id="rId18" Type="http://schemas.openxmlformats.org/officeDocument/2006/relationships/hyperlink" Target="http://www.sec.gov/Archives/edgar/data/1097149/000109714917000009/ex102-20161231.htm" TargetMode="External"/><Relationship Id="rId19" Type="http://schemas.openxmlformats.org/officeDocument/2006/relationships/hyperlink" Target="http://www.sec.gov/Archives/edgar/data/1097149/000109714917000009/ex102a-20161231.htm" TargetMode="External"/><Relationship Id="rId20" Type="http://schemas.openxmlformats.org/officeDocument/2006/relationships/hyperlink" Target="http://www.sec.gov/Archives/edgar/data/1097149/000119312510128157/dex1002.htm" TargetMode="External"/><Relationship Id="rId21" Type="http://schemas.openxmlformats.org/officeDocument/2006/relationships/hyperlink" Target="http://www.sec.gov/Archives/edgar/data/1097149/000092962401000049/0000929624-01-000049-0005.txt" TargetMode="External"/><Relationship Id="rId22" Type="http://schemas.openxmlformats.org/officeDocument/2006/relationships/hyperlink" Target="http://www.sec.gov/Archives/edgar/data/1097149/000110465907079794/a07-25733_1ex10d1a.htm" TargetMode="External"/><Relationship Id="rId23" Type="http://schemas.openxmlformats.org/officeDocument/2006/relationships/hyperlink" Target="http://www.sec.gov/Archives/edgar/data/1097149/000110465907079794/a07-25733_1ex10d1c.htm" TargetMode="External"/><Relationship Id="rId24" Type="http://schemas.openxmlformats.org/officeDocument/2006/relationships/hyperlink" Target="http://www.sec.gov/Archives/edgar/data/1097149/000110465905036404/a05-12559_1ex10d4.htm" TargetMode="External"/><Relationship Id="rId25" Type="http://schemas.openxmlformats.org/officeDocument/2006/relationships/hyperlink" Target="http://www.sec.gov/Archives/edgar/data/1097149/000110465908031394/a08-11459_1ex10d3.htm" TargetMode="External"/><Relationship Id="rId26" Type="http://schemas.openxmlformats.org/officeDocument/2006/relationships/hyperlink" Target="http://www.sec.gov/Archives/edgar/data/1097149/000109714918000002/alignincentivecomp2017.htm" TargetMode="External"/><Relationship Id="rId27" Type="http://schemas.openxmlformats.org/officeDocument/2006/relationships/hyperlink" Target="http://www.sec.gov/Archives/edgar/data/1097149/000119312511043881/dex101.htm" TargetMode="External"/><Relationship Id="rId28" Type="http://schemas.openxmlformats.org/officeDocument/2006/relationships/hyperlink" Target="http://www.sec.gov/Archives/edgar/data/1097149/000119312511043881/dex102.htm" TargetMode="External"/><Relationship Id="rId29" Type="http://schemas.openxmlformats.org/officeDocument/2006/relationships/hyperlink" Target="http://www.sec.gov/Archives/edgar/data/1097149/000114420411005984/v210041_8k.htm" TargetMode="External"/><Relationship Id="rId30" Type="http://schemas.openxmlformats.org/officeDocument/2006/relationships/hyperlink" Target="http://www.sec.gov/Archives/edgar/data/1097149/000109714915000012/algn-2015331xex1030.htm" TargetMode="External"/><Relationship Id="rId31" Type="http://schemas.openxmlformats.org/officeDocument/2006/relationships/hyperlink" Target="http://www.sec.gov/Archives/edgar/data/1097149/000109714915000024/algn-2015630xex1031.htm" TargetMode="External"/><Relationship Id="rId32" Type="http://schemas.openxmlformats.org/officeDocument/2006/relationships/hyperlink" Target="http://www.sec.gov/Archives/edgar/data/1097149/000109714915000024/algn-2015630xex1034.htm" TargetMode="External"/><Relationship Id="rId33" Type="http://schemas.openxmlformats.org/officeDocument/2006/relationships/hyperlink" Target="http://www.sec.gov/Archives/edgar/data/1097149/000109714916000065/algn-20160930ex102.htm" TargetMode="External"/><Relationship Id="rId34" Type="http://schemas.openxmlformats.org/officeDocument/2006/relationships/hyperlink" Target="http://www.sec.gov/Archives/edgar/data/1097149/000109714916000068/exhibit101.htm" TargetMode="External"/><Relationship Id="rId35" Type="http://schemas.openxmlformats.org/officeDocument/2006/relationships/hyperlink" Target="http://www.sec.gov/Archives/edgar/data/1097149/000110262416003155/exh10_1.htm" TargetMode="External"/><Relationship Id="rId36" Type="http://schemas.openxmlformats.org/officeDocument/2006/relationships/hyperlink" Target="http://www.sec.gov/Archives/edgar/data/1097149/000109714917000027/exhibit1012017.htm" TargetMode="External"/><Relationship Id="rId37" Type="http://schemas.openxmlformats.org/officeDocument/2006/relationships/hyperlink" Target="http://www.sec.gov/Archives/edgar/data/1097149/000109714917000027/exhibit102.htm" TargetMode="External"/><Relationship Id="rId38" Type="http://schemas.openxmlformats.org/officeDocument/2006/relationships/hyperlink" Target="http://www.sec.gov/Archives/edgar/data/1097149/000109714917000037/psaalignsabpbuilding2ful.htm" TargetMode="External"/><Relationship Id="rId39" Type="http://schemas.openxmlformats.org/officeDocument/2006/relationships/hyperlink" Target="http://www.sec.gov/Archives/edgar/data/1097149/000109714918000007/algn20170227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2019-12-29T00:46:28Z</dcterms:created>
  <dcterms:modified xsi:type="dcterms:W3CDTF">2019-12-29T00:46:28Z</dcterms:modified>
</cp:coreProperties>
</file>