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March 31, 2015</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April 24, 2015 was 80,750,207.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0">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43,395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137,251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95,447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32,444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81,120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82,817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36,177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available-for-sale securities,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36,211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32,592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254,787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$1,461 and $1,563,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129,751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15,928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29,911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168,171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147,892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81,274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82,056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7,665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81,711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201,811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235,226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6 and 7)</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80,734 and 80,205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789,453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783,410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793,534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1,028,405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987,997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(157,919)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53,137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189,978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182,766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months ended March 31, 2015 and 2014, our comprehensive income for the three months ended March 31, 2015 and 2014, our financial position as of March 31, 2015 and our cash flows for the three months ended March 31, 2015 and 2014. The Condensed Consolidated Balance Sheet as of December 31, 2014 was derived from the December 31, 2014 audited financial statements. Net revenues by geographic area for prior period amounts in Note 13 have been reclassified to conform with the current period presentation. These reclassifications had no impact on our financial position for the three months ended March 31, 2015 and 2014.</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months ended March 31, 2015 are not necessarily indicative of the results that may be expected for the year ending December 31, 2015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2014.</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We expect the updated standard to become effective for us in the first quarter of fiscal 2018. We have not yet selected a transition method and we are currently evaluating the effect that the updated standard will have on our consolidated financial statements and related disclosures.</w:t>
      </w:r>
    </w:p>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April 2015, the FASB issued ASU No. 2015-05, "Customer's Accounting for Fees Paid in a Cloud Computing Arrangement." providing guidance to entities about whether a cloud computing arrangement includes a software license. If a cloud computing arrangement includes a software license, the entity should account for the software license element of the arrangement consistent with the acquisition of other software licenses. If a cloud computing arrangement does not include a software license, the entity should account for the arrangement as a service contract. The new guidance does not change the accounting for an entity's accounting for service contracts. The updated standard becomes effective for interim and annual reporting periods beginning after December 15, 2015. We are currently evaluating the effect </w:t>
      </w:r>
      <w:r>
        <w:rPr>
          <w:rFonts w:ascii="Arial" w:cs="Arial" w:eastAsia="Arial" w:hAnsi="Arial"/>
          <w:sz w:val="18"/>
          <w:szCs w:val="18"/>
          <w:color w:val="252525"/>
        </w:rPr>
        <w:t>that the updated standard will have on our consolidated financial statements and related</w:t>
      </w:r>
      <w:r>
        <w:rPr>
          <w:rFonts w:ascii="Arial" w:cs="Arial" w:eastAsia="Arial" w:hAnsi="Arial"/>
          <w:sz w:val="18"/>
          <w:szCs w:val="18"/>
          <w:color w:val="auto"/>
        </w:rPr>
        <w:t xml:space="preserve"> </w:t>
      </w:r>
      <w:r>
        <w:rPr>
          <w:rFonts w:ascii="Arial" w:cs="Arial" w:eastAsia="Arial" w:hAnsi="Arial"/>
          <w:sz w:val="18"/>
          <w:szCs w:val="18"/>
          <w:color w:val="252525"/>
        </w:rPr>
        <w:t>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2015 and December 31, 2014, the estimated fair value of our short-term and long-term marketable securities, classified as available for sale, are as follows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ind w:right="1012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144,230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60,342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60,358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17,772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Agency discount notes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254,825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254,823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50,587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66,738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33,310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33,380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10,533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168,068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168,171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Certificates of Deposits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254,843</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line="15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57,195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20,814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148,030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color w:val="auto"/>
        </w:rPr>
        <w:t>For the three months ended March 31, 2015 and 2014, realized gains were immaterial. Unrealized gains and losses for our available for sale securities as of March 31, 2015 and December 31, 2014 were also immaterial. Cash and cash equivalents are not included in the table above as the gross unrealized gains and losses are not material. We have no material short-term or long-</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 investments that have been in a continuous unrealized loss position for greater than twelve months as of March 31, 2015 and December 31, 2014. Amounts reclassified to earnings from accumulated other comprehensive income related to unrealized gain or losses were immaterial for the three months ended March 31, 2015 and 2014.</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U.S. dollar dominated foreign corporate bonds, commercial paper, municipal securities, U.S. government agency bonds, U.S. government treasury bonds, certificates of deposit, agency discount notes and asset-backed securities that have a maximum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11 months as of March 31, 2015 and December 31, 2014, respectively.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March 31, 2015 and December 31, 2014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254,787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168,171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147,892</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422,994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402,679</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March 31, 2015 or December 31, 2014.</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Level 2 assets consist of commercial paper, corporate bonds, U.S. government agency bonds, asset-backed securities, municipal securities, U.S. government treasury bonds, U.S. dollar dominated foreign corporate bonds, certificates of deposit, agency discount notes and our Israeli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Level 2 liabilities as of March 31, 2015 or December 31, 2014.</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Level 3 assets or liabilities as of March 31, 2015 or December 31,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March 31, 2015 and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2015</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76,732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76,732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28,664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144,190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144,190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60,358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60,358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Agency discount notes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50,587</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66,723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66,723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33,380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Israeli funds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530,646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127,896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402,750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Certificates of Deposits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509,514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392,138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60" w:type="dxa"/>
            <w:vAlign w:val="bottom"/>
          </w:tcPr>
          <w:p>
            <w:pPr>
              <w:ind w:left="340"/>
              <w:spacing w:after="0"/>
              <w:rPr>
                <w:sz w:val="20"/>
                <w:szCs w:val="20"/>
                <w:color w:val="auto"/>
              </w:rPr>
            </w:pPr>
            <w:r>
              <w:rPr>
                <w:rFonts w:ascii="Arial" w:cs="Arial" w:eastAsia="Arial" w:hAnsi="Arial"/>
                <w:sz w:val="18"/>
                <w:szCs w:val="18"/>
                <w:color w:val="auto"/>
              </w:rPr>
              <w:t>Inventories consist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marketing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5,456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2,027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3,148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81,711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March 31, 2015 and 2014 consists of the following activity (in thousands):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3,005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3,048</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29, 2011, we acquired Cadent Holdings, Inc. (“Cadent”). In connection with the acquisition, we allocated approximately $58.0 million of goodwill to our Clear Aligner reporting unit based on the expected relative synergies generated by the acquisition. On April 30, 2013, we acquired ICA Holdings Pty Limited in a purchase business combination of which $3.6 million was recorded to goodwill, which was attributed to our Clear Aligner reporting unit.</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the carrying value of goodwill for the three months ended March 31, 2015, all attributable to our Clear Aligner reporting unit, is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61,369</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61,237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three months ended March 31, 2015 were due to foreign currency translation.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 of fiscal 2014, we performed the annual goodwill impairment testing and found no impairment events as the fair value of our Clear Aligner reporting unit was significantly in excess of the carrying value.</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Acquired intangible assets, arising either as a direct result from the Cadent acquisition or individually acquired, are being amortized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2015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2019</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7,695</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Facilities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March 31, 2015, we had no outstanding borrowings under this credit facility and were in compliance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 the conditions and performance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7,233</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9,194</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5,463</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2,041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r>
      <w:tr>
        <w:trPr>
          <w:trHeight w:val="243"/>
        </w:trPr>
        <w:tc>
          <w:tcPr>
            <w:tcW w:w="960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188</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2015,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2015,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we had a total reserve of 23,283,379 shares for issuance.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months ended March 31, 2015 and 2014 is as follows (in thousands):</w:t>
      </w:r>
    </w:p>
    <w:p>
      <w:pPr>
        <w:spacing w:after="0" w:line="12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472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6,717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stock-based compensation</w:t>
            </w:r>
          </w:p>
        </w:tc>
        <w:tc>
          <w:tcPr>
            <w:tcW w:w="3580" w:type="dxa"/>
            <w:vAlign w:val="bottom"/>
          </w:tcPr>
          <w:p>
            <w:pPr>
              <w:spacing w:after="0"/>
              <w:rPr>
                <w:sz w:val="20"/>
                <w:szCs w:val="20"/>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580" w:type="dxa"/>
            <w:vAlign w:val="bottom"/>
            <w:vMerge w:val="restart"/>
          </w:tcPr>
          <w:p>
            <w:pPr>
              <w:jc w:val="right"/>
              <w:ind w:right="177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Activity for the three months ended March 31, 2015 under the stock option plans is set forth below (in thousands, except years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24,324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March 31, 2015</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24,324</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There were no stock options granted during the three months ended March 31, 2015 and 2014. As of March 31, 2015, the total unamortized compensation cost related to stock options is immaterial.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three months ended March 31, 2015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119,242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2015, the total unamortized compensation cost related to RSU, net of estimated forfeitures, was $85.3 million, which we expect to recognize over a weighted average period of 2.6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activity for the three months ended March 31, 2015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Nonvested as of March 31, 2015</w:t>
            </w:r>
          </w:p>
        </w:tc>
        <w:tc>
          <w:tcPr>
            <w:tcW w:w="17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4"/>
              <w:spacing w:after="0"/>
              <w:rPr>
                <w:sz w:val="20"/>
                <w:szCs w:val="20"/>
                <w:color w:val="auto"/>
              </w:rPr>
            </w:pPr>
            <w:r>
              <w:rPr>
                <w:rFonts w:ascii="Arial" w:cs="Arial" w:eastAsia="Arial" w:hAnsi="Arial"/>
                <w:sz w:val="18"/>
                <w:szCs w:val="18"/>
                <w:color w:val="auto"/>
              </w:rPr>
              <w:t>27,931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60" w:type="dxa"/>
            <w:vAlign w:val="bottom"/>
          </w:tcPr>
          <w:p>
            <w:pPr>
              <w:spacing w:after="0"/>
              <w:rPr>
                <w:sz w:val="24"/>
                <w:szCs w:val="24"/>
                <w:color w:val="auto"/>
              </w:rPr>
            </w:pPr>
          </w:p>
        </w:tc>
        <w:tc>
          <w:tcPr>
            <w:tcW w:w="1720" w:type="dxa"/>
            <w:vAlign w:val="bottom"/>
          </w:tcPr>
          <w:p>
            <w:pPr>
              <w:jc w:val="right"/>
              <w:ind w:right="39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2015, the total unamortized compensation costs related to the MSU, net of estimated forfeitures, was $14.8 million, which we expect to recognize over a weighted average period of 1.8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March 31, 2015, there remains 1,226,899 shares available for purchase under the 2010 Purchase Plan.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104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15.98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17.97</w:t>
            </w:r>
          </w:p>
        </w:tc>
      </w:tr>
      <w:tr>
        <w:trPr>
          <w:trHeight w:val="27"/>
        </w:trPr>
        <w:tc>
          <w:tcPr>
            <w:tcW w:w="7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2015, the total unamortized compensation cost related to employee purchases was $3.5 million, which we expect to recognize over a weighted average period of 0.9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Repurchase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52525"/>
        </w:rPr>
        <w:t xml:space="preserve">As part of our $300.0 million stock repurchase program, we </w:t>
      </w:r>
      <w:r>
        <w:rPr>
          <w:rFonts w:ascii="Arial" w:cs="Arial" w:eastAsia="Arial" w:hAnsi="Arial"/>
          <w:sz w:val="17"/>
          <w:szCs w:val="17"/>
          <w:color w:val="000000"/>
        </w:rPr>
        <w:t>entered into an accelerated share repurchase agreement ("ASR") with Goldman, Sachs &amp; Co.</w:t>
      </w:r>
      <w:r>
        <w:rPr>
          <w:rFonts w:ascii="Arial" w:cs="Arial" w:eastAsia="Arial" w:hAnsi="Arial"/>
          <w:sz w:val="17"/>
          <w:szCs w:val="17"/>
          <w:color w:val="252525"/>
        </w:rPr>
        <w:t xml:space="preserve"> </w:t>
      </w:r>
      <w:r>
        <w:rPr>
          <w:rFonts w:ascii="Arial" w:cs="Arial" w:eastAsia="Arial" w:hAnsi="Arial"/>
          <w:sz w:val="17"/>
          <w:szCs w:val="17"/>
          <w:color w:val="000000"/>
        </w:rPr>
        <w:t>on April 28, 2014 to repurchase $70.0 million of our common stock which was completed on July 2014. We received a total of approximately 1.4 million shares under the ASR for an average purchase price per share of $51.46, which all shares were retired. The final number of shares repurchased was based on our volume-weighted average stock price during the term of the transaction, less an agreed upon discount.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stock at an average price of $57.49 per share, including commission for an aggregate purchase price of approximately $1.8 million. All repurchased shares were retired. In January 2015, our Board of Directors has authorized the repurchase of the next $100.0 million under the repurchase program which we anticipate completing within twelve months. As of March 31, 2015, we have $200.0 million remaining under the April 2014 stock repurchase program.</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2015, a</w:t>
      </w:r>
      <w:r>
        <w:rPr>
          <w:rFonts w:ascii="Arial" w:cs="Arial" w:eastAsia="Arial" w:hAnsi="Arial"/>
          <w:sz w:val="18"/>
          <w:szCs w:val="18"/>
          <w:color w:val="252525"/>
        </w:rPr>
        <w:t>s part of our $300.0 million stock repurchase program, we</w:t>
      </w:r>
      <w:r>
        <w:rPr>
          <w:rFonts w:ascii="Arial" w:cs="Arial" w:eastAsia="Arial" w:hAnsi="Arial"/>
          <w:sz w:val="18"/>
          <w:szCs w:val="18"/>
          <w:color w:val="auto"/>
        </w:rPr>
        <w:t xml:space="preserve"> entered into an ASR to repurchase $70.0 million of our common stock. Under the terms of the ASR, we paid $70.0 million on April 29, 2015 and received an initial delivery of approximately 0.8 million shares based on current market prices. The final number of shares to be repurchased will be based on our volume-weighted average stock price during the term of the transaction, less an agreed upon discount. The ASR is expected to be completed by July 29,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$11.3 million and $10.0 million for the three months ended March 31, 2015 and 2014, respectively. This represents effective tax rates of 23.8% and 23.5%,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2015, we maintained a valuation allowance of $32.7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2015, the change in our gross unrecognized tax benefits was not material. The total amount of gross unrecognized tax benefits was $34.4 million as of March 31, 2015, all of which would impact our effective tax rate if recognized. We have elected to recognize interest and penalties related to unrecognized tax benefits as a component of income taxes. The change in accrued interest and penalties during the three months ended March 31, 2015 was not material. We do not expect any significant changes to the amount of unrecognized tax benefit within the next twelve months.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Subsequent to March 31, 2015, we were notified by the California Franchise Tax Board that they will be examining our income tax returns for the years ended December 31, 2011 and December 31, 2012.</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As a result of these incentives, our income taxes were reduced by $8.2 million and $7.6 million for the three months ended March 31, 2015 and 2014, respectively, representing a benefit to diluted net income per share of $0.10 and $0.09 in 2015 and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stock options, RSU, MSU and ESPP.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0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13335</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36,177</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32,444</w:t>
            </w:r>
          </w:p>
        </w:tc>
      </w:tr>
      <w:tr>
        <w:trPr>
          <w:trHeight w:val="67"/>
        </w:trPr>
        <w:tc>
          <w:tcPr>
            <w:tcW w:w="75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80,459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81,120</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1,697</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81,824</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82,817</w:t>
            </w:r>
          </w:p>
        </w:tc>
      </w:tr>
      <w:tr>
        <w:trPr>
          <w:trHeight w:val="67"/>
        </w:trPr>
        <w:tc>
          <w:tcPr>
            <w:tcW w:w="75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305"/>
        </w:trPr>
        <w:tc>
          <w:tcPr>
            <w:tcW w:w="75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540" w:type="dxa"/>
            <w:vAlign w:val="bottom"/>
          </w:tcPr>
          <w:p>
            <w:pPr>
              <w:ind w:left="720"/>
              <w:spacing w:after="0"/>
              <w:rPr>
                <w:sz w:val="20"/>
                <w:szCs w:val="20"/>
                <w:color w:val="auto"/>
              </w:rPr>
            </w:pPr>
            <w:r>
              <w:rPr>
                <w:rFonts w:ascii="Arial" w:cs="Arial" w:eastAsia="Arial" w:hAnsi="Arial"/>
                <w:sz w:val="18"/>
                <w:szCs w:val="18"/>
                <w:color w:val="auto"/>
              </w:rPr>
              <w:t>Net income per share, basic</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0.40</w:t>
            </w:r>
          </w:p>
        </w:tc>
      </w:tr>
      <w:tr>
        <w:trPr>
          <w:trHeight w:val="67"/>
        </w:trPr>
        <w:tc>
          <w:tcPr>
            <w:tcW w:w="75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56"/>
        </w:trPr>
        <w:tc>
          <w:tcPr>
            <w:tcW w:w="754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per share, diluted</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2015 and 2014, the anti-dilutive effect from stock options, RSU, MSU and ESPP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grouped our operations into two reportable segments which are also our reporting units: Clear Aligner segment and Scanner and Services segment.</w:t>
      </w:r>
    </w:p>
    <w:p>
      <w:pPr>
        <w:spacing w:after="0" w:line="170" w:lineRule="exact"/>
        <w:rPr>
          <w:sz w:val="20"/>
          <w:szCs w:val="20"/>
          <w:color w:val="auto"/>
        </w:rPr>
      </w:pPr>
    </w:p>
    <w:p>
      <w:pPr>
        <w:ind w:left="980" w:right="2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4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45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168,239</w:t>
            </w:r>
          </w:p>
        </w:tc>
        <w:tc>
          <w:tcPr>
            <w:tcW w:w="0" w:type="dxa"/>
            <w:vAlign w:val="bottom"/>
          </w:tcPr>
          <w:p>
            <w:pPr>
              <w:spacing w:after="0"/>
              <w:rPr>
                <w:sz w:val="1"/>
                <w:szCs w:val="1"/>
                <w:color w:val="auto"/>
              </w:rPr>
            </w:pPr>
          </w:p>
        </w:tc>
      </w:tr>
      <w:tr>
        <w:trPr>
          <w:trHeight w:val="243"/>
        </w:trPr>
        <w:tc>
          <w:tcPr>
            <w:tcW w:w="3500" w:type="dxa"/>
            <w:vAlign w:val="bottom"/>
          </w:tcPr>
          <w:p>
            <w:pPr>
              <w:ind w:left="360"/>
              <w:spacing w:after="0"/>
              <w:rPr>
                <w:sz w:val="20"/>
                <w:szCs w:val="20"/>
                <w:color w:val="auto"/>
              </w:rPr>
            </w:pPr>
            <w:r>
              <w:rPr>
                <w:rFonts w:ascii="Arial" w:cs="Arial" w:eastAsia="Arial" w:hAnsi="Arial"/>
                <w:sz w:val="18"/>
                <w:szCs w:val="18"/>
                <w:color w:val="auto"/>
              </w:rPr>
              <w:t>Scanner</w:t>
            </w: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11,057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45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180,646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4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147,960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133,083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4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41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151,090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137,251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160" w:type="dxa"/>
            <w:vAlign w:val="bottom"/>
            <w:vMerge w:val="restart"/>
          </w:tcPr>
          <w:p>
            <w:pPr>
              <w:jc w:val="right"/>
              <w:ind w:right="177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1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139,704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128,640</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37,391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19,737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14,615</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198,086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180,646</w:t>
            </w:r>
          </w:p>
        </w:tc>
      </w:tr>
      <w:tr>
        <w:trPr>
          <w:trHeight w:val="20"/>
        </w:trPr>
        <w:tc>
          <w:tcPr>
            <w:tcW w:w="76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-128905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2014</w:t>
            </w: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1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80,416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76,511</w:t>
            </w:r>
          </w:p>
        </w:tc>
      </w:tr>
      <w:tr>
        <w:trPr>
          <w:trHeight w:val="27"/>
        </w:trPr>
        <w:tc>
          <w:tcPr>
            <w:tcW w:w="7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6,229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874</w:t>
            </w:r>
          </w:p>
        </w:tc>
      </w:tr>
      <w:tr>
        <w:trPr>
          <w:trHeight w:val="27"/>
        </w:trPr>
        <w:tc>
          <w:tcPr>
            <w:tcW w:w="7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6,511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99,764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90,125</w:t>
            </w:r>
          </w:p>
        </w:tc>
      </w:tr>
      <w:tr>
        <w:trPr>
          <w:trHeight w:val="27"/>
        </w:trPr>
        <w:tc>
          <w:tcPr>
            <w:tcW w:w="7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the expected date our iTero Element Intraoral Scanner will be available, the effectiveness of our new training course and its impact on volumes,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w:t>
      </w:r>
    </w:p>
    <w:p>
      <w:pPr>
        <w:spacing w:after="0" w:line="2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 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Over the last several years’ we have continued to build upon our technology and expertise to deliver enhanced clinical innovations aimed at helping our customers treat some of the most challenging cases. These innovations, both launched in early 2014, include Invisalign G5, specifically designed for treatment of deep bite malocclusion, as well as ClinCheck Pro, the next generation Invisalign treatment software tool designed to help Invisalign providers achieve their treatment goals. Most recently, we began the initial commercialization of Invisalign G6 clinical innovations for first premolar extraction during the first quarter of 2015.</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March 2015, we announced our next generation iTero Element Intraoral Scanner which features a more compact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footprint, enhanced wand and multi-touch display and is engineered to enable faster scan speeds for more efficient, real-time clinical evaluation.</w:t>
      </w:r>
    </w:p>
    <w:p>
      <w:pPr>
        <w:spacing w:after="0" w:line="2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in an open systems approach to our technologies and are committed to working with other intra-oral scanning companies interested in developing interoperability for use with Invisalign treatment. In January 2014, we announced that the 3M™ True Definition scanner was qualified for use with Invisalign case submissions. This qualification enables Invisalign providers with a True Definition scanner to submit a digital impression in place of a traditional PVS impression as part of the Invisalign case submission process. In March 2015, we announced that the Sirona CEREC Omnicam with the new CEREC Ortho software 1.1 was qualified for use with Invisalign case submissions. The new CEREC Ortho software is expected to be rolled out in the summer of 2015. The 3M True Definition scanner and Sirona CEREC Omnicam scanner are the only third-party scanners that have been qualified for use with Invisalign treatment.</w:t>
      </w: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Invisalign System is offered in more than 80 countries and has been used to treat more than 3.0 million patients. Our iTero intra-oral scanner, which is primarily sold in North America, provides dental professionals with an open choice to send digital impressions to any laboratory-based CAD/CAM system or to any of the more than 3,060 dental labs worldwide.</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successful execution of our business strategy and our results in 2015 and beyond may be affected by a number of other factors including:</w:t>
      </w:r>
    </w:p>
    <w:p>
      <w:pPr>
        <w:spacing w:after="0" w:line="264" w:lineRule="exact"/>
        <w:rPr>
          <w:sz w:val="20"/>
          <w:szCs w:val="20"/>
          <w:color w:val="auto"/>
        </w:rPr>
      </w:pPr>
    </w:p>
    <w:p>
      <w:pPr>
        <w:jc w:val="both"/>
        <w:ind w:left="980" w:hanging="486"/>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Retirement of our CEO. </w:t>
      </w:r>
      <w:r>
        <w:rPr>
          <w:rFonts w:ascii="Arial" w:cs="Arial" w:eastAsia="Arial" w:hAnsi="Arial"/>
          <w:sz w:val="18"/>
          <w:szCs w:val="18"/>
          <w:color w:val="auto"/>
        </w:rPr>
        <w:t>We recently announced that our President and Chief Executive Officer ("CEO"), Thomas M. Prescott, will retire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June 1, 2015. Effective the same date, Joseph M. Hogan will join us as President and CEO, and will also serve as a Director on our Board. Mr. Prescott has served as our President and CEO for 13 years and has been instrumental in the development, implementation and execution of our strategy and operations. Mr. Prescott will continue to serve on our Board of Directors. While we expect to engage in an orderly transition with Mr. Hogan as our new CEO, our ability to execute our business strategies and retain key personnel may be adversely affected by the uncertainty associated with this transition.</w:t>
      </w:r>
    </w:p>
    <w:p>
      <w:pPr>
        <w:spacing w:after="0" w:line="382"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and Internationally in the first quarter of 2015, we launched ClinCheck Pro, the next generation Invisalign treatment software tool, designed to provide more precise control over final tooth position and to help Invisalign providers achieve their treatment goals. Invisalign G6 clinical innovations for premolar extraction became available to Invisalign-trained providers beginning in the first quarter of 2015 with limited commercialization. Full commercialization of Invisalign G6 in Europe, Middle East and Africa ("EMEA"), Asia Pacific, and Latin America geographies will occur throughout 2015 and in North America in early 2016. Invisalign G6 is engineered to improve clinical outcomes for orthodontic treatment of severe crowding and bimaxillary protrusion. Most recently, in March 2015, we announced the next generation iTero Element Intraoral Scanner with improved imaging technology that is designed to enable significantly faster scan speed, accuracy, intuitive operation, and visualization capabilities. Availability for the iTero Element Intraoral Scanner is expected in the second half of 2015.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4" w:lineRule="exact"/>
        <w:rPr>
          <w:rFonts w:ascii="Arial" w:cs="Arial" w:eastAsia="Arial" w:hAnsi="Arial"/>
          <w:sz w:val="16"/>
          <w:szCs w:val="16"/>
          <w:i w:val="1"/>
          <w:iCs w:val="1"/>
          <w:color w:val="auto"/>
        </w:rPr>
      </w:pPr>
    </w:p>
    <w:p>
      <w:pPr>
        <w:jc w:val="both"/>
        <w:ind w:left="9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243205</wp:posOffset>
            </wp:positionV>
            <wp:extent cx="5196840" cy="3302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6" w:hanging="133"/>
        <w:spacing w:after="0"/>
        <w:tabs>
          <w:tab w:leader="none" w:pos="1106" w:val="left"/>
        </w:tabs>
        <w:numPr>
          <w:ilvl w:val="0"/>
          <w:numId w:val="8"/>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486"/>
        <w:spacing w:after="0" w:line="287" w:lineRule="auto"/>
        <w:rPr>
          <w:sz w:val="20"/>
          <w:szCs w:val="20"/>
          <w:color w:val="auto"/>
        </w:rPr>
      </w:pPr>
      <w:r>
        <w:rPr>
          <w:rFonts w:ascii="Arial" w:cs="Arial" w:eastAsia="Arial" w:hAnsi="Arial"/>
          <w:sz w:val="16"/>
          <w:szCs w:val="16"/>
          <w:color w:val="auto"/>
        </w:rPr>
        <w:t>Total utilization in the first quarter of 2015 was 4.5 cases per doctor compared to 4.3 in the first quarter of 2014. Utilization among our North American orthodontist customers reached an all time high of 9.0 cases per doctor in the first quarter 2015 from 8.1 in the first quarter of 2014. International doctor utilization increased slightly to 4.4 in the first quarter of 2015 from 4.3 in the first quarter of 2014. North American GP doctor utilization was 2.9 in the first quarter of 2015 flat, with the first quarter of 2014.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We expect that over the long-term our utilization rates will gradually improve as a result of advancements in product and technology, which continue to strengthen our doctors’ clinical confidence in the use of Invisalign, along with the implementation of our Go-To-Market strategy (as discussed below); however, we expect that our utilization rates may fluctuate from period to period due to a variety of factors, including seasonal trends in our business along with adoption rates of new products and features.</w:t>
      </w:r>
    </w:p>
    <w:p>
      <w:pPr>
        <w:spacing w:after="0" w:line="173" w:lineRule="exact"/>
        <w:rPr>
          <w:sz w:val="20"/>
          <w:szCs w:val="20"/>
          <w:color w:val="auto"/>
        </w:rPr>
      </w:pPr>
    </w:p>
    <w:p>
      <w:pPr>
        <w:jc w:val="both"/>
        <w:ind w:left="486" w:hanging="486"/>
        <w:spacing w:after="0" w:line="270" w:lineRule="auto"/>
        <w:tabs>
          <w:tab w:leader="none" w:pos="48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2014,</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growth was driven primarily by increased utilization by our North American orthodontist doctors and International doctors as well as by the continued expansion of our customer base as we trained a total of 9,440 new Invisalign doctors, of which 56% were trained internationally. GPs are one of the keys to driving growth in the adult segment, and, in 2014, we launched Invisalign Fundamentals, a new training course, designed to improve practice integration and increase utilization for newly trained doctors. We have implemented this new Invisalign Fundamentals program across North America and will look for opportunities to adjust our international training programs as we work to help our GP practices worldwide more successfully adopt Invisalign into their practices. We believe that this new training approach has the potential to increase the number of doctors submitting cases 90-days post-training, as well as the number of cases submitted per doctor. During the first quarter of 2015, we trained 2,410 new Invisalign doctors.</w:t>
      </w:r>
    </w:p>
    <w:p>
      <w:pPr>
        <w:spacing w:after="0" w:line="181" w:lineRule="exact"/>
        <w:rPr>
          <w:rFonts w:ascii="Arial" w:cs="Arial" w:eastAsia="Arial" w:hAnsi="Arial"/>
          <w:sz w:val="17"/>
          <w:szCs w:val="17"/>
          <w:i w:val="1"/>
          <w:iCs w:val="1"/>
          <w:color w:val="auto"/>
        </w:rPr>
      </w:pPr>
    </w:p>
    <w:p>
      <w:pPr>
        <w:jc w:val="both"/>
        <w:ind w:left="486" w:hanging="486"/>
        <w:spacing w:after="0" w:line="259" w:lineRule="auto"/>
        <w:tabs>
          <w:tab w:leader="none" w:pos="48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Clear Aligner. </w:t>
      </w:r>
      <w:r>
        <w:rPr>
          <w:rFonts w:ascii="Arial" w:cs="Arial" w:eastAsia="Arial" w:hAnsi="Arial"/>
          <w:sz w:val="18"/>
          <w:szCs w:val="18"/>
          <w:color w:val="auto"/>
        </w:rPr>
        <w:t>We will continue to focus our efforts towards increasing adoption of our products by dental professionals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international markets. On a year over year basis, international volume increased 29.0% driven primarily by growth in Europe as well as by strong performance in the Asia Pacific region. In 2015, we are continuing to expand in our existing markets through targeted investments in sales coverage and professional</w:t>
      </w:r>
    </w:p>
    <w:p>
      <w:pPr>
        <w:spacing w:after="0" w:line="37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6"/>
          </w:cols>
          <w:pgMar w:left="734" w:top="1440" w:right="239" w:bottom="1440" w:gutter="0" w:footer="0" w:header="0"/>
        </w:sectPr>
      </w:pPr>
    </w:p>
    <w:bookmarkStart w:id="23" w:name="page24"/>
    <w:bookmarkEnd w:id="23"/>
    <w:p>
      <w:pPr>
        <w:jc w:val="both"/>
        <w:ind w:left="486"/>
        <w:spacing w:after="0" w:line="311" w:lineRule="auto"/>
        <w:rPr>
          <w:sz w:val="20"/>
          <w:szCs w:val="20"/>
          <w:color w:val="auto"/>
        </w:rPr>
      </w:pPr>
      <w:r>
        <w:rPr>
          <w:rFonts w:ascii="Arial" w:cs="Arial" w:eastAsia="Arial" w:hAnsi="Arial"/>
          <w:sz w:val="18"/>
          <w:szCs w:val="18"/>
          <w:color w:val="auto"/>
        </w:rPr>
        <w:t>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w:t>
      </w:r>
    </w:p>
    <w:p>
      <w:pPr>
        <w:spacing w:after="0" w:line="100" w:lineRule="exact"/>
        <w:rPr>
          <w:sz w:val="20"/>
          <w:szCs w:val="20"/>
          <w:color w:val="auto"/>
        </w:rPr>
      </w:pPr>
    </w:p>
    <w:p>
      <w:pPr>
        <w:jc w:val="both"/>
        <w:ind w:left="486" w:hanging="486"/>
        <w:spacing w:after="0" w:line="276" w:lineRule="auto"/>
        <w:tabs>
          <w:tab w:leader="none" w:pos="48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Go-To-Market Evolution. </w:t>
      </w:r>
      <w:r>
        <w:rPr>
          <w:rFonts w:ascii="Arial" w:cs="Arial" w:eastAsia="Arial" w:hAnsi="Arial"/>
          <w:sz w:val="17"/>
          <w:szCs w:val="17"/>
          <w:color w:val="auto"/>
        </w:rPr>
        <w:t>In order to provide more comprehensive sales and service coverage, we are currently implementing an updated go-to-market strategy with an expanded team and new structure in North America. In order to ensure our North America sales and marketing team can increase time in-office and help each practice become more successful, we are adding approximately 50 sales team members in 2015, the majority of which are in place as of the end of the first quarter. We believe that these investments in a refined go-to-market strategy and the strategic deployment of more people will improve adoption and utilization of Invisalign by our customers.</w:t>
      </w:r>
    </w:p>
    <w:p>
      <w:pPr>
        <w:spacing w:after="0" w:line="118" w:lineRule="exact"/>
        <w:rPr>
          <w:rFonts w:ascii="Arial" w:cs="Arial" w:eastAsia="Arial" w:hAnsi="Arial"/>
          <w:sz w:val="17"/>
          <w:szCs w:val="17"/>
          <w:color w:val="auto"/>
        </w:rPr>
      </w:pPr>
    </w:p>
    <w:p>
      <w:pPr>
        <w:ind w:left="486" w:hanging="486"/>
        <w:spacing w:after="0"/>
        <w:tabs>
          <w:tab w:leader="none" w:pos="48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2015 compared to 2014 due in part to:</w:t>
      </w:r>
    </w:p>
    <w:p>
      <w:pPr>
        <w:spacing w:after="0" w:line="171" w:lineRule="exact"/>
        <w:rPr>
          <w:rFonts w:ascii="Arial" w:cs="Arial" w:eastAsia="Arial" w:hAnsi="Arial"/>
          <w:sz w:val="18"/>
          <w:szCs w:val="18"/>
          <w:i w:val="1"/>
          <w:iCs w:val="1"/>
          <w:color w:val="auto"/>
        </w:rPr>
      </w:pPr>
    </w:p>
    <w:p>
      <w:pPr>
        <w:ind w:left="966" w:right="20" w:hanging="236"/>
        <w:spacing w:after="0" w:line="277" w:lineRule="auto"/>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increase in North American sales force coverage discussed above, as well as additions to our sales force in EMEA and Asia Pacific regions</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infrastructure investments, including a project to implement a new enterprise resource planning system which we started in late 2014 with expected "go-live" for various modules and subsidiaries throughout 2016; and</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investments in new products and markets like our recently announced intention to develop new products for dentists who treat mild to moderate obstructive sleep apnea with oral appliance therapy.</w:t>
      </w:r>
    </w:p>
    <w:p>
      <w:pPr>
        <w:spacing w:after="0" w:line="116" w:lineRule="exact"/>
        <w:rPr>
          <w:sz w:val="20"/>
          <w:szCs w:val="20"/>
          <w:color w:val="auto"/>
        </w:rPr>
      </w:pPr>
    </w:p>
    <w:p>
      <w:pPr>
        <w:ind w:left="486"/>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486" w:hanging="486"/>
        <w:spacing w:after="0" w:line="257" w:lineRule="auto"/>
        <w:tabs>
          <w:tab w:leader="none" w:pos="48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Invisalign Selling Price. </w:t>
      </w:r>
      <w:r>
        <w:rPr>
          <w:rFonts w:ascii="Arial" w:cs="Arial" w:eastAsia="Arial" w:hAnsi="Arial"/>
          <w:sz w:val="18"/>
          <w:szCs w:val="18"/>
          <w:color w:val="auto"/>
        </w:rPr>
        <w:t>We have historically invested in research and development and continuous product innovation.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and even accelerate this product innovation cycle, we recently announced a price increase of approximately 3% on Invisalign Full and Invisalign Teen products. In North America, the increase is $50 per treatment effective April 1, 2015, and internationally, the price increase is 50 euros per treatment, effective July 1, 2015. The prices for Invisalign Assist, Invisalign Express 10 and Invisalign Express 5/Lite products will remain unchanged.</w:t>
      </w:r>
    </w:p>
    <w:p>
      <w:pPr>
        <w:spacing w:after="0" w:line="134" w:lineRule="exact"/>
        <w:rPr>
          <w:rFonts w:ascii="Arial" w:cs="Arial" w:eastAsia="Arial" w:hAnsi="Arial"/>
          <w:sz w:val="18"/>
          <w:szCs w:val="18"/>
          <w:color w:val="auto"/>
        </w:rPr>
      </w:pPr>
    </w:p>
    <w:p>
      <w:pPr>
        <w:jc w:val="both"/>
        <w:ind w:left="486" w:hanging="486"/>
        <w:spacing w:after="0" w:line="253" w:lineRule="auto"/>
        <w:tabs>
          <w:tab w:leader="none" w:pos="48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 In the first quarter of 2015, our net revenues were negatively impacted by $4.2 million in comparison to the fourth quarter of 2014, and we incurred foreign currency translation net losses of $1.7 million in Interest and Other Income (Expense) net, primarily due to the weakening of the Euro and other foreign currencies relative to the U.S. Dollar. If the U.S. Dollar continues to strengthen compared to other foreign currencies, including the Euro, our reported amount of net revenues and income will be negatively impacted compared to the same period last year.</w:t>
      </w:r>
    </w:p>
    <w:p>
      <w:pPr>
        <w:spacing w:after="0" w:line="140" w:lineRule="exact"/>
        <w:rPr>
          <w:rFonts w:ascii="Arial" w:cs="Arial" w:eastAsia="Arial" w:hAnsi="Arial"/>
          <w:sz w:val="18"/>
          <w:szCs w:val="18"/>
          <w:i w:val="1"/>
          <w:iCs w:val="1"/>
          <w:color w:val="auto"/>
        </w:rPr>
      </w:pPr>
    </w:p>
    <w:p>
      <w:pPr>
        <w:jc w:val="both"/>
        <w:ind w:left="486" w:hanging="486"/>
        <w:spacing w:after="0" w:line="272" w:lineRule="auto"/>
        <w:tabs>
          <w:tab w:leader="none" w:pos="48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Medical Device Excise Tax</w:t>
      </w:r>
      <w:r>
        <w:rPr>
          <w:rFonts w:ascii="Arial" w:cs="Arial" w:eastAsia="Arial" w:hAnsi="Arial"/>
          <w:sz w:val="17"/>
          <w:szCs w:val="17"/>
          <w:color w:val="auto"/>
        </w:rPr>
        <w:t>. During March 2014, Align had extensive discussions with the IRS and they informed us that our aligners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medical device excise tax ("MDET") which we had been paying and expensing in selling, general and administrative expenses in the consolidated statements of operations since January 1, 2013; however, our scanners are still subject to the MDET. As a result of these discussions, beginning in March 2014, we ceased expensing and paying the MDET for aligners. In June 2014, we received a $1.2 million refund for MDET paid in 2014 related to our aligners which reduced selling, general and administrative expenses for the three months ended June 30, 2014. In the current quarter, the IRS approved our refund claim of $6.8 million MDET paid in 2013 related to our aligners, and we have recorded a receivable in Prepaid Expenses and Other Current Assets as of March 31, 2015.</w:t>
      </w:r>
    </w:p>
    <w:p>
      <w:pPr>
        <w:spacing w:after="0" w:line="123" w:lineRule="exact"/>
        <w:rPr>
          <w:rFonts w:ascii="Arial" w:cs="Arial" w:eastAsia="Arial" w:hAnsi="Arial"/>
          <w:sz w:val="17"/>
          <w:szCs w:val="17"/>
          <w:i w:val="1"/>
          <w:iCs w:val="1"/>
          <w:color w:val="auto"/>
        </w:rPr>
      </w:pPr>
    </w:p>
    <w:p>
      <w:pPr>
        <w:jc w:val="both"/>
        <w:ind w:left="486" w:hanging="486"/>
        <w:spacing w:after="0" w:line="276" w:lineRule="auto"/>
        <w:tabs>
          <w:tab w:leader="none" w:pos="486"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Stock Repurchase Authorization. </w:t>
      </w:r>
      <w:r>
        <w:rPr>
          <w:rFonts w:ascii="Arial" w:cs="Arial" w:eastAsia="Arial" w:hAnsi="Arial"/>
          <w:sz w:val="17"/>
          <w:szCs w:val="17"/>
          <w:color w:val="auto"/>
        </w:rPr>
        <w:t>On April 23, 2014, we announced that our Board of Directors had authorized a stock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w:t>
      </w:r>
    </w:p>
    <w:p>
      <w:pPr>
        <w:spacing w:after="0" w:line="36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734" w:top="395" w:right="239" w:bottom="1440" w:gutter="0" w:footer="0" w:header="0"/>
        </w:sectPr>
      </w:pPr>
    </w:p>
    <w:bookmarkStart w:id="24" w:name="page25"/>
    <w:bookmarkEnd w:id="24"/>
    <w:p>
      <w:pPr>
        <w:jc w:val="both"/>
        <w:ind w:left="980"/>
        <w:spacing w:after="0" w:line="323" w:lineRule="auto"/>
        <w:rPr>
          <w:sz w:val="20"/>
          <w:szCs w:val="20"/>
          <w:color w:val="auto"/>
        </w:rPr>
      </w:pPr>
      <w:r>
        <w:rPr>
          <w:rFonts w:ascii="Arial" w:cs="Arial" w:eastAsia="Arial" w:hAnsi="Arial"/>
          <w:sz w:val="17"/>
          <w:szCs w:val="17"/>
          <w:color w:val="auto"/>
        </w:rPr>
        <w:t xml:space="preserve">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7"/>
          <w:szCs w:val="17"/>
          <w:color w:val="252525"/>
        </w:rPr>
        <w:t>authorization or continuance of any repurchases under stock repurchase programs is contingent on a variety of factors,</w:t>
      </w:r>
      <w:r>
        <w:rPr>
          <w:rFonts w:ascii="Arial" w:cs="Arial" w:eastAsia="Arial" w:hAnsi="Arial"/>
          <w:sz w:val="17"/>
          <w:szCs w:val="17"/>
          <w:color w:val="auto"/>
        </w:rPr>
        <w:t xml:space="preserve"> </w:t>
      </w:r>
      <w:r>
        <w:rPr>
          <w:rFonts w:ascii="Arial" w:cs="Arial" w:eastAsia="Arial" w:hAnsi="Arial"/>
          <w:sz w:val="17"/>
          <w:szCs w:val="17"/>
          <w:color w:val="252525"/>
        </w:rPr>
        <w:t>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w:t>
      </w:r>
    </w:p>
    <w:p>
      <w:pPr>
        <w:spacing w:after="0" w:line="96"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In January 2015, we repurchased approximately $1.8 million, completing the first $100.0 million under the program, and our Board of Directors authorized the repurchase of the next $100.0 million under the repurchase program which we anticipate completing within twelve months. As of March 31, 2015, there is $200.0 million remaining under the April 2014 stock repurchase program.</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2015, a</w:t>
      </w:r>
      <w:r>
        <w:rPr>
          <w:rFonts w:ascii="Arial" w:cs="Arial" w:eastAsia="Arial" w:hAnsi="Arial"/>
          <w:sz w:val="18"/>
          <w:szCs w:val="18"/>
          <w:color w:val="252525"/>
        </w:rPr>
        <w:t>s part of our $300.0 million stock repurchase program,</w:t>
      </w:r>
      <w:r>
        <w:rPr>
          <w:rFonts w:ascii="Arial" w:cs="Arial" w:eastAsia="Arial" w:hAnsi="Arial"/>
          <w:sz w:val="18"/>
          <w:szCs w:val="18"/>
          <w:color w:val="auto"/>
        </w:rPr>
        <w:t xml:space="preserve"> we entered into an accelerated share repurchase agreement ("ASR") to repurchase $70.0 million of our common stock. Under the terms of the ASR, we paid $70.0 million on April 29, 2015 and received an initial delivery of approximately 0.8 million shares based on current market prices. The final number of shares to be repurchased will be based on our volume-weighted average stock price during the term of the transaction, less an agreed upon discount. We expect to finance the ASR with current cash on hand and for it to be completed by July 29,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and Services segment.</w:t>
      </w:r>
    </w:p>
    <w:p>
      <w:pPr>
        <w:spacing w:after="0" w:line="225" w:lineRule="exact"/>
        <w:rPr>
          <w:sz w:val="20"/>
          <w:szCs w:val="20"/>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revenues for our Clear Aligner segment by region and product and our Scanner segment by region for the three months ended March 31, 2015 and 2014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Net</w:t>
            </w:r>
          </w:p>
        </w:tc>
        <w:tc>
          <w:tcPr>
            <w:tcW w:w="8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Case volume data which represents Invisalign case shipments by region and product, for the three months ended March 31, 2015 and 2014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Pr>
          <w:p>
            <w:pPr>
              <w:jc w:val="right"/>
              <w:ind w:right="1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revenues increased by $17.4 million for the three months ended March 31, 2015 as compared to the same period in 2014, primarily as a result of Invisalign case volume growth across all regions and most products.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months ended March 31, 2015, Clear Aligner North America net revenues increased by $10.9 million or 10.1% compared to the same period in 2014 primarily due to Invisalign case volume growth of approximately $13.2 million across all channels and products. This increase was offset in part by lower average selling prices ("ASP") which decreased net revenues by approximately $2.3 million. The decrease in ASP was primarily a result of higher promotional discounts in the current period compared to the same period in the prior year.</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three months ended March 31, 2015, Clear Aligner international net revenues increased by $6.1 million or 12.2% compared to the same period in 2014 primarily driven by Invisalign case volume growth of $14.5 million across all products. This was offset by lower ASP which decreased net revenues by approximately $8.4 million. The decrease in ASP was primarily a result of the unfavorable impact from foreign exchange rates due to the weakening of the Euro compared to the U.S. dollar in the current period compared to the same period in the prior year.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three months ended March 31, 2015, Invisalign non-case net revenues, consisting of training fees and ancillary product revenues, increased by $1.8 million or 17.1% compared to the same period in 2014 primarily due to increased Vivera volume both in North America and International.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Scanner and Services net revenues decreased $1.4 million or 11.3% for the three months ended March 31, 2015 compared to the same period in 2014. The decrease was primarily due to a decrease in scanner revenues primarily due to lower scanner ASP as a result of the permanent price reduction as well as a slight decline in the number of scanners recognized. This decrease was offset in part by an increase in services revenues as a result of a larger scanner install base.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9"/>
        </w:trPr>
        <w:tc>
          <w:tcPr>
            <w:tcW w:w="832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6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83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83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3.6</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6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was flat for the three months ended March 31, 2015 compared to the same period in 2014 due to lower ASP which was offset by higher manufacturing costs from higher case volumes.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decreased for the three months ended March 31, 2015 compared to the same period in 2014 due to lower ASP from permanent price reductions which was partially offset by higher absorption of manufacturing spend from an increase in production volumes.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for the first quarter of 2015, we are combining Sales and Marketing and General and Administrative together to report as Selling, General and Administrative.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i w:val="1"/>
                <w:iCs w:val="1"/>
                <w:color w:val="auto"/>
                <w:w w:val="97"/>
              </w:rPr>
              <w:t>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Selling, general and administrative expense for the three months ended March 31, 2015 increased compared to the same period in 2014 primarily due to higher compensation related costs of $8.9 million as a result of increased headcount, higher salaries from our annual focal review and higher stock-based compensation. In addition, consulting expense increased primarily due to our</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enterprise resource planning "ERP" project along with litigation costs. We also increased media and public relations costs due to additional media coverage and campaigns. In the current quarter, the IRS approved our refund claim of $6.8 million MDET paid in 2013 related to our aligners, and we have recorded a receivable in Prepaid Expenses and Other Current Assets, reducing our expense. In addition, as previously noted, in March 2014, the IRS informed us that our aligners are not subject to the MDET, which we had been paying and expensing in Selling, General and Administrative expenses since January 1, 2013; however, our scanners are still subject to the MDET. As a result of these discussions, beginning in March 2014, we ceased expensing and paying the MDET for aligners; however, the three months ended March 31, 2014 included $1.2 million of 2014 MDET expense prior to us ceasing expensing in March 2014.</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for the three months ended March 31, 2015 increased compared to the same period in 2014 due to our continued investment in new products and consulting services; however, these costs were partially offset by lower compensation costs due to lower incentive bonuses during the current quarter.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8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and other miscellaneous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for the three months ended March 31, 2015 decreased compared to the same period in 2014 due to higher foreign exchange losses in the current year period primarily as a result of the strengthening of the U.S. dollar to the Euro.</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$11.3 million and $10.0 million for the three months ended March 31, 2015 and 2014, respectively. This represents effective tax rates of 23.8% and 23.5%,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2015, we maintained a valuation allowance of $32.7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2015, the change in our gross unrecognized tax benefits was not material. The total amount of gross unrecognized tax benefits was $34.4 million as of March 31, 2015, all of which would impact our effective tax rate if recognized. We have elected to recognize interest and penalties related to unrecognized tax benefits as a component of income taxes. The change in accrued interest and penalties during the three months ended March 31, 2015 was not material. We do not expect any significant changes to the amount of unrecognized tax benefit within the next twelve months.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Subsequent to the end of the quarter ended March 31, 2015, we were notified by the California Franchise Tax Board that they will be examining our income tax returns for the years ended December 31, 2011 and December 31, 2012.</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As a result of these incentives, our income taxes were reduced by $8.2 million and $7.6 million for the three months ended March 31, 2015 and 2014, respectively, representing a benefit to diluted net income per share of $0.10 and $0.09 in 2015 and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March 31, 2015 and December 31, 2014, we had the following cash, cash equivalents, and short-term and long-term marketable securities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189,978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254,823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168,171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612,972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602,550</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35,645</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2015, we had $613.0 million of cash, cash equivalents and short-term and long-term marketable securities. Cash equivalents and marketable securities are comprised of money market funds and debt instruments which include corporate bonds, U.S. dollar dominated foreign corporate bonds, commercial paper, municipal securities, U.S. government agency bonds, U.S. government treasury bonds, certificates of deposit, agency discount notes and asset-backed securities.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2015, approximately $363.9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On April 23, 2014, we announced that our Board of Directors had authorized a stock repurchase program 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part of this repurchase program, </w:t>
      </w:r>
      <w:r>
        <w:rPr>
          <w:rFonts w:ascii="Arial" w:cs="Arial" w:eastAsia="Arial" w:hAnsi="Arial"/>
          <w:sz w:val="16"/>
          <w:szCs w:val="16"/>
          <w:color w:val="252525"/>
        </w:rPr>
        <w:t>on April 28, 2014, we</w:t>
      </w:r>
      <w:r>
        <w:rPr>
          <w:rFonts w:ascii="Arial" w:cs="Arial" w:eastAsia="Arial" w:hAnsi="Arial"/>
          <w:sz w:val="16"/>
          <w:szCs w:val="16"/>
          <w:color w:val="auto"/>
        </w:rPr>
        <w:t xml:space="preserve"> entered into an accelerated share repurchase agreement ("ASR") with Goldman, Sachs &amp; Co. to repurchase $70.0 million of our common stock which was completed on July 29, 2014. We received a total of 1.4 million shares under the ASR for an average purchase price per share of $51.46. The final number of shares repurchased was based on our volume-weighted average stock price during the term of the transaction, less an agreed upon discount. In addition, 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shares at an average price of $57.49 per share, including commissions, or an aggregate purchase price of approximately $1.8 million. All repurchased shares were retired. In January 2015, our Board of Directors has authorized the repurchase of the next $100.0 million under the repurchase program to be repurchased which we anticipate completing within twelve months. As of March 31, 2015, we have $200.0 million remaining under the April 2014 stock repurchase program. </w:t>
      </w:r>
      <w:r>
        <w:rPr>
          <w:rFonts w:ascii="Arial" w:cs="Arial" w:eastAsia="Arial" w:hAnsi="Arial"/>
          <w:sz w:val="16"/>
          <w:szCs w:val="16"/>
          <w:color w:val="252525"/>
        </w:rPr>
        <w:t>On April 28, 2015, we</w:t>
      </w:r>
      <w:r>
        <w:rPr>
          <w:rFonts w:ascii="Arial" w:cs="Arial" w:eastAsia="Arial" w:hAnsi="Arial"/>
          <w:sz w:val="16"/>
          <w:szCs w:val="16"/>
          <w:color w:val="auto"/>
        </w:rPr>
        <w:t xml:space="preserve"> announced that we entered into an ASR to repurchase $70.0 million of our common stock. Under the terms of the ASR, we paid $70.0 million on April 29, 2015 and received an initial delivery of approximately 0.8 million shares based on current market prices. The final number of shares to be repurchased will be based on our volume-weighted average stock price during the term of the transaction, less an agreed upon discount. We expect to finance the ASR with current cash on hand and for it to be completed by July 29, 2015.</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March 31, 2015, we had no outstanding borrowings under this credit facility and were in compliance with the conditions and performance requirements.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2015, cash flows from operations of $35.6 million resulted primarily from our net income of approximately $36.2 million as well as the following: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 of $11.6 million related to equity incentive compensation awards granted to our employees, and</w:t>
      </w:r>
    </w:p>
    <w:p>
      <w:pPr>
        <w:spacing w:after="0" w:line="23"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and amortization of $4.3 million related to our fixed assets and acquired intangible assets, offset in part by</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$4.8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$12.2 million in accounts receivable which is a result of the increase in net revenues, and</w:t>
      </w:r>
    </w:p>
    <w:p>
      <w:pPr>
        <w:spacing w:after="0" w:line="2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$10.5 million in prepaid expenses and other current assets primarily due to the MDET receivable from the IRS, offset in part by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$6.0 million in deferred revenues corresponding to the increases in revenues.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$36.7 million for the three months ended March 31, 2015 primarily consisting of purchases of marketable securities of $113.5 million, and property, plant and equipment purchases of $15.6 million. These outflows were partially offset by $92.4 million of maturities and sales of our marketable securities.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remainder of 2015, we expect to spend an additional $50.0 million to $60.0 million on capital expenditures for estimated total capital expenditures of $65.0 million to $75.0 million for 2015 primarily for additional manufacturing capacity and infrastructure including a project to implement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$7.1 million for the three months ended March 31, 2015 primarily resulting from $14.6 million related to payroll taxes paid for vesting of restricted stock units through share withholdings and $1.8 million for the repurchase of our common stock. These outflows were offset in part by $4.6 million in proceeds from issuance of common stock and $4.8 million from excess tax benefits from our share-based compensation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contractual obligations have not significantly changed since December 31, 2014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2015,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2015, we did not have any material indemnification claims that were probable or reasonably possible.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2014:</w:t>
      </w:r>
    </w:p>
    <w:p>
      <w:pPr>
        <w:spacing w:after="0" w:line="114"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2014, which is incorporated herein by reference. Our exposure to market risk has not changed materially since December 31, 2014.</w:t>
      </w:r>
    </w:p>
    <w:p>
      <w:pPr>
        <w:spacing w:after="0" w:line="200" w:lineRule="exact"/>
        <w:rPr>
          <w:sz w:val="20"/>
          <w:szCs w:val="20"/>
          <w:color w:val="auto"/>
        </w:rPr>
      </w:pPr>
    </w:p>
    <w:p>
      <w:pPr>
        <w:spacing w:after="0" w:line="22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2015,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86"/>
        <w:spacing w:after="0" w:line="302" w:lineRule="auto"/>
        <w:rPr>
          <w:sz w:val="20"/>
          <w:szCs w:val="20"/>
          <w:color w:val="auto"/>
        </w:rPr>
      </w:pPr>
      <w:r>
        <w:rPr>
          <w:rFonts w:ascii="Arial" w:cs="Arial" w:eastAsia="Arial" w:hAnsi="Arial"/>
          <w:sz w:val="16"/>
          <w:szCs w:val="16"/>
          <w:color w:val="auto"/>
        </w:rPr>
        <w:t>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implement an effective hedge program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24 months to treat a patient, our customers may be unwilling to rapidly adopt our new products until they successfully complete at least one case or until more historical clinical results are available.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247"/>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Currently, our products compete directly against products manufactured and distributed by various companies, both within and outside the U.S. Many of these manufacturers, including Danaher Corporation, 3M, Sirona Dental Systems, Inc. and Dentsply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b w:val="1"/>
          <w:bCs w:val="1"/>
          <w:i w:val="1"/>
          <w:iCs w:val="1"/>
          <w:color w:val="auto"/>
        </w:rPr>
        <w:t>Our success depends in part on competitive position may be harmed. operations and stock price.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b w:val="1"/>
          <w:bCs w:val="1"/>
          <w:i w:val="1"/>
          <w:iCs w:val="1"/>
          <w:color w:val="auto"/>
        </w:rPr>
        <w:t>our proprietary technology, and if we are unable to successfully enforce our intellectual property rights, our Litigating claims of this type is costly and could distract our management and cause a decline in our results of</w:t>
      </w:r>
    </w:p>
    <w:p>
      <w:pPr>
        <w:spacing w:after="0" w:line="272" w:lineRule="exact"/>
        <w:rPr>
          <w:sz w:val="20"/>
          <w:szCs w:val="20"/>
          <w:color w:val="auto"/>
        </w:rPr>
      </w:pPr>
    </w:p>
    <w:p>
      <w:pPr>
        <w:sectPr>
          <w:pgSz w:w="11900" w:h="16838" w:orient="portrait"/>
          <w:cols w:equalWidth="0" w:num="2">
            <w:col w:w="2780" w:space="40"/>
            <w:col w:w="8600"/>
          </w:cols>
          <w:pgMar w:left="240" w:top="125" w:right="239" w:bottom="1440" w:gutter="0" w:footer="0" w:header="0"/>
          <w:type w:val="continuous"/>
        </w:sectPr>
      </w:pPr>
    </w:p>
    <w:p>
      <w:pPr>
        <w:jc w:val="both"/>
        <w:ind w:firstLine="324"/>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2015, we had issued 357 U.S. patents, 104 pending U.S. patent applications, and 261 foreign issued patents, and 117 pending foreign patent applications.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 In addition, in March 2015, we announced Thomas M. Prescott's retirement as CEO effective June 1, 2015. While we also announced the appointment of Joseph M. Hogan as President and CEO effective that same date, and we expect to engage in an orderly transition, our ability to execute our business strategies and retain key personnel may be adversely affected by uncertainty associated with this transition.</w:t>
      </w:r>
    </w:p>
    <w:p>
      <w:pPr>
        <w:spacing w:after="0" w:line="185" w:lineRule="exact"/>
        <w:rPr>
          <w:sz w:val="20"/>
          <w:szCs w:val="20"/>
          <w:color w:val="auto"/>
        </w:rPr>
      </w:pPr>
    </w:p>
    <w:p>
      <w:pPr>
        <w:jc w:val="both"/>
        <w:ind w:right="20" w:firstLine="365"/>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March 31, 2015, our North American sales organization consisted of approximately 310 people. Internationally, we had approximately 180 people engaged in direct sales and sales support as of March 31, 2015.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Medical Device Excise Tax ("MDET") applies to most medical devices, including our products, which could have a material, negative impact on our results of operations and our cash flows.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March 2014, Align had extensive discussions with the IRS and they informed us that our aligners are not subject to the MDET; however, our scanners are still subject to the MDET. As a result of these discussions, beginning in March 2014, we ceased expensing and paying the MDET for aligners, which reduced our selling, general and administrative expense for the year ended December 31, 2014 by approximately $6.8 million compared to the prior year period. Additionally, we are in process of receiving a $6.8 million refund of MDET paid in 2013 related to our aligners; this claim has been examined by the IRS, we have now recorded a receivable in Prepaid Expenses and Other Current Assets as of March 31, 2015. The MDET is included in selling, general and administrative expenses in the consolidated statements of operations.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As a result of these incentives, our income taxes were reduced by $8.2 million and $7.6 million for the three months ended March 31, 2015 and 2014, respectively, representing a benefit to diluted net income per share of $0.10 and $0.09 in 2015 and 2014, respectively. Our subsidiary in Israel is under audit by the local tax authorities for calendar years 2006 through 2012. Subsequent to March 31, 2015, we were notified by the California Franchise Tax Board that they will be examining our income tax returns for the years ended December 31, 2011 and December 31, 2012.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March 31,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Shares Repurchased as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360" w:type="dxa"/>
            <w:vAlign w:val="bottom"/>
            <w:vMerge w:val="restart"/>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2"/>
                <w:szCs w:val="12"/>
                <w:color w:val="auto"/>
              </w:rPr>
            </w:pPr>
          </w:p>
        </w:tc>
        <w:tc>
          <w:tcPr>
            <w:tcW w:w="1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 xml:space="preserve">Paid per Share </w:t>
            </w:r>
            <w:r>
              <w:rPr>
                <w:rFonts w:ascii="Arial" w:cs="Arial" w:eastAsia="Arial" w:hAnsi="Arial"/>
                <w:sz w:val="8"/>
                <w:szCs w:val="8"/>
                <w:b w:val="1"/>
                <w:bCs w:val="1"/>
                <w:color w:val="auto"/>
                <w:w w:val="94"/>
              </w:rPr>
              <w:t>(2)</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2015 through January 31, 2015</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30,962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57.49</w:t>
            </w: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30,962</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199,988,318</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3" w:lineRule="auto"/>
        <w:tabs>
          <w:tab w:leader="none" w:pos="393" w:val="left"/>
        </w:tabs>
        <w:numPr>
          <w:ilvl w:val="0"/>
          <w:numId w:val="30"/>
        </w:numPr>
        <w:rPr>
          <w:rFonts w:ascii="Arial" w:cs="Arial" w:eastAsia="Arial" w:hAnsi="Arial"/>
          <w:sz w:val="22"/>
          <w:szCs w:val="22"/>
          <w:b w:val="1"/>
          <w:bCs w:val="1"/>
          <w:color w:val="auto"/>
          <w:vertAlign w:val="superscript"/>
        </w:rPr>
      </w:pPr>
      <w:r>
        <w:rPr>
          <w:rFonts w:ascii="Arial" w:cs="Arial" w:eastAsia="Arial" w:hAnsi="Arial"/>
          <w:sz w:val="16"/>
          <w:szCs w:val="16"/>
          <w:color w:val="auto"/>
        </w:rPr>
        <w:t>On April 23, 2014, we announced that our Board of Directors had authorized a stock repurchase program pursuant to which we may purchase up to $300.0 million of our common stock over three years, with $100.0 million of that amount authorized to be purchased over the first twelve months. In January 2015, we completed the repurchase of the first $100.0 million and our Board of Directors authorized the next $100.0 million under the program to be repurchased which we anticipate completing within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67" w:lineRule="exact"/>
        <w:rPr>
          <w:rFonts w:ascii="Arial" w:cs="Arial" w:eastAsia="Arial" w:hAnsi="Arial"/>
          <w:sz w:val="22"/>
          <w:szCs w:val="22"/>
          <w:b w:val="1"/>
          <w:bCs w:val="1"/>
          <w:color w:val="auto"/>
          <w:vertAlign w:val="superscript"/>
        </w:rPr>
      </w:pPr>
    </w:p>
    <w:p>
      <w:pPr>
        <w:ind w:left="380" w:hanging="372"/>
        <w:spacing w:after="0"/>
        <w:tabs>
          <w:tab w:leader="none" w:pos="3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Average price per share includes commissions.</w:t>
      </w:r>
    </w:p>
    <w:p>
      <w:pPr>
        <w:spacing w:after="0" w:line="38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0"/>
              </w:rPr>
              <w:t>Fixed Dollar Accelerated Repurchase Transaction Agreement dated April 28,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6"/>
              </w:rPr>
              <w:t>Amended and Restated Chief Executive Officer Employment Agreement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between Align Technology, Inc. and Joseph M. Hogan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and Chief Financial Officer pursuant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3"/>
          </w:tcPr>
          <w:p>
            <w:pPr>
              <w:ind w:left="46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20" w:type="dxa"/>
            <w:vAlign w:val="bottom"/>
            <w:gridSpan w:val="2"/>
            <w:vMerge w:val="restart"/>
          </w:tcPr>
          <w:p>
            <w:pPr>
              <w:jc w:val="center"/>
              <w:ind w:left="112"/>
              <w:spacing w:after="0"/>
              <w:rPr>
                <w:sz w:val="20"/>
                <w:szCs w:val="20"/>
                <w:color w:val="auto"/>
              </w:rPr>
            </w:pPr>
            <w:r>
              <w:rPr>
                <w:rFonts w:ascii="Arial" w:cs="Arial" w:eastAsia="Arial" w:hAnsi="Arial"/>
                <w:sz w:val="14"/>
                <w:szCs w:val="14"/>
                <w:b w:val="1"/>
                <w:bCs w:val="1"/>
                <w:color w:val="auto"/>
                <w:w w:val="93"/>
              </w:rPr>
              <w:t>Filed here with</w:t>
            </w:r>
          </w:p>
        </w:tc>
        <w:tc>
          <w:tcPr>
            <w:tcW w:w="0" w:type="dxa"/>
            <w:vAlign w:val="bottom"/>
          </w:tcPr>
          <w:p>
            <w:pPr>
              <w:spacing w:after="0"/>
              <w:rPr>
                <w:sz w:val="1"/>
                <w:szCs w:val="1"/>
                <w:color w:val="auto"/>
              </w:rPr>
            </w:pPr>
          </w:p>
        </w:tc>
      </w:tr>
      <w:tr>
        <w:trPr>
          <w:trHeight w:val="129"/>
        </w:trPr>
        <w:tc>
          <w:tcPr>
            <w:tcW w:w="11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2">
            <w:col w:w="6760" w:space="560"/>
            <w:col w:w="404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8060" w:type="dxa"/>
            <w:vAlign w:val="bottom"/>
            <w:gridSpan w:val="2"/>
          </w:tcPr>
          <w:p>
            <w:pPr>
              <w:ind w:left="2300"/>
              <w:spacing w:after="0"/>
              <w:rPr>
                <w:sz w:val="20"/>
                <w:szCs w:val="20"/>
                <w:color w:val="auto"/>
              </w:rPr>
            </w:pPr>
            <w:r>
              <w:rPr>
                <w:rFonts w:ascii="Arial" w:cs="Arial" w:eastAsia="Arial" w:hAnsi="Arial"/>
                <w:sz w:val="18"/>
                <w:szCs w:val="18"/>
                <w:color w:val="auto"/>
              </w:rPr>
              <w:t>ALIGN TECHNOLOGY, INC.</w:t>
            </w:r>
          </w:p>
        </w:tc>
      </w:tr>
      <w:tr>
        <w:trPr>
          <w:trHeight w:val="594"/>
        </w:trPr>
        <w:tc>
          <w:tcPr>
            <w:tcW w:w="3320" w:type="dxa"/>
            <w:vAlign w:val="bottom"/>
          </w:tcPr>
          <w:p>
            <w:pPr>
              <w:spacing w:after="0"/>
              <w:rPr>
                <w:sz w:val="20"/>
                <w:szCs w:val="20"/>
                <w:color w:val="auto"/>
              </w:rPr>
            </w:pPr>
            <w:r>
              <w:rPr>
                <w:rFonts w:ascii="Arial" w:cs="Arial" w:eastAsia="Arial" w:hAnsi="Arial"/>
                <w:sz w:val="18"/>
                <w:szCs w:val="18"/>
                <w:color w:val="auto"/>
              </w:rPr>
              <w:t>April 30, 2015</w:t>
            </w:r>
          </w:p>
        </w:tc>
        <w:tc>
          <w:tcPr>
            <w:tcW w:w="2700" w:type="dxa"/>
            <w:vAlign w:val="bottom"/>
          </w:tcPr>
          <w:p>
            <w:pPr>
              <w:ind w:left="242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THOMAS M. PRESCOTT</w:t>
            </w:r>
          </w:p>
        </w:tc>
      </w:tr>
      <w:tr>
        <w:trPr>
          <w:trHeight w:val="27"/>
        </w:trPr>
        <w:tc>
          <w:tcPr>
            <w:tcW w:w="3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Thomas M. Prescott</w:t>
            </w:r>
          </w:p>
        </w:tc>
      </w:tr>
      <w:tr>
        <w:trPr>
          <w:trHeight w:val="186"/>
        </w:trPr>
        <w:tc>
          <w:tcPr>
            <w:tcW w:w="3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320" w:type="dxa"/>
            <w:vAlign w:val="bottom"/>
          </w:tcPr>
          <w:p>
            <w:pPr>
              <w:spacing w:after="0"/>
              <w:rPr>
                <w:sz w:val="24"/>
                <w:szCs w:val="24"/>
                <w:color w:val="auto"/>
              </w:rPr>
            </w:pPr>
          </w:p>
        </w:tc>
        <w:tc>
          <w:tcPr>
            <w:tcW w:w="2700" w:type="dxa"/>
            <w:vAlign w:val="bottom"/>
          </w:tcPr>
          <w:p>
            <w:pPr>
              <w:ind w:left="2420"/>
              <w:spacing w:after="0"/>
              <w:rPr>
                <w:sz w:val="20"/>
                <w:szCs w:val="20"/>
                <w:color w:val="auto"/>
              </w:rPr>
            </w:pPr>
            <w:r>
              <w:rPr>
                <w:rFonts w:ascii="Arial" w:cs="Arial" w:eastAsia="Arial" w:hAnsi="Arial"/>
                <w:sz w:val="18"/>
                <w:szCs w:val="18"/>
                <w:color w:val="auto"/>
                <w:w w:val="99"/>
              </w:rPr>
              <w:t>By:</w:t>
            </w:r>
          </w:p>
        </w:tc>
        <w:tc>
          <w:tcPr>
            <w:tcW w:w="5360" w:type="dxa"/>
            <w:vAlign w:val="bottom"/>
          </w:tcPr>
          <w:p>
            <w:pPr>
              <w:jc w:val="center"/>
              <w:spacing w:after="0"/>
              <w:rPr>
                <w:sz w:val="20"/>
                <w:szCs w:val="20"/>
                <w:color w:val="auto"/>
              </w:rPr>
            </w:pPr>
            <w:r>
              <w:rPr>
                <w:rFonts w:ascii="Arial" w:cs="Arial" w:eastAsia="Arial" w:hAnsi="Arial"/>
                <w:sz w:val="18"/>
                <w:szCs w:val="18"/>
                <w:color w:val="auto"/>
              </w:rPr>
              <w:t>/S/  DAVID L. WHITE</w:t>
            </w:r>
          </w:p>
        </w:tc>
      </w:tr>
      <w:tr>
        <w:trPr>
          <w:trHeight w:val="27"/>
        </w:trPr>
        <w:tc>
          <w:tcPr>
            <w:tcW w:w="3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6"/>
        </w:trPr>
        <w:tc>
          <w:tcPr>
            <w:tcW w:w="3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320" w:type="dxa"/>
            <w:vAlign w:val="bottom"/>
          </w:tcPr>
          <w:p>
            <w:pPr>
              <w:spacing w:after="0"/>
              <w:rPr>
                <w:sz w:val="24"/>
                <w:szCs w:val="24"/>
                <w:color w:val="auto"/>
              </w:rPr>
            </w:pPr>
          </w:p>
        </w:tc>
        <w:tc>
          <w:tcPr>
            <w:tcW w:w="270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80" w:type="dxa"/>
            <w:vAlign w:val="bottom"/>
          </w:tcPr>
          <w:p>
            <w:pPr>
              <w:ind w:left="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1"/>
                <w:szCs w:val="21"/>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0"/>
              </w:rPr>
              <w:t>Fixed Dollar Accelerated Repurchase Transaction Agreement dated April 28,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2014 between Goldman, Sachs &amp; Co. and registrant</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6"/>
              </w:rPr>
              <w:t>Amended and Restated Chief Executive Officer Employment Agreement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between Align Technology, Inc. and Joseph M. Hogan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and Chief Financial Officer pursuant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20" w:type="dxa"/>
            <w:vAlign w:val="bottom"/>
            <w:gridSpan w:val="2"/>
            <w:vMerge w:val="restart"/>
          </w:tcPr>
          <w:p>
            <w:pPr>
              <w:jc w:val="center"/>
              <w:ind w:left="112"/>
              <w:spacing w:after="0"/>
              <w:rPr>
                <w:sz w:val="20"/>
                <w:szCs w:val="20"/>
                <w:color w:val="auto"/>
              </w:rPr>
            </w:pPr>
            <w:r>
              <w:rPr>
                <w:rFonts w:ascii="Arial" w:cs="Arial" w:eastAsia="Arial" w:hAnsi="Arial"/>
                <w:sz w:val="14"/>
                <w:szCs w:val="14"/>
                <w:b w:val="1"/>
                <w:bCs w:val="1"/>
                <w:color w:val="auto"/>
                <w:w w:val="93"/>
              </w:rPr>
              <w:t>Filed here with</w:t>
            </w:r>
          </w:p>
        </w:tc>
        <w:tc>
          <w:tcPr>
            <w:tcW w:w="0" w:type="dxa"/>
            <w:vAlign w:val="bottom"/>
          </w:tcPr>
          <w:p>
            <w:pPr>
              <w:spacing w:after="0"/>
              <w:rPr>
                <w:sz w:val="1"/>
                <w:szCs w:val="1"/>
                <w:color w:val="auto"/>
              </w:rPr>
            </w:pPr>
          </w:p>
        </w:tc>
      </w:tr>
      <w:tr>
        <w:trPr>
          <w:trHeight w:val="129"/>
        </w:trPr>
        <w:tc>
          <w:tcPr>
            <w:tcW w:w="11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2">
            <w:col w:w="6760" w:space="560"/>
            <w:col w:w="4040"/>
          </w:cols>
          <w:pgMar w:left="240" w:top="125"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FINAL EXECUTION COPY</w:t>
      </w:r>
    </w:p>
    <w:p>
      <w:pPr>
        <w:spacing w:after="0" w:line="200" w:lineRule="exact"/>
        <w:rPr>
          <w:sz w:val="20"/>
          <w:szCs w:val="20"/>
          <w:color w:val="auto"/>
        </w:rPr>
      </w:pPr>
    </w:p>
    <w:p>
      <w:pPr>
        <w:spacing w:after="0" w:line="263"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ALIGN TECHNOLOGY, INC.</w:t>
      </w:r>
    </w:p>
    <w:p>
      <w:pPr>
        <w:spacing w:after="0" w:line="2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AMENDED AND RESTATED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Amended and Restated Chief Executive Officer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April 16, 2015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Align 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Joseph M. Hogan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2" w:lineRule="exact"/>
        <w:rPr>
          <w:sz w:val="20"/>
          <w:szCs w:val="20"/>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Duties and Scope of Employment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1305"/>
        <w:spacing w:after="0" w:line="268" w:lineRule="auto"/>
        <w:tabs>
          <w:tab w:leader="none" w:pos="1743"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Positions and Duties</w:t>
      </w:r>
      <w:r>
        <w:rPr>
          <w:rFonts w:ascii="Arial" w:cs="Arial" w:eastAsia="Arial" w:hAnsi="Arial"/>
          <w:sz w:val="21"/>
          <w:szCs w:val="21"/>
          <w:color w:val="auto"/>
        </w:rPr>
        <w:t>. As of the June 1, 2015 (the “</w:t>
      </w:r>
      <w:r>
        <w:rPr>
          <w:rFonts w:ascii="Arial" w:cs="Arial" w:eastAsia="Arial" w:hAnsi="Arial"/>
          <w:sz w:val="21"/>
          <w:szCs w:val="21"/>
          <w:b w:val="1"/>
          <w:bCs w:val="1"/>
          <w:color w:val="auto"/>
        </w:rPr>
        <w:t>Start Date</w:t>
      </w:r>
      <w:r>
        <w:rPr>
          <w:rFonts w:ascii="Arial" w:cs="Arial" w:eastAsia="Arial" w:hAnsi="Arial"/>
          <w:sz w:val="21"/>
          <w:szCs w:val="21"/>
          <w:color w:val="auto"/>
        </w:rPr>
        <w:t>”), Executive will serve as the Company’s Chief Executive Officer and President, reporting directly and solely to the Company’s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Executive will render such business and professional services in the performance of his duties, consistent with Executive’s position within the Company and normal market practices, as will reasonably be assigned to him by the Board. The period of Executive’s employment under this Agreement is referred to herein as the “</w:t>
      </w:r>
      <w:r>
        <w:rPr>
          <w:rFonts w:ascii="Arial" w:cs="Arial" w:eastAsia="Arial" w:hAnsi="Arial"/>
          <w:sz w:val="21"/>
          <w:szCs w:val="21"/>
          <w:b w:val="1"/>
          <w:bCs w:val="1"/>
          <w:color w:val="auto"/>
        </w:rPr>
        <w:t>Employment Term</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jc w:val="both"/>
        <w:ind w:firstLine="1305"/>
        <w:spacing w:after="0" w:line="260" w:lineRule="auto"/>
        <w:tabs>
          <w:tab w:leader="none" w:pos="1742"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Board Membership</w:t>
      </w:r>
      <w:r>
        <w:rPr>
          <w:rFonts w:ascii="Arial" w:cs="Arial" w:eastAsia="Arial" w:hAnsi="Arial"/>
          <w:sz w:val="22"/>
          <w:szCs w:val="22"/>
          <w:color w:val="auto"/>
        </w:rPr>
        <w:t>. During the Employment Term, Executive will serve as a member of the Board and, if any, the Board’s Executive Committee, subject to any required Board and/or stockholder approval. The Board shall exercise its best efforts to have Executive appointed to the Board as of the Start Date.</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77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Obligations</w:t>
      </w:r>
      <w:r>
        <w:rPr>
          <w:rFonts w:ascii="Arial" w:cs="Arial" w:eastAsia="Arial" w:hAnsi="Arial"/>
          <w:sz w:val="22"/>
          <w:szCs w:val="22"/>
          <w:color w:val="auto"/>
        </w:rPr>
        <w:t>. During the Employment Term, Executive will perform his duties faithfully and to the best of his ability and will devote his full business efforts and time to the Company, subject to reasonable exceptions for vacation, sick leave and personal matters. For the duration of the Employment Term, Executive agrees not to actively engage in any other employment, occupation or consulting activity for any direct or indirect remuneration without the prior approval of the Board, provided, however, that Executive, without the approval of the Board, may serve in any capacity with any civic, educational or charitable organization.</w:t>
      </w:r>
    </w:p>
    <w:p>
      <w:pPr>
        <w:spacing w:after="0" w:line="188" w:lineRule="exact"/>
        <w:rPr>
          <w:sz w:val="20"/>
          <w:szCs w:val="20"/>
          <w:color w:val="auto"/>
        </w:rPr>
      </w:pPr>
    </w:p>
    <w:p>
      <w:pPr>
        <w:jc w:val="both"/>
        <w:ind w:firstLine="656"/>
        <w:spacing w:after="0" w:line="253" w:lineRule="auto"/>
        <w:tabs>
          <w:tab w:leader="none" w:pos="1157"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Principal Place of Employment</w:t>
      </w:r>
      <w:r>
        <w:rPr>
          <w:rFonts w:ascii="Arial" w:cs="Arial" w:eastAsia="Arial" w:hAnsi="Arial"/>
          <w:sz w:val="22"/>
          <w:szCs w:val="22"/>
          <w:color w:val="auto"/>
        </w:rPr>
        <w:t>. Executive’s principal place of employment during his Employment Term shall be at the Company’s current Northern California headquarters, subject to such business travel as may be reasonably required from time to time.</w:t>
      </w:r>
    </w:p>
    <w:p>
      <w:pPr>
        <w:spacing w:after="0" w:line="186" w:lineRule="exact"/>
        <w:rPr>
          <w:sz w:val="20"/>
          <w:szCs w:val="20"/>
          <w:color w:val="auto"/>
        </w:rPr>
      </w:pPr>
    </w:p>
    <w:p>
      <w:pPr>
        <w:jc w:val="both"/>
        <w:ind w:firstLine="656"/>
        <w:spacing w:after="0" w:line="297" w:lineRule="auto"/>
        <w:tabs>
          <w:tab w:leader="none" w:pos="101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parties agree that Executive’s employment with the Company will be “at-will” employment and may be terminated by either party at any time with or without cause or notice.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 However, as described in this Agreement, the Company agrees that Executive shall be entitled to severance benefits depending on the circumstances of Executive’s termination of employment with the Company.</w:t>
      </w:r>
    </w:p>
    <w:p>
      <w:pPr>
        <w:spacing w:after="0" w:line="146" w:lineRule="exact"/>
        <w:rPr>
          <w:rFonts w:ascii="Arial" w:cs="Arial" w:eastAsia="Arial" w:hAnsi="Arial"/>
          <w:sz w:val="19"/>
          <w:szCs w:val="19"/>
          <w:color w:val="auto"/>
        </w:rPr>
      </w:pPr>
    </w:p>
    <w:p>
      <w:pPr>
        <w:ind w:left="1000" w:hanging="344"/>
        <w:spacing w:after="0"/>
        <w:tabs>
          <w:tab w:leader="none" w:pos="10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24"/>
        <w:spacing w:after="0" w:line="307" w:lineRule="auto"/>
        <w:tabs>
          <w:tab w:leader="none" w:pos="1676"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Term, the Company will pay Executive an annual salary of not less than $950,000 as compensation for his services (as increased from time to time, the “</w:t>
      </w:r>
      <w:r>
        <w:rPr>
          <w:rFonts w:ascii="Arial" w:cs="Arial" w:eastAsia="Arial" w:hAnsi="Arial"/>
          <w:sz w:val="19"/>
          <w:szCs w:val="19"/>
          <w:b w:val="1"/>
          <w:bCs w:val="1"/>
          <w:color w:val="auto"/>
        </w:rPr>
        <w:t>Base Salary</w:t>
      </w:r>
      <w:r>
        <w:rPr>
          <w:rFonts w:ascii="Arial" w:cs="Arial" w:eastAsia="Arial" w:hAnsi="Arial"/>
          <w:sz w:val="19"/>
          <w:szCs w:val="19"/>
          <w:color w:val="auto"/>
        </w:rPr>
        <w:t>”). The Base Salary will be paid periodically (no less frequently than monthly) in accordance with the Company’s normal payroll practices and be subject to the usual, required withholdings. Executive’s salary will be subject to review by Board or the Compensation Committee</w:t>
      </w:r>
    </w:p>
    <w:p>
      <w:pPr>
        <w:sectPr>
          <w:pgSz w:w="11900" w:h="16838" w:orient="portrait"/>
          <w:cols w:equalWidth="0" w:num="1">
            <w:col w:w="11420"/>
          </w:cols>
          <w:pgMar w:left="240" w:top="126" w:right="23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22"/>
          <w:szCs w:val="22"/>
          <w:color w:val="auto"/>
        </w:rPr>
        <w:t>and adjustments (increases, but not decreases) will be made based upon the Company’s normal performance review practices as determined by the Board or the Compensation Committee.</w:t>
      </w:r>
    </w:p>
    <w:p>
      <w:pPr>
        <w:spacing w:after="0" w:line="169" w:lineRule="exact"/>
        <w:rPr>
          <w:sz w:val="20"/>
          <w:szCs w:val="20"/>
          <w:color w:val="auto"/>
        </w:rPr>
      </w:pPr>
    </w:p>
    <w:p>
      <w:pPr>
        <w:jc w:val="both"/>
        <w:ind w:firstLine="1224"/>
        <w:spacing w:after="0" w:line="292" w:lineRule="auto"/>
        <w:tabs>
          <w:tab w:leader="none" w:pos="182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Executive will also receive a one-time cash sign-on bonus of $1,500,000 (the “</w:t>
      </w:r>
      <w:r>
        <w:rPr>
          <w:rFonts w:ascii="Arial" w:cs="Arial" w:eastAsia="Arial" w:hAnsi="Arial"/>
          <w:sz w:val="19"/>
          <w:szCs w:val="19"/>
          <w:b w:val="1"/>
          <w:bCs w:val="1"/>
          <w:color w:val="auto"/>
        </w:rPr>
        <w:t>Sign-on</w:t>
      </w:r>
      <w:r>
        <w:rPr>
          <w:rFonts w:ascii="Arial" w:cs="Arial" w:eastAsia="Arial" w:hAnsi="Arial"/>
          <w:sz w:val="19"/>
          <w:szCs w:val="19"/>
          <w:color w:val="auto"/>
        </w:rPr>
        <w:t xml:space="preserve"> </w:t>
      </w:r>
      <w:r>
        <w:rPr>
          <w:rFonts w:ascii="Arial" w:cs="Arial" w:eastAsia="Arial" w:hAnsi="Arial"/>
          <w:sz w:val="19"/>
          <w:szCs w:val="19"/>
          <w:b w:val="1"/>
          <w:bCs w:val="1"/>
          <w:color w:val="auto"/>
        </w:rPr>
        <w:t>Bonus</w:t>
      </w:r>
      <w:r>
        <w:rPr>
          <w:rFonts w:ascii="Arial" w:cs="Arial" w:eastAsia="Arial" w:hAnsi="Arial"/>
          <w:sz w:val="19"/>
          <w:szCs w:val="19"/>
          <w:color w:val="auto"/>
        </w:rPr>
        <w:t>”), less applicable withholdings, payable within 5 days following the Effective Date. Notwithstanding the foregoing: (i) if, on</w:t>
      </w:r>
      <w:r>
        <w:rPr>
          <w:rFonts w:ascii="Arial" w:cs="Arial" w:eastAsia="Arial" w:hAnsi="Arial"/>
          <w:sz w:val="19"/>
          <w:szCs w:val="19"/>
          <w:b w:val="1"/>
          <w:bCs w:val="1"/>
          <w:color w:val="auto"/>
        </w:rPr>
        <w:t xml:space="preserve"> </w:t>
      </w:r>
      <w:r>
        <w:rPr>
          <w:rFonts w:ascii="Arial" w:cs="Arial" w:eastAsia="Arial" w:hAnsi="Arial"/>
          <w:sz w:val="19"/>
          <w:szCs w:val="19"/>
          <w:color w:val="auto"/>
        </w:rPr>
        <w:t>or prior to the one-year anniversary of the Start Date, Executive terminates this Agreement or voluntarily terminates his employment with the Company other than for Good Reason (as defined herein) or the Company terminates Executive for Cause (as defined herein), Executive must repay 100% of the Sign-on Bonus to the Company within 30 days of Executive’s termination of this Agreement or Executive’s termination of employment, as applicable; and (ii) if, after the one-year anniversary of the Start Date, but on or prior to the two-year anniversary of the Start Date, Executive voluntarily terminates his employment with the Company other than for Good Reason or the Company terminates Executive for Cause, Executive must repay 50% of the Sign-on Bonus to the Company within 30 days of Executive’s termination of employment.</w:t>
      </w:r>
    </w:p>
    <w:p>
      <w:pPr>
        <w:spacing w:after="0" w:line="152" w:lineRule="exact"/>
        <w:rPr>
          <w:rFonts w:ascii="Arial" w:cs="Arial" w:eastAsia="Arial" w:hAnsi="Arial"/>
          <w:sz w:val="19"/>
          <w:szCs w:val="19"/>
          <w:color w:val="auto"/>
        </w:rPr>
      </w:pPr>
    </w:p>
    <w:p>
      <w:pPr>
        <w:jc w:val="both"/>
        <w:ind w:firstLine="1224"/>
        <w:spacing w:after="0" w:line="280" w:lineRule="auto"/>
        <w:tabs>
          <w:tab w:leader="none" w:pos="167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Performance Bonus</w:t>
      </w:r>
      <w:r>
        <w:rPr>
          <w:rFonts w:ascii="Arial" w:cs="Arial" w:eastAsia="Arial" w:hAnsi="Arial"/>
          <w:sz w:val="19"/>
          <w:szCs w:val="19"/>
          <w:color w:val="auto"/>
        </w:rPr>
        <w:t>. Executive will also be eligible to receive an annual bonus in cash that is targeted to equal 150% of Executive’s Base Salary (“</w:t>
      </w:r>
      <w:r>
        <w:rPr>
          <w:rFonts w:ascii="Arial" w:cs="Arial" w:eastAsia="Arial" w:hAnsi="Arial"/>
          <w:sz w:val="19"/>
          <w:szCs w:val="19"/>
          <w:b w:val="1"/>
          <w:bCs w:val="1"/>
          <w:color w:val="auto"/>
        </w:rPr>
        <w:t>Target Bonus</w:t>
      </w:r>
      <w:r>
        <w:rPr>
          <w:rFonts w:ascii="Arial" w:cs="Arial" w:eastAsia="Arial" w:hAnsi="Arial"/>
          <w:sz w:val="19"/>
          <w:szCs w:val="19"/>
          <w:color w:val="auto"/>
        </w:rPr>
        <w:t>”), multiplied by (i) an individual performance multiplier that shall be determined by the Company’s Compensation Committee (the “</w:t>
      </w:r>
      <w:r>
        <w:rPr>
          <w:rFonts w:ascii="Arial" w:cs="Arial" w:eastAsia="Arial" w:hAnsi="Arial"/>
          <w:sz w:val="19"/>
          <w:szCs w:val="19"/>
          <w:b w:val="1"/>
          <w:bCs w:val="1"/>
          <w:color w:val="auto"/>
        </w:rPr>
        <w:t>Compensation Committee</w:t>
      </w:r>
      <w:r>
        <w:rPr>
          <w:rFonts w:ascii="Arial" w:cs="Arial" w:eastAsia="Arial" w:hAnsi="Arial"/>
          <w:sz w:val="19"/>
          <w:szCs w:val="19"/>
          <w:color w:val="auto"/>
        </w:rPr>
        <w:t>”) based on Executive’s actual performance, and (ii) a Company performance multiplier with 40% of such multiplier based on Company performance vs. revenue targets, 30% of such multiplier based on Company performance vs. adjusted operating income targets and the remaining 30% of such multiplier based on other performance objectives (the “</w:t>
      </w:r>
      <w:r>
        <w:rPr>
          <w:rFonts w:ascii="Arial" w:cs="Arial" w:eastAsia="Arial" w:hAnsi="Arial"/>
          <w:sz w:val="19"/>
          <w:szCs w:val="19"/>
          <w:b w:val="1"/>
          <w:bCs w:val="1"/>
          <w:color w:val="auto"/>
        </w:rPr>
        <w:t>Annual Bonus</w:t>
      </w:r>
      <w:r>
        <w:rPr>
          <w:rFonts w:ascii="Arial" w:cs="Arial" w:eastAsia="Arial" w:hAnsi="Arial"/>
          <w:sz w:val="19"/>
          <w:szCs w:val="19"/>
          <w:color w:val="auto"/>
        </w:rPr>
        <w:t>”). Executive’s Annual Bonus will be capped at 240% of Executive’s Base Salary. The Company and Executive may mutually agree to a different structure for the Annual Bonus for performance periods after the 2015 fiscal year during the Employment Term. An Annual Bonus, or any portion thereof, will be paid, less applicable withholdings, as soon as practicable after the Board or Compensation Committee determines that the Annual Bonus has been earned, but in no event will the Annual Bonus be paid after the later of (i)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month following the close of the Company’s fiscal year in which the Annual Bonus is earned (if and when the Company has a fiscal year that is not the calendar year) or (ii) March 15 following the calendar year in which the Annual Bonus is earned.</w:t>
      </w:r>
    </w:p>
    <w:p>
      <w:pPr>
        <w:spacing w:after="0" w:line="169" w:lineRule="exact"/>
        <w:rPr>
          <w:rFonts w:ascii="Arial" w:cs="Arial" w:eastAsia="Arial" w:hAnsi="Arial"/>
          <w:sz w:val="19"/>
          <w:szCs w:val="19"/>
          <w:color w:val="auto"/>
        </w:rPr>
      </w:pPr>
    </w:p>
    <w:p>
      <w:pPr>
        <w:jc w:val="both"/>
        <w:ind w:firstLine="1305"/>
        <w:spacing w:after="0" w:line="287" w:lineRule="auto"/>
        <w:tabs>
          <w:tab w:leader="none" w:pos="185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Initial Restricted Stock Units</w:t>
      </w:r>
      <w:r>
        <w:rPr>
          <w:rFonts w:ascii="Arial" w:cs="Arial" w:eastAsia="Arial" w:hAnsi="Arial"/>
          <w:sz w:val="19"/>
          <w:szCs w:val="19"/>
          <w:color w:val="auto"/>
        </w:rPr>
        <w:t>. On or effective as of the Start Date, the Company will also grant Executive 111,000 restricted stock units (the “</w:t>
      </w:r>
      <w:r>
        <w:rPr>
          <w:rFonts w:ascii="Arial" w:cs="Arial" w:eastAsia="Arial" w:hAnsi="Arial"/>
          <w:sz w:val="19"/>
          <w:szCs w:val="19"/>
          <w:b w:val="1"/>
          <w:bCs w:val="1"/>
          <w:color w:val="auto"/>
        </w:rPr>
        <w:t>Initial RSUs</w:t>
      </w:r>
      <w:r>
        <w:rPr>
          <w:rFonts w:ascii="Arial" w:cs="Arial" w:eastAsia="Arial" w:hAnsi="Arial"/>
          <w:sz w:val="19"/>
          <w:szCs w:val="19"/>
          <w:color w:val="auto"/>
        </w:rPr>
        <w:t>” and the grant, the “</w:t>
      </w:r>
      <w:r>
        <w:rPr>
          <w:rFonts w:ascii="Arial" w:cs="Arial" w:eastAsia="Arial" w:hAnsi="Arial"/>
          <w:sz w:val="19"/>
          <w:szCs w:val="19"/>
          <w:b w:val="1"/>
          <w:bCs w:val="1"/>
          <w:color w:val="auto"/>
        </w:rPr>
        <w:t>Initial RSU Award</w:t>
      </w:r>
      <w:r>
        <w:rPr>
          <w:rFonts w:ascii="Arial" w:cs="Arial" w:eastAsia="Arial" w:hAnsi="Arial"/>
          <w:sz w:val="19"/>
          <w:szCs w:val="19"/>
          <w:color w:val="auto"/>
        </w:rPr>
        <w:t>”) pursuant to the Company’s Amended and Restated 2005 Incentive Plan (the “</w:t>
      </w:r>
      <w:r>
        <w:rPr>
          <w:rFonts w:ascii="Arial" w:cs="Arial" w:eastAsia="Arial" w:hAnsi="Arial"/>
          <w:sz w:val="19"/>
          <w:szCs w:val="19"/>
          <w:b w:val="1"/>
          <w:bCs w:val="1"/>
          <w:color w:val="auto"/>
        </w:rPr>
        <w:t>Equity Plan</w:t>
      </w:r>
      <w:r>
        <w:rPr>
          <w:rFonts w:ascii="Arial" w:cs="Arial" w:eastAsia="Arial" w:hAnsi="Arial"/>
          <w:sz w:val="19"/>
          <w:szCs w:val="19"/>
          <w:color w:val="auto"/>
        </w:rPr>
        <w:t>”). Subject to Executive’s continued service through the applicable vesting dates, the Initial RSU Award will be scheduled to vest as to 25% of the Initial RSUs on December 31, 2015, and an additional 25% of the Initial RSUs will vest on each anniversary thereafter (through December 31, 2018). Notwithstanding the foregoing vesting schedule, upon a Change of Control, and subject to Executive’s continued service through such date, the Initial RSU Award will vest as to 27,750 shares subject to the Initial RSU Award, or, if less, the number of shares subject to the Initial RSU Award that remain outstanding and unvested at such time. Any portion of the Initial RSU Award that is scheduled to vest following the Change of Control after taking into account the vesting acceleration set forth in the previous sentence will be similarly accelerated so that the overall vesting schedule for the Initial RSU Award is reduced by 12 months. In addition, the Initial RSUs will be subject to the vesting acceleration provisions set forth in Sections 7(b) and (d) below. The Initial RSUs will in all other respects be subject to the terms and conditions of the Equity Plan and the Initial RSU grant notice and grant agreement (the “</w:t>
      </w:r>
      <w:r>
        <w:rPr>
          <w:rFonts w:ascii="Arial" w:cs="Arial" w:eastAsia="Arial" w:hAnsi="Arial"/>
          <w:sz w:val="19"/>
          <w:szCs w:val="19"/>
          <w:b w:val="1"/>
          <w:bCs w:val="1"/>
          <w:color w:val="auto"/>
        </w:rPr>
        <w:t>Initial RSU Agreement</w:t>
      </w:r>
      <w:r>
        <w:rPr>
          <w:rFonts w:ascii="Arial" w:cs="Arial" w:eastAsia="Arial" w:hAnsi="Arial"/>
          <w:sz w:val="19"/>
          <w:szCs w:val="19"/>
          <w:color w:val="auto"/>
        </w:rPr>
        <w:t>”), which documents are incorporated herein by reference,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22"/>
          <w:szCs w:val="22"/>
          <w:color w:val="auto"/>
        </w:rPr>
        <w:t>provided that to the extent that the terms of the Initial RSU Agreement conflict with the expressly stated terms of this Agreement, this Agreement shall control.</w:t>
      </w:r>
    </w:p>
    <w:p>
      <w:pPr>
        <w:spacing w:after="0" w:line="175" w:lineRule="exact"/>
        <w:rPr>
          <w:sz w:val="20"/>
          <w:szCs w:val="20"/>
          <w:color w:val="auto"/>
        </w:rPr>
      </w:pPr>
    </w:p>
    <w:p>
      <w:pPr>
        <w:ind w:right="20" w:firstLine="1305"/>
        <w:spacing w:after="0" w:line="343" w:lineRule="auto"/>
        <w:tabs>
          <w:tab w:leader="none" w:pos="1779"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Post-2015 RSU Awards</w:t>
      </w:r>
      <w:r>
        <w:rPr>
          <w:rFonts w:ascii="Arial" w:cs="Arial" w:eastAsia="Arial" w:hAnsi="Arial"/>
          <w:sz w:val="19"/>
          <w:szCs w:val="19"/>
          <w:color w:val="auto"/>
        </w:rPr>
        <w:t>. After 2015, the Executive shall also be eligible for additional annual RSU awards on such basis and at such times and in such amounts as the Compensation Committee (or the Board) shall determine in its discretion.</w:t>
      </w:r>
    </w:p>
    <w:p>
      <w:pPr>
        <w:spacing w:after="0" w:line="104" w:lineRule="exact"/>
        <w:rPr>
          <w:rFonts w:ascii="Arial" w:cs="Arial" w:eastAsia="Arial" w:hAnsi="Arial"/>
          <w:sz w:val="19"/>
          <w:szCs w:val="19"/>
          <w:color w:val="auto"/>
        </w:rPr>
      </w:pPr>
    </w:p>
    <w:p>
      <w:pPr>
        <w:jc w:val="both"/>
        <w:ind w:firstLine="1305"/>
        <w:spacing w:after="0" w:line="284" w:lineRule="auto"/>
        <w:tabs>
          <w:tab w:leader="none" w:pos="1756"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Initial Market Stock Units</w:t>
      </w:r>
      <w:r>
        <w:rPr>
          <w:rFonts w:ascii="Arial" w:cs="Arial" w:eastAsia="Arial" w:hAnsi="Arial"/>
          <w:sz w:val="19"/>
          <w:szCs w:val="19"/>
          <w:color w:val="auto"/>
        </w:rPr>
        <w:t>. On or effective as of the Start Date, the Company will also grant Executive market stock units with a target of 111,000 units (“</w:t>
      </w:r>
      <w:r>
        <w:rPr>
          <w:rFonts w:ascii="Arial" w:cs="Arial" w:eastAsia="Arial" w:hAnsi="Arial"/>
          <w:sz w:val="19"/>
          <w:szCs w:val="19"/>
          <w:b w:val="1"/>
          <w:bCs w:val="1"/>
          <w:color w:val="auto"/>
        </w:rPr>
        <w:t>Initial MSUs</w:t>
      </w:r>
      <w:r>
        <w:rPr>
          <w:rFonts w:ascii="Arial" w:cs="Arial" w:eastAsia="Arial" w:hAnsi="Arial"/>
          <w:sz w:val="19"/>
          <w:szCs w:val="19"/>
          <w:color w:val="auto"/>
        </w:rPr>
        <w:t>” and the grant, the “</w:t>
      </w:r>
      <w:r>
        <w:rPr>
          <w:rFonts w:ascii="Arial" w:cs="Arial" w:eastAsia="Arial" w:hAnsi="Arial"/>
          <w:sz w:val="19"/>
          <w:szCs w:val="19"/>
          <w:b w:val="1"/>
          <w:bCs w:val="1"/>
          <w:color w:val="auto"/>
        </w:rPr>
        <w:t>Initial MSU Award</w:t>
      </w:r>
      <w:r>
        <w:rPr>
          <w:rFonts w:ascii="Arial" w:cs="Arial" w:eastAsia="Arial" w:hAnsi="Arial"/>
          <w:sz w:val="19"/>
          <w:szCs w:val="19"/>
          <w:color w:val="auto"/>
        </w:rPr>
        <w:t>”) pursuant to the Equity Plan. Subject to Executive’s continued service through the third anniversary of the grant date of the award, the number of Initial MSUs that vest will increase or decrease based upon the Company’s total shareholder return relative to the performance of the NASDAQ Composite Index over the 3-year period commencing on the grant date of the award, which will cliff vest on the 3-year anniversary of the grant date of the award, as set forth in the Initial MSU grant notice and grant agreement (“</w:t>
      </w:r>
      <w:r>
        <w:rPr>
          <w:rFonts w:ascii="Arial" w:cs="Arial" w:eastAsia="Arial" w:hAnsi="Arial"/>
          <w:sz w:val="19"/>
          <w:szCs w:val="19"/>
          <w:b w:val="1"/>
          <w:bCs w:val="1"/>
          <w:color w:val="auto"/>
        </w:rPr>
        <w:t>Initial MSU Agreement</w:t>
      </w:r>
      <w:r>
        <w:rPr>
          <w:rFonts w:ascii="Arial" w:cs="Arial" w:eastAsia="Arial" w:hAnsi="Arial"/>
          <w:sz w:val="19"/>
          <w:szCs w:val="19"/>
          <w:color w:val="auto"/>
        </w:rPr>
        <w:t>”). The number of Initial MSUs that may be earned will equal 111,000 Initial MSUs if the Company’s total shareholder return equals the performance of the NASDAQ Composite during the performance period. For each percentage point the Company’s total shareholder return outperforms or underperforms against the NASDAQ Composite, the number of Initial MSUs that will be earned will increased by 2% of target for outperformance (up to a max payout of 50% more) and decreased by 2% of target for underperformance (down to 0%). Accordingly, the maximum number of Initial MSUs that may be earned will be 166,500 in the event the Company’s total shareholder return outperforms the NASDAQ Composite by 25 percentage points or more and no Initial MSUs will vest if the Company’s total shareholder return underperforms the NASDAQ Composite by 50 percentage points or more. Notwithstanding the foregoing vesting provisions, upon a Change of Control, and subject to Executive’s continued service through such date, the vesting of the Initial MSUs will accelerate on a pro rata basis based on the amount of time that has lapsed from the grant date of the award and the Change of Control relative to the three-year performance period (with the number of Initial MSUs eligible to be earned calculated using the amount to be paid to holders of the Company’s Common Stock in the Change of Control transaction). Any unvested Target Initial MSUs that do not accelerate based on the terms of the preceding sentence will vest ratably in substantially equal installments on each anniversary of the grant date that occurs following the closing of such Change of Control transaction with the final vesting date to be the 3-year anniversary of the grant date of the award, to the extent any Initial MSUs remain outstanding following the Change of Control and subject to Executive’s continued service through the applicable vesting date and subject to the vesting acceleration provisions in Sections 7(b) and (d) below. The Target Initial MSUs will in all other respects be subject to the terms and conditions of the Equity Plan and the Initial MSU Agreement, which documents are incorporated herein by reference, provided (i) that, to the extent that the terms of the Initial MSU Agreement conflict with the expressly stated terms of this Agreement with respect to the stated Initial MSU target or maximum grant size, or the stated applicable 2% performance-based adjustment formula (2% increase/reduction for every 1% of outperformance or underperformance, as capped), or the maximum 3-year performance period, or the applicable vesting/payout acceleration provisions, in each case, as set forth in this Agreement, this Agreement shall control, and (ii) that the Initial MSU Agreement shall control with regard to the calculations of the Company’s applicable stock price performance and resulting 3-year (or other applicable) total shareholder return and the NASDAQ Composite Index’s performance.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firstLine="656"/>
        <w:spacing w:after="0" w:line="343" w:lineRule="auto"/>
        <w:tabs>
          <w:tab w:leader="none" w:pos="115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Post-2015 MSU Awards</w:t>
      </w:r>
      <w:r>
        <w:rPr>
          <w:rFonts w:ascii="Arial" w:cs="Arial" w:eastAsia="Arial" w:hAnsi="Arial"/>
          <w:sz w:val="19"/>
          <w:szCs w:val="19"/>
          <w:color w:val="auto"/>
        </w:rPr>
        <w:t>. After 2015, the Executive shall also be eligible for additional annual MSU awards on such basis and at such times and in such amounts as the Compensation Committee (or the Board) shall determine in its discretion.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53" w:name="page54"/>
    <w:bookmarkEnd w:id="53"/>
    <w:p>
      <w:pPr>
        <w:jc w:val="both"/>
        <w:ind w:firstLine="656"/>
        <w:spacing w:after="0" w:line="294" w:lineRule="auto"/>
        <w:tabs>
          <w:tab w:leader="none" w:pos="119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Employee Benefits and Temporary Housing</w:t>
      </w:r>
      <w:r>
        <w:rPr>
          <w:rFonts w:ascii="Arial" w:cs="Arial" w:eastAsia="Arial" w:hAnsi="Arial"/>
          <w:sz w:val="19"/>
          <w:szCs w:val="19"/>
          <w:color w:val="auto"/>
        </w:rPr>
        <w:t>. During the Employment Term, Executive will also be entitled to participate in the employee benefit plans currently and hereafter maintained by the Company of general applicability to other senior executives of the Company on a basis no less favorable to Executive than any other executive of the Company. The Company reserves the right to cancel or change the benefit plans and programs it offers to its employees at any time. In addition, the Company, in addition to the relocation expense coverage referred to in Section 6 below, will also pay Executive the cost of his temporary housing for up to 6 months following the Start Date and the Company will pay Executive a gross-up payment for the amount of taxes Executive is required to pay with respect to such amounts and any gross-up payment.</w:t>
      </w:r>
    </w:p>
    <w:p>
      <w:pPr>
        <w:spacing w:after="0" w:line="152" w:lineRule="exact"/>
        <w:rPr>
          <w:rFonts w:ascii="Arial" w:cs="Arial" w:eastAsia="Arial" w:hAnsi="Arial"/>
          <w:sz w:val="19"/>
          <w:szCs w:val="19"/>
          <w:color w:val="auto"/>
        </w:rPr>
      </w:pPr>
    </w:p>
    <w:p>
      <w:pPr>
        <w:jc w:val="both"/>
        <w:ind w:firstLine="656"/>
        <w:spacing w:after="0" w:line="260" w:lineRule="auto"/>
        <w:tabs>
          <w:tab w:leader="none" w:pos="99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also be entitled to paid vacation of at least 4 weeks in accordance with the Company’s vacation policy applicable to other senior executives of the Company, with the timing and duration of specific days off mutually and reasonably agreed to by the parties hereto.</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D&amp;O Insurance; Expenses.</w:t>
      </w:r>
    </w:p>
    <w:p>
      <w:pPr>
        <w:spacing w:after="0" w:line="220" w:lineRule="exact"/>
        <w:rPr>
          <w:sz w:val="20"/>
          <w:szCs w:val="20"/>
          <w:color w:val="auto"/>
        </w:rPr>
      </w:pPr>
    </w:p>
    <w:p>
      <w:pPr>
        <w:jc w:val="both"/>
        <w:ind w:firstLine="656"/>
        <w:spacing w:after="0" w:line="297" w:lineRule="auto"/>
        <w:tabs>
          <w:tab w:leader="none" w:pos="114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D&amp;O Indemnification &amp; Insurance Coverages.</w:t>
      </w:r>
      <w:r>
        <w:rPr>
          <w:rFonts w:ascii="Arial" w:cs="Arial" w:eastAsia="Arial" w:hAnsi="Arial"/>
          <w:sz w:val="19"/>
          <w:szCs w:val="19"/>
          <w:color w:val="auto"/>
        </w:rPr>
        <w:t xml:space="preserve"> Subject to applicable law, Executive will be provided indemnification to the maximum extent permitted by the Company’s Articles of Incorporation or Bylaws, including expense advancement rights and, if applicable, any directors and officers insurance policies, with such indemnification, expense advancement rights and D&amp;O insurance to be on terms determined by the Board or any of its committees, but on terms no less favorable than those provided to any other Company senior executive officer or director and subject to the terms of any separate written indemnification agreement.</w:t>
      </w:r>
    </w:p>
    <w:p>
      <w:pPr>
        <w:spacing w:after="0" w:line="147" w:lineRule="exact"/>
        <w:rPr>
          <w:rFonts w:ascii="Arial" w:cs="Arial" w:eastAsia="Arial" w:hAnsi="Arial"/>
          <w:sz w:val="19"/>
          <w:szCs w:val="19"/>
          <w:color w:val="auto"/>
        </w:rPr>
      </w:pPr>
    </w:p>
    <w:p>
      <w:pPr>
        <w:jc w:val="both"/>
        <w:ind w:firstLine="1305"/>
        <w:spacing w:after="0" w:line="247" w:lineRule="auto"/>
        <w:tabs>
          <w:tab w:leader="none" w:pos="190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In addition, the Company will reimburse Executive’s reasonable relocation expenses incurred to relocate Executive and his immediate family to the San Francisco Bay Area and the Company will pay Executive a gross-up payment for any amount of taxes Executive is required to pay with respect to such reimbursements and any gross-up payment.</w:t>
      </w:r>
    </w:p>
    <w:p>
      <w:pPr>
        <w:spacing w:after="0" w:line="194" w:lineRule="exact"/>
        <w:rPr>
          <w:sz w:val="20"/>
          <w:szCs w:val="20"/>
          <w:color w:val="auto"/>
        </w:rPr>
      </w:pPr>
    </w:p>
    <w:p>
      <w:pPr>
        <w:ind w:left="1000" w:hanging="344"/>
        <w:spacing w:after="0"/>
        <w:tabs>
          <w:tab w:leader="none" w:pos="10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604"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Termination for other than Cause, Death or Disability Apart from a Change of Control</w:t>
      </w:r>
      <w:r>
        <w:rPr>
          <w:rFonts w:ascii="Arial" w:cs="Arial" w:eastAsia="Arial" w:hAnsi="Arial"/>
          <w:sz w:val="22"/>
          <w:szCs w:val="22"/>
          <w:color w:val="auto"/>
        </w:rPr>
        <w:t>. If prior to a Change of Control or after 18 months following a Change of Control, the Company (or any parent or subsidiary or successor of the Company) terminates Executive’s employment with the Company other than for Cause (as defined below), death or Disability, or Executive resigns from such employment for Good Reason (as defined below), then, subject to Section 8, Executive will be entitled to receive:</w:t>
      </w:r>
    </w:p>
    <w:p>
      <w:pPr>
        <w:spacing w:after="0" w:line="192" w:lineRule="exact"/>
        <w:rPr>
          <w:rFonts w:ascii="Arial" w:cs="Arial" w:eastAsia="Arial" w:hAnsi="Arial"/>
          <w:sz w:val="22"/>
          <w:szCs w:val="22"/>
          <w:color w:val="auto"/>
        </w:rPr>
      </w:pPr>
    </w:p>
    <w:p>
      <w:pPr>
        <w:ind w:left="1720" w:hanging="253"/>
        <w:spacing w:after="0"/>
        <w:tabs>
          <w:tab w:leader="none" w:pos="1720" w:val="left"/>
        </w:tabs>
        <w:numPr>
          <w:ilvl w:val="2"/>
          <w:numId w:val="39"/>
        </w:numPr>
        <w:rPr>
          <w:rFonts w:ascii="Arial" w:cs="Arial" w:eastAsia="Arial" w:hAnsi="Arial"/>
          <w:sz w:val="22"/>
          <w:szCs w:val="22"/>
          <w:color w:val="auto"/>
        </w:rPr>
      </w:pPr>
      <w:r>
        <w:rPr>
          <w:rFonts w:ascii="Arial" w:cs="Arial" w:eastAsia="Arial" w:hAnsi="Arial"/>
          <w:sz w:val="22"/>
          <w:szCs w:val="22"/>
          <w:color w:val="auto"/>
        </w:rPr>
        <w:t>a payment equal to 24 months’ Base Salary, at the rate then in effect;</w:t>
      </w:r>
    </w:p>
    <w:p>
      <w:pPr>
        <w:spacing w:after="0" w:line="219" w:lineRule="exact"/>
        <w:rPr>
          <w:rFonts w:ascii="Arial" w:cs="Arial" w:eastAsia="Arial" w:hAnsi="Arial"/>
          <w:sz w:val="22"/>
          <w:szCs w:val="22"/>
          <w:color w:val="auto"/>
        </w:rPr>
      </w:pPr>
    </w:p>
    <w:p>
      <w:pPr>
        <w:jc w:val="both"/>
        <w:ind w:firstLine="1467"/>
        <w:spacing w:after="0" w:line="263" w:lineRule="auto"/>
        <w:tabs>
          <w:tab w:leader="none" w:pos="1804" w:val="left"/>
        </w:tabs>
        <w:numPr>
          <w:ilvl w:val="2"/>
          <w:numId w:val="39"/>
        </w:numPr>
        <w:rPr>
          <w:rFonts w:ascii="Arial" w:cs="Arial" w:eastAsia="Arial" w:hAnsi="Arial"/>
          <w:sz w:val="21"/>
          <w:szCs w:val="21"/>
          <w:color w:val="auto"/>
        </w:rPr>
      </w:pPr>
      <w:r>
        <w:rPr>
          <w:rFonts w:ascii="Arial" w:cs="Arial" w:eastAsia="Arial" w:hAnsi="Arial"/>
          <w:sz w:val="21"/>
          <w:szCs w:val="21"/>
          <w:color w:val="auto"/>
        </w:rPr>
        <w:t>payment of a prorated portion of the greater of (i) the Annual Bonus paid to Executive for the Company’s fiscal year immediately prior to the fiscal year in which Executive’s termination occurs or (ii) the actual bonus that Executive would have otherwise received for the fiscal year during which the termination occurs as if Executive had remained employed by the Company through the date that would have otherwise been required to earn the bonus, but without the Board or Compensation Committee exercising any negative discretion to reduce the amount of the award, 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either case, calculated by dividing the number of days from the start of the fiscal year through the termination date by 365 and paid at the same time as bonuses are paid to other senior executives of the Company;</w:t>
      </w:r>
    </w:p>
    <w:p>
      <w:pPr>
        <w:spacing w:after="0" w:line="175" w:lineRule="exact"/>
        <w:rPr>
          <w:sz w:val="20"/>
          <w:szCs w:val="20"/>
          <w:color w:val="auto"/>
        </w:rPr>
      </w:pPr>
    </w:p>
    <w:p>
      <w:pPr>
        <w:jc w:val="both"/>
        <w:ind w:firstLine="1467"/>
        <w:spacing w:after="0" w:line="253" w:lineRule="auto"/>
        <w:tabs>
          <w:tab w:leader="none" w:pos="1877" w:val="left"/>
        </w:tabs>
        <w:numPr>
          <w:ilvl w:val="0"/>
          <w:numId w:val="40"/>
        </w:numPr>
        <w:rPr>
          <w:rFonts w:ascii="Arial" w:cs="Arial" w:eastAsia="Arial" w:hAnsi="Arial"/>
          <w:sz w:val="22"/>
          <w:szCs w:val="22"/>
          <w:color w:val="auto"/>
        </w:rPr>
      </w:pPr>
      <w:r>
        <w:rPr>
          <w:rFonts w:ascii="Arial" w:cs="Arial" w:eastAsia="Arial" w:hAnsi="Arial"/>
          <w:sz w:val="22"/>
          <w:szCs w:val="22"/>
          <w:color w:val="auto"/>
        </w:rPr>
        <w:t>payment of an amount equal to 150% of Executive’s Target Bonus for the fiscal year during which the termination occurs, or, if greater, the Annual Bonus paid to Executive for the Company’s fiscal year immediately prior to the fiscal year in which Executive’s termination occurs;</w:t>
      </w:r>
    </w:p>
    <w:p>
      <w:pPr>
        <w:spacing w:after="0" w:line="185" w:lineRule="exact"/>
        <w:rPr>
          <w:rFonts w:ascii="Arial" w:cs="Arial" w:eastAsia="Arial" w:hAnsi="Arial"/>
          <w:sz w:val="22"/>
          <w:szCs w:val="22"/>
          <w:color w:val="auto"/>
        </w:rPr>
      </w:pPr>
    </w:p>
    <w:p>
      <w:pPr>
        <w:jc w:val="both"/>
        <w:ind w:firstLine="1467"/>
        <w:spacing w:after="0" w:line="285" w:lineRule="auto"/>
        <w:tabs>
          <w:tab w:leader="none" w:pos="1825"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Executive elects continuation coverage pursuant to the Consolidated Omnibus Budget Reconciliation Act of 1985, as amended, and any state law equivalent (“</w:t>
      </w:r>
      <w:r>
        <w:rPr>
          <w:rFonts w:ascii="Arial" w:cs="Arial" w:eastAsia="Arial" w:hAnsi="Arial"/>
          <w:sz w:val="19"/>
          <w:szCs w:val="19"/>
          <w:b w:val="1"/>
          <w:bCs w:val="1"/>
          <w:color w:val="auto"/>
        </w:rPr>
        <w:t>COBRA</w:t>
      </w:r>
      <w:r>
        <w:rPr>
          <w:rFonts w:ascii="Arial" w:cs="Arial" w:eastAsia="Arial" w:hAnsi="Arial"/>
          <w:sz w:val="19"/>
          <w:szCs w:val="19"/>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18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7(a)(iv),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 Executive’s termination of employment and will end on the earlier of (x) the date upon which Executive obtains other employment or (y) the date the Company has paid an amount equal to 18 payments. For the avoidance of doubt, the taxable payments in lieu of COBRA reimbursements may be used for any purpose, including, but not limited to continuation coverage under COBRA, and will be subject to all applicable tax withholdings.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addition, Executive shall also be entitled to receive any “</w:t>
      </w:r>
      <w:r>
        <w:rPr>
          <w:rFonts w:ascii="Arial" w:cs="Arial" w:eastAsia="Arial" w:hAnsi="Arial"/>
          <w:sz w:val="19"/>
          <w:szCs w:val="19"/>
          <w:b w:val="1"/>
          <w:bCs w:val="1"/>
          <w:color w:val="auto"/>
        </w:rPr>
        <w:t>Already Accrued Items</w:t>
      </w:r>
      <w:r>
        <w:rPr>
          <w:rFonts w:ascii="Arial" w:cs="Arial" w:eastAsia="Arial" w:hAnsi="Arial"/>
          <w:sz w:val="19"/>
          <w:szCs w:val="19"/>
          <w:color w:val="auto"/>
        </w:rPr>
        <w:t>,” which means: (i) any unpaid Base Salary earned through the date of termination; (ii) reimbursement for any unreimbursed business expenses incurred by Executive through the date of termination; (iii) any accrued but unused vacation time as of the date of termination in accordance with Company policy; (iv) any already vested but not yet paid out equity awards, subject to the applicable terms of such awards; (v) any vested tax-qualified and non-qualified retirement, savings or 401(k) account balances or benefits; (vi) all other payments, benefits or fringe benefits to which the Executive shall be entitled under the terms of any applicable compensation arrangement or benefit, equity or fringe benefit plan or program or grant or this Agreement, in each case in accordance with their terms; (vii) any already earned but unpaid annual bonus (if any) for the most recent performance period ending prior to the date of termination, and (viii) any other earned but not yet paid deferred compensation.</w:t>
      </w:r>
    </w:p>
    <w:p>
      <w:pPr>
        <w:spacing w:after="0" w:line="155" w:lineRule="exact"/>
        <w:rPr>
          <w:sz w:val="20"/>
          <w:szCs w:val="20"/>
          <w:color w:val="auto"/>
        </w:rPr>
      </w:pPr>
    </w:p>
    <w:p>
      <w:pPr>
        <w:jc w:val="both"/>
        <w:ind w:firstLine="1305"/>
        <w:spacing w:after="0" w:line="266" w:lineRule="auto"/>
        <w:tabs>
          <w:tab w:leader="none" w:pos="1783"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Termination for other than Cause, Death or Disability or Resignation by Executive for Good Reason upon or within 18 Months Following a Change of Control.</w:t>
      </w:r>
      <w:r>
        <w:rPr>
          <w:rFonts w:ascii="Arial" w:cs="Arial" w:eastAsia="Arial" w:hAnsi="Arial"/>
          <w:sz w:val="21"/>
          <w:szCs w:val="21"/>
          <w:color w:val="auto"/>
        </w:rPr>
        <w:t xml:space="preserve"> If upon or within 18 months following a Change of Control (i) the Company (or any parent or subsidiary or successor of the Company) terminates Executive’s employment with the Company other than for Cause (as defined below), death or Disability, or (ii) the Executive resigns from such employment for Good Reason (as defined below), then, subject to Section 8, Executive will be entitled to (A) accelerated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55" w:name="page56"/>
    <w:bookmarkEnd w:id="55"/>
    <w:p>
      <w:pPr>
        <w:spacing w:after="0" w:line="343" w:lineRule="auto"/>
        <w:rPr>
          <w:sz w:val="20"/>
          <w:szCs w:val="20"/>
          <w:color w:val="auto"/>
        </w:rPr>
      </w:pPr>
      <w:r>
        <w:rPr>
          <w:rFonts w:ascii="Arial" w:cs="Arial" w:eastAsia="Arial" w:hAnsi="Arial"/>
          <w:sz w:val="19"/>
          <w:szCs w:val="19"/>
          <w:color w:val="auto"/>
        </w:rPr>
        <w:t>vesting as to 100% of all outstanding unvested Company Initial RSU, Initial MSU or other RSU and MSU equity awards held by Executive; and (B) receive the severance pay set forth in Section 7(a)(i)-(iv) above plus any Already Accrued Items.</w:t>
      </w:r>
    </w:p>
    <w:p>
      <w:pPr>
        <w:spacing w:after="0" w:line="105" w:lineRule="exact"/>
        <w:rPr>
          <w:sz w:val="20"/>
          <w:szCs w:val="20"/>
          <w:color w:val="auto"/>
        </w:rPr>
      </w:pPr>
    </w:p>
    <w:p>
      <w:pPr>
        <w:jc w:val="both"/>
        <w:ind w:firstLine="1305"/>
        <w:spacing w:after="0" w:line="260" w:lineRule="auto"/>
        <w:tabs>
          <w:tab w:leader="none" w:pos="1716"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Termination for Cause, Death or Disability; Resignation without Good Reason</w:t>
      </w:r>
      <w:r>
        <w:rPr>
          <w:rFonts w:ascii="Arial" w:cs="Arial" w:eastAsia="Arial" w:hAnsi="Arial"/>
          <w:sz w:val="21"/>
          <w:szCs w:val="21"/>
          <w:color w:val="auto"/>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subject to Section 7(d), (ii) all payments of compensation by the Company to Executive hereunder will terminate immediately (except as to amounts already earned), and (iii) Executive will only be eligible for severance benefits in accordance with the Company’s established policies, if any, as then in effect, and any Already Accrued Items. In the event of Executive’s death or disability, Executive shall also be entitled to whatever death or Short-Term Disability or Long-Term Disability benefits are applicable under the Company’s various disability and/or life insurance or other plans and programs in which Executive participates.</w:t>
      </w:r>
    </w:p>
    <w:p>
      <w:pPr>
        <w:spacing w:after="0" w:line="184" w:lineRule="exact"/>
        <w:rPr>
          <w:rFonts w:ascii="Arial" w:cs="Arial" w:eastAsia="Arial" w:hAnsi="Arial"/>
          <w:sz w:val="21"/>
          <w:szCs w:val="21"/>
          <w:color w:val="auto"/>
        </w:rPr>
      </w:pPr>
    </w:p>
    <w:p>
      <w:pPr>
        <w:jc w:val="both"/>
        <w:ind w:firstLine="1305"/>
        <w:spacing w:after="0" w:line="251" w:lineRule="auto"/>
        <w:tabs>
          <w:tab w:leader="none" w:pos="1728"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Disability Following the Start Date</w:t>
      </w:r>
      <w:r>
        <w:rPr>
          <w:rFonts w:ascii="Arial" w:cs="Arial" w:eastAsia="Arial" w:hAnsi="Arial"/>
          <w:sz w:val="22"/>
          <w:szCs w:val="22"/>
          <w:color w:val="auto"/>
        </w:rPr>
        <w:t>. In the event Executive’s employment with the Company terminates as a result of his death or Disability following the Start Date, then, on the date of such termination, Executive will vest in 100% of the Initial RSU Award and a number of Initial MSUs calculated as set forth in Section 3(f), but using the date of employment termination as the measurement date for purposes of calculating the Company’s total shareholder return compared to that of the NASDAQ Composite.</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43"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Payment Timing</w:t>
      </w:r>
      <w:r>
        <w:rPr>
          <w:rFonts w:ascii="Arial" w:cs="Arial" w:eastAsia="Arial" w:hAnsi="Arial"/>
          <w:sz w:val="22"/>
          <w:szCs w:val="22"/>
          <w:color w:val="auto"/>
        </w:rPr>
        <w:t>. The cash severance payments payable under Section 7(a)(i)-(iii) will be paid, less applicable withholdings, in a lump sum in accordance with the Company’s normal payroll practices and shall be subject to any delay as may be required by Section 8.</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719"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Agreement or the applicable equity award agreement.</w:t>
      </w:r>
    </w:p>
    <w:p>
      <w:pPr>
        <w:spacing w:after="0" w:line="188" w:lineRule="exact"/>
        <w:rPr>
          <w:rFonts w:ascii="Arial" w:cs="Arial" w:eastAsia="Arial" w:hAnsi="Arial"/>
          <w:sz w:val="22"/>
          <w:szCs w:val="22"/>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Severance; No Offset Obligation; No Duty to Mitigate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00" w:lineRule="auto"/>
        <w:tabs>
          <w:tab w:leader="none" w:pos="1716"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Separation Agreement and Release of Claims</w:t>
      </w:r>
      <w:r>
        <w:rPr>
          <w:rFonts w:ascii="Arial" w:cs="Arial" w:eastAsia="Arial" w:hAnsi="Arial"/>
          <w:sz w:val="19"/>
          <w:szCs w:val="19"/>
          <w:color w:val="auto"/>
        </w:rPr>
        <w:t>. The receipt of any cash severance pursuant to Section 7(a)(i)-(iii) or (b) will be subject to Executive signing and not revoking a separation agreement and release of claims in a form reasonably mutually satisfactory to the Company and Executive (the “</w:t>
      </w:r>
      <w:r>
        <w:rPr>
          <w:rFonts w:ascii="Arial" w:cs="Arial" w:eastAsia="Arial" w:hAnsi="Arial"/>
          <w:sz w:val="19"/>
          <w:szCs w:val="19"/>
          <w:b w:val="1"/>
          <w:bCs w:val="1"/>
          <w:color w:val="auto"/>
        </w:rPr>
        <w:t>Release</w:t>
      </w:r>
      <w:r>
        <w:rPr>
          <w:rFonts w:ascii="Arial" w:cs="Arial" w:eastAsia="Arial" w:hAnsi="Arial"/>
          <w:sz w:val="19"/>
          <w:szCs w:val="19"/>
          <w:color w:val="auto"/>
        </w:rPr>
        <w:t>”) and provided that such Release becomes effective and irrevocable no later than 60 days following the termination date (such deadline, the “</w:t>
      </w:r>
      <w:r>
        <w:rPr>
          <w:rFonts w:ascii="Arial" w:cs="Arial" w:eastAsia="Arial" w:hAnsi="Arial"/>
          <w:sz w:val="19"/>
          <w:szCs w:val="19"/>
          <w:b w:val="1"/>
          <w:bCs w:val="1"/>
          <w:color w:val="auto"/>
        </w:rPr>
        <w:t>Release Deadline</w:t>
      </w:r>
      <w:r>
        <w:rPr>
          <w:rFonts w:ascii="Arial" w:cs="Arial" w:eastAsia="Arial" w:hAnsi="Arial"/>
          <w:sz w:val="19"/>
          <w:szCs w:val="19"/>
          <w:color w:val="auto"/>
        </w:rPr>
        <w:t>”). In no event will severance payments or benefits be paid or provided until a mutually agreeable Release becomes effective and irrevocable.</w:t>
      </w:r>
    </w:p>
    <w:p>
      <w:pPr>
        <w:spacing w:after="0" w:line="147" w:lineRule="exact"/>
        <w:rPr>
          <w:rFonts w:ascii="Arial" w:cs="Arial" w:eastAsia="Arial" w:hAnsi="Arial"/>
          <w:sz w:val="19"/>
          <w:szCs w:val="19"/>
          <w:color w:val="auto"/>
        </w:rPr>
      </w:pPr>
    </w:p>
    <w:p>
      <w:pPr>
        <w:jc w:val="both"/>
        <w:ind w:firstLine="1305"/>
        <w:spacing w:after="0" w:line="320" w:lineRule="auto"/>
        <w:tabs>
          <w:tab w:leader="none" w:pos="1796"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The receipt of any cash severance benefits pursuant to Section 7(a) or (b) will be subject to Executive not violating the provisions of Sections 11 and 12. In the event Executive breaches the provisions of Sections 11 or 12, all continuing cash payments to which Executive may otherwise be entitled pursuant to Section 7(a) or (b) will immediately cease.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56" w:name="page57"/>
    <w:bookmarkEnd w:id="56"/>
    <w:p>
      <w:pPr>
        <w:ind w:left="1720" w:hanging="415"/>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467"/>
        <w:spacing w:after="0" w:line="292" w:lineRule="auto"/>
        <w:tabs>
          <w:tab w:leader="none" w:pos="1757" w:val="left"/>
        </w:tabs>
        <w:numPr>
          <w:ilvl w:val="2"/>
          <w:numId w:val="4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51" w:lineRule="exact"/>
        <w:rPr>
          <w:rFonts w:ascii="Arial" w:cs="Arial" w:eastAsia="Arial" w:hAnsi="Arial"/>
          <w:sz w:val="19"/>
          <w:szCs w:val="19"/>
          <w:color w:val="auto"/>
        </w:rPr>
      </w:pPr>
    </w:p>
    <w:p>
      <w:pPr>
        <w:jc w:val="both"/>
        <w:ind w:firstLine="1467"/>
        <w:spacing w:after="0" w:line="288" w:lineRule="auto"/>
        <w:tabs>
          <w:tab w:leader="none" w:pos="1777" w:val="left"/>
        </w:tabs>
        <w:numPr>
          <w:ilvl w:val="2"/>
          <w:numId w:val="4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Executive is a “specified employee” within the meaning of Section 409A at the time of Executive’s termination (other than due to death), then the Deferred Payments that are payable within the first 6 months following Executive’s separation from service, will become payable on the first payroll date that occurs on or after the date 6 months and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160" w:lineRule="exact"/>
        <w:rPr>
          <w:rFonts w:ascii="Arial" w:cs="Arial" w:eastAsia="Arial" w:hAnsi="Arial"/>
          <w:sz w:val="19"/>
          <w:szCs w:val="19"/>
          <w:color w:val="auto"/>
        </w:rPr>
      </w:pPr>
    </w:p>
    <w:p>
      <w:pPr>
        <w:jc w:val="both"/>
        <w:ind w:firstLine="1467"/>
        <w:spacing w:after="0" w:line="343" w:lineRule="auto"/>
        <w:tabs>
          <w:tab w:leader="none" w:pos="1850" w:val="left"/>
        </w:tabs>
        <w:numPr>
          <w:ilvl w:val="2"/>
          <w:numId w:val="44"/>
        </w:numPr>
        <w:rPr>
          <w:rFonts w:ascii="Arial" w:cs="Arial" w:eastAsia="Arial" w:hAnsi="Arial"/>
          <w:sz w:val="19"/>
          <w:szCs w:val="19"/>
          <w:color w:val="auto"/>
        </w:rPr>
      </w:pPr>
      <w:r>
        <w:rPr>
          <w:rFonts w:ascii="Arial" w:cs="Arial" w:eastAsia="Arial" w:hAnsi="Arial"/>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04" w:lineRule="exact"/>
        <w:rPr>
          <w:rFonts w:ascii="Arial" w:cs="Arial" w:eastAsia="Arial" w:hAnsi="Arial"/>
          <w:sz w:val="19"/>
          <w:szCs w:val="19"/>
          <w:color w:val="auto"/>
        </w:rPr>
      </w:pPr>
    </w:p>
    <w:p>
      <w:pPr>
        <w:jc w:val="both"/>
        <w:ind w:firstLine="1467"/>
        <w:spacing w:after="0" w:line="271" w:lineRule="auto"/>
        <w:tabs>
          <w:tab w:leader="none" w:pos="1865" w:val="left"/>
        </w:tabs>
        <w:numPr>
          <w:ilvl w:val="2"/>
          <w:numId w:val="44"/>
        </w:numPr>
        <w:rPr>
          <w:rFonts w:ascii="Arial" w:cs="Arial" w:eastAsia="Arial" w:hAnsi="Arial"/>
          <w:sz w:val="21"/>
          <w:szCs w:val="21"/>
          <w:color w:val="auto"/>
        </w:rPr>
      </w:pPr>
      <w:r>
        <w:rPr>
          <w:rFonts w:ascii="Arial" w:cs="Arial" w:eastAsia="Arial" w:hAnsi="Arial"/>
          <w:sz w:val="21"/>
          <w:szCs w:val="21"/>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67" w:lineRule="exact"/>
        <w:rPr>
          <w:rFonts w:ascii="Arial" w:cs="Arial" w:eastAsia="Arial" w:hAnsi="Arial"/>
          <w:sz w:val="21"/>
          <w:szCs w:val="21"/>
          <w:color w:val="auto"/>
        </w:rPr>
      </w:pPr>
    </w:p>
    <w:p>
      <w:pPr>
        <w:jc w:val="both"/>
        <w:ind w:firstLine="1467"/>
        <w:spacing w:after="0" w:line="297" w:lineRule="auto"/>
        <w:tabs>
          <w:tab w:leader="none" w:pos="1778" w:val="left"/>
        </w:tabs>
        <w:numPr>
          <w:ilvl w:val="2"/>
          <w:numId w:val="44"/>
        </w:numPr>
        <w:rPr>
          <w:rFonts w:ascii="Arial" w:cs="Arial" w:eastAsia="Arial" w:hAnsi="Arial"/>
          <w:sz w:val="19"/>
          <w:szCs w:val="19"/>
          <w:color w:val="auto"/>
        </w:rPr>
      </w:pPr>
      <w:r>
        <w:rPr>
          <w:rFonts w:ascii="Arial" w:cs="Arial" w:eastAsia="Arial" w:hAnsi="Arial"/>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47" w:lineRule="exact"/>
        <w:rPr>
          <w:rFonts w:ascii="Arial" w:cs="Arial" w:eastAsia="Arial" w:hAnsi="Arial"/>
          <w:sz w:val="19"/>
          <w:szCs w:val="19"/>
          <w:color w:val="auto"/>
        </w:rPr>
      </w:pPr>
    </w:p>
    <w:p>
      <w:pPr>
        <w:ind w:right="20" w:firstLine="656"/>
        <w:spacing w:after="0" w:line="358" w:lineRule="auto"/>
        <w:tabs>
          <w:tab w:leader="none" w:pos="112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Agreement</w:t>
      </w:r>
      <w:r>
        <w:rPr>
          <w:rFonts w:ascii="Arial" w:cs="Arial" w:eastAsia="Arial" w:hAnsi="Arial"/>
          <w:sz w:val="19"/>
          <w:szCs w:val="19"/>
          <w:color w:val="auto"/>
        </w:rPr>
        <w:t>. Executive’s receipt of any payments or benefits under Section 7 will be subject to Executive continuing to comply with the terms of Confidential Information Agreement (as defined and modified in Section 11).</w:t>
      </w:r>
    </w:p>
    <w:p>
      <w:pPr>
        <w:spacing w:after="0" w:line="90" w:lineRule="exact"/>
        <w:rPr>
          <w:rFonts w:ascii="Arial" w:cs="Arial" w:eastAsia="Arial" w:hAnsi="Arial"/>
          <w:sz w:val="19"/>
          <w:szCs w:val="19"/>
          <w:color w:val="auto"/>
        </w:rPr>
      </w:pPr>
    </w:p>
    <w:p>
      <w:pPr>
        <w:jc w:val="both"/>
        <w:ind w:firstLine="656"/>
        <w:spacing w:after="0" w:line="260" w:lineRule="auto"/>
        <w:tabs>
          <w:tab w:leader="none" w:pos="106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Duty to Mitigate; No Offset</w:t>
      </w:r>
      <w:r>
        <w:rPr>
          <w:rFonts w:ascii="Arial" w:cs="Arial" w:eastAsia="Arial" w:hAnsi="Arial"/>
          <w:sz w:val="22"/>
          <w:szCs w:val="22"/>
          <w:color w:val="auto"/>
        </w:rPr>
        <w:t>. Executive will not be required to mitigate the amount of any payment contemplated by this Agreement, nor will any earnings that Executive may receive from any other source reduce or otherwise offset any such payment.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57" w:name="page58"/>
    <w:bookmarkEnd w:id="57"/>
    <w:p>
      <w:pPr>
        <w:ind w:left="1000" w:hanging="344"/>
        <w:spacing w:after="0"/>
        <w:tabs>
          <w:tab w:leader="none" w:pos="10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1600" w:hanging="295"/>
        <w:spacing w:after="0"/>
        <w:tabs>
          <w:tab w:leader="none" w:pos="1600"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will mean any of the following:</w:t>
      </w:r>
    </w:p>
    <w:p>
      <w:pPr>
        <w:spacing w:after="0" w:line="225" w:lineRule="exact"/>
        <w:rPr>
          <w:rFonts w:ascii="Arial" w:cs="Arial" w:eastAsia="Arial" w:hAnsi="Arial"/>
          <w:sz w:val="22"/>
          <w:szCs w:val="22"/>
          <w:color w:val="auto"/>
        </w:rPr>
      </w:pPr>
    </w:p>
    <w:p>
      <w:pPr>
        <w:ind w:left="1720" w:hanging="253"/>
        <w:spacing w:after="0"/>
        <w:tabs>
          <w:tab w:leader="none" w:pos="1720" w:val="left"/>
        </w:tabs>
        <w:numPr>
          <w:ilvl w:val="2"/>
          <w:numId w:val="46"/>
        </w:numPr>
        <w:rPr>
          <w:rFonts w:ascii="Arial" w:cs="Arial" w:eastAsia="Arial" w:hAnsi="Arial"/>
          <w:sz w:val="22"/>
          <w:szCs w:val="22"/>
          <w:color w:val="auto"/>
        </w:rPr>
      </w:pPr>
      <w:r>
        <w:rPr>
          <w:rFonts w:ascii="Arial" w:cs="Arial" w:eastAsia="Arial" w:hAnsi="Arial"/>
          <w:sz w:val="22"/>
          <w:szCs w:val="22"/>
          <w:color w:val="auto"/>
        </w:rPr>
        <w:t>Unauthorized use or disclosure of the confidential information or trade secrets of the Company;</w:t>
      </w:r>
    </w:p>
    <w:p>
      <w:pPr>
        <w:spacing w:after="0" w:line="219" w:lineRule="exact"/>
        <w:rPr>
          <w:rFonts w:ascii="Arial" w:cs="Arial" w:eastAsia="Arial" w:hAnsi="Arial"/>
          <w:sz w:val="22"/>
          <w:szCs w:val="22"/>
          <w:color w:val="auto"/>
        </w:rPr>
      </w:pPr>
    </w:p>
    <w:p>
      <w:pPr>
        <w:ind w:firstLine="1467"/>
        <w:spacing w:after="0" w:line="263" w:lineRule="auto"/>
        <w:tabs>
          <w:tab w:leader="none" w:pos="1804" w:val="left"/>
        </w:tabs>
        <w:numPr>
          <w:ilvl w:val="2"/>
          <w:numId w:val="46"/>
        </w:numPr>
        <w:rPr>
          <w:rFonts w:ascii="Arial" w:cs="Arial" w:eastAsia="Arial" w:hAnsi="Arial"/>
          <w:sz w:val="22"/>
          <w:szCs w:val="22"/>
          <w:color w:val="auto"/>
        </w:rPr>
      </w:pPr>
      <w:r>
        <w:rPr>
          <w:rFonts w:ascii="Arial" w:cs="Arial" w:eastAsia="Arial" w:hAnsi="Arial"/>
          <w:sz w:val="22"/>
          <w:szCs w:val="22"/>
          <w:color w:val="auto"/>
        </w:rPr>
        <w:t>Any material uncured (if curable) breach by Executive of this Agreement or the Confidential Information Agreement between the Executive and the Company;</w:t>
      </w:r>
    </w:p>
    <w:p>
      <w:pPr>
        <w:spacing w:after="0" w:line="174" w:lineRule="exact"/>
        <w:rPr>
          <w:rFonts w:ascii="Arial" w:cs="Arial" w:eastAsia="Arial" w:hAnsi="Arial"/>
          <w:sz w:val="22"/>
          <w:szCs w:val="22"/>
          <w:color w:val="auto"/>
        </w:rPr>
      </w:pPr>
    </w:p>
    <w:p>
      <w:pPr>
        <w:ind w:left="1840" w:hanging="373"/>
        <w:spacing w:after="0"/>
        <w:tabs>
          <w:tab w:leader="none" w:pos="1840" w:val="left"/>
        </w:tabs>
        <w:numPr>
          <w:ilvl w:val="2"/>
          <w:numId w:val="46"/>
        </w:numPr>
        <w:rPr>
          <w:rFonts w:ascii="Arial" w:cs="Arial" w:eastAsia="Arial" w:hAnsi="Arial"/>
          <w:sz w:val="19"/>
          <w:szCs w:val="19"/>
          <w:color w:val="auto"/>
        </w:rPr>
      </w:pPr>
      <w:r>
        <w:rPr>
          <w:rFonts w:ascii="Arial" w:cs="Arial" w:eastAsia="Arial" w:hAnsi="Arial"/>
          <w:sz w:val="19"/>
          <w:szCs w:val="19"/>
          <w:color w:val="auto"/>
        </w:rPr>
        <w:t>Conviction of, or a plea of “guilty” or “no contest” to, a felony under the laws of the United States or any state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1" w:lineRule="exact"/>
        <w:rPr>
          <w:rFonts w:ascii="Arial" w:cs="Arial" w:eastAsia="Arial" w:hAnsi="Arial"/>
          <w:sz w:val="19"/>
          <w:szCs w:val="19"/>
          <w:color w:val="auto"/>
        </w:rPr>
      </w:pPr>
    </w:p>
    <w:p>
      <w:pPr>
        <w:jc w:val="both"/>
        <w:ind w:firstLine="1467"/>
        <w:spacing w:after="0" w:line="253" w:lineRule="auto"/>
        <w:tabs>
          <w:tab w:leader="none" w:pos="1825" w:val="left"/>
        </w:tabs>
        <w:numPr>
          <w:ilvl w:val="2"/>
          <w:numId w:val="46"/>
        </w:numPr>
        <w:rPr>
          <w:rFonts w:ascii="Arial" w:cs="Arial" w:eastAsia="Arial" w:hAnsi="Arial"/>
          <w:sz w:val="22"/>
          <w:szCs w:val="22"/>
          <w:color w:val="auto"/>
        </w:rPr>
      </w:pPr>
      <w:r>
        <w:rPr>
          <w:rFonts w:ascii="Arial" w:cs="Arial" w:eastAsia="Arial" w:hAnsi="Arial"/>
          <w:sz w:val="22"/>
          <w:szCs w:val="22"/>
          <w:color w:val="auto"/>
        </w:rPr>
        <w:t>Misappropriation of the assets of the Company or any act of fraud or embezzlement by Executive, or any act of dishonesty by Executive in connection with the performance of his duties for the Company that adversely affects the business or affairs of the Company;</w:t>
      </w:r>
    </w:p>
    <w:p>
      <w:pPr>
        <w:spacing w:after="0" w:line="185" w:lineRule="exact"/>
        <w:rPr>
          <w:rFonts w:ascii="Arial" w:cs="Arial" w:eastAsia="Arial" w:hAnsi="Arial"/>
          <w:sz w:val="22"/>
          <w:szCs w:val="22"/>
          <w:color w:val="auto"/>
        </w:rPr>
      </w:pPr>
    </w:p>
    <w:p>
      <w:pPr>
        <w:ind w:left="1780" w:hanging="313"/>
        <w:spacing w:after="0"/>
        <w:tabs>
          <w:tab w:leader="none" w:pos="1780" w:val="left"/>
        </w:tabs>
        <w:numPr>
          <w:ilvl w:val="2"/>
          <w:numId w:val="46"/>
        </w:numPr>
        <w:rPr>
          <w:rFonts w:ascii="Arial" w:cs="Arial" w:eastAsia="Arial" w:hAnsi="Arial"/>
          <w:sz w:val="22"/>
          <w:szCs w:val="22"/>
          <w:color w:val="auto"/>
        </w:rPr>
      </w:pPr>
      <w:r>
        <w:rPr>
          <w:rFonts w:ascii="Arial" w:cs="Arial" w:eastAsia="Arial" w:hAnsi="Arial"/>
          <w:sz w:val="22"/>
          <w:szCs w:val="22"/>
          <w:color w:val="auto"/>
        </w:rPr>
        <w:t>Willful misconduct; or</w:t>
      </w:r>
    </w:p>
    <w:p>
      <w:pPr>
        <w:spacing w:after="0" w:line="219" w:lineRule="exact"/>
        <w:rPr>
          <w:rFonts w:ascii="Arial" w:cs="Arial" w:eastAsia="Arial" w:hAnsi="Arial"/>
          <w:sz w:val="22"/>
          <w:szCs w:val="22"/>
          <w:color w:val="auto"/>
        </w:rPr>
      </w:pPr>
    </w:p>
    <w:p>
      <w:pPr>
        <w:ind w:firstLine="1467"/>
        <w:spacing w:after="0" w:line="263" w:lineRule="auto"/>
        <w:tabs>
          <w:tab w:leader="none" w:pos="1838" w:val="left"/>
        </w:tabs>
        <w:numPr>
          <w:ilvl w:val="2"/>
          <w:numId w:val="46"/>
        </w:numPr>
        <w:rPr>
          <w:rFonts w:ascii="Arial" w:cs="Arial" w:eastAsia="Arial" w:hAnsi="Arial"/>
          <w:sz w:val="22"/>
          <w:szCs w:val="22"/>
          <w:color w:val="auto"/>
        </w:rPr>
      </w:pPr>
      <w:r>
        <w:rPr>
          <w:rFonts w:ascii="Arial" w:cs="Arial" w:eastAsia="Arial" w:hAnsi="Arial"/>
          <w:sz w:val="22"/>
          <w:szCs w:val="22"/>
          <w:color w:val="auto"/>
        </w:rPr>
        <w:t>The Executive’s willful failure to satisfactorily perform the Executive’s duties after having received written notice of such failure and at least 30 days to cure such failure and failed to so cure.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For purposes of this Section 8(a), any action or inaction by Executive shall not be treated as willful if done or not done (i) based on and in reliance on any lawful direction of the Board of the Company, or (ii) based on and in reliance on the advice of inside or outside legal counsel to the Company, or (iii) in the good faith belief that such action or inaction was in, or not opposed to, the best interests of the Company or its shareholders. In addition, with respect to Section 9(a)(vi), the parties agree that mere poor performance shall not provide a basis for termination for Cause.</w:t>
      </w:r>
    </w:p>
    <w:p>
      <w:pPr>
        <w:spacing w:after="0" w:line="170" w:lineRule="exact"/>
        <w:rPr>
          <w:sz w:val="20"/>
          <w:szCs w:val="20"/>
          <w:color w:val="auto"/>
        </w:rPr>
      </w:pPr>
    </w:p>
    <w:p>
      <w:pPr>
        <w:ind w:left="1740" w:hanging="435"/>
        <w:spacing w:after="0"/>
        <w:tabs>
          <w:tab w:leader="none" w:pos="174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of the Company is defined as:</w:t>
      </w:r>
    </w:p>
    <w:p>
      <w:pPr>
        <w:spacing w:after="0" w:line="273" w:lineRule="exact"/>
        <w:rPr>
          <w:rFonts w:ascii="Arial" w:cs="Arial" w:eastAsia="Arial" w:hAnsi="Arial"/>
          <w:sz w:val="19"/>
          <w:szCs w:val="19"/>
          <w:color w:val="auto"/>
        </w:rPr>
      </w:pPr>
    </w:p>
    <w:p>
      <w:pPr>
        <w:jc w:val="both"/>
        <w:ind w:firstLine="1467"/>
        <w:spacing w:after="0" w:line="250" w:lineRule="auto"/>
        <w:tabs>
          <w:tab w:leader="none" w:pos="1743"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Securities Exchange Act of 1934, as amended) is or becomes the “beneficial owner” (as defined in Rule 13d-3 under said Act), directly or indirectly, of securities of the Company representing more than 50% of the total voting power represented by the Company’s then outstanding voting securities; or</w:t>
      </w:r>
    </w:p>
    <w:p>
      <w:pPr>
        <w:spacing w:after="0" w:line="188" w:lineRule="exact"/>
        <w:rPr>
          <w:rFonts w:ascii="Arial" w:cs="Arial" w:eastAsia="Arial" w:hAnsi="Arial"/>
          <w:sz w:val="22"/>
          <w:szCs w:val="22"/>
          <w:color w:val="auto"/>
        </w:rPr>
      </w:pPr>
    </w:p>
    <w:p>
      <w:pPr>
        <w:jc w:val="both"/>
        <w:ind w:firstLine="1467"/>
        <w:spacing w:after="0" w:line="297" w:lineRule="auto"/>
        <w:tabs>
          <w:tab w:leader="none" w:pos="1777"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 or</w:t>
      </w:r>
    </w:p>
    <w:p>
      <w:pPr>
        <w:spacing w:after="0" w:line="147" w:lineRule="exact"/>
        <w:rPr>
          <w:rFonts w:ascii="Arial" w:cs="Arial" w:eastAsia="Arial" w:hAnsi="Arial"/>
          <w:sz w:val="19"/>
          <w:szCs w:val="19"/>
          <w:color w:val="auto"/>
        </w:rPr>
      </w:pPr>
    </w:p>
    <w:p>
      <w:pPr>
        <w:ind w:left="1880" w:hanging="413"/>
        <w:spacing w:after="0"/>
        <w:tabs>
          <w:tab w:leader="none" w:pos="18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date of the consummation of the sale or disposition by the Company of all or substantially all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Company’s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58" w:name="page59"/>
    <w:bookmarkEnd w:id="58"/>
    <w:p>
      <w:pPr>
        <w:ind w:firstLine="648"/>
        <w:spacing w:after="0" w:line="263" w:lineRule="auto"/>
        <w:rPr>
          <w:sz w:val="20"/>
          <w:szCs w:val="20"/>
          <w:color w:val="auto"/>
        </w:rPr>
      </w:pPr>
      <w:r>
        <w:rPr>
          <w:rFonts w:ascii="Arial" w:cs="Arial" w:eastAsia="Arial" w:hAnsi="Arial"/>
          <w:sz w:val="22"/>
          <w:szCs w:val="22"/>
          <w:color w:val="auto"/>
        </w:rPr>
        <w:t>Notwithstanding the foregoing provisions of this definition, a transaction will not be deemed a Change of Control unless the transaction qualifies as a “change in control event” within the meaning of Section 409A.</w:t>
      </w:r>
    </w:p>
    <w:p>
      <w:pPr>
        <w:spacing w:after="0" w:line="169" w:lineRule="exact"/>
        <w:rPr>
          <w:sz w:val="20"/>
          <w:szCs w:val="20"/>
          <w:color w:val="auto"/>
        </w:rPr>
      </w:pPr>
    </w:p>
    <w:p>
      <w:pPr>
        <w:ind w:left="1760" w:hanging="455"/>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w:t>
      </w:r>
    </w:p>
    <w:p>
      <w:pPr>
        <w:spacing w:after="0" w:line="267" w:lineRule="exact"/>
        <w:rPr>
          <w:rFonts w:ascii="Arial" w:cs="Arial" w:eastAsia="Arial" w:hAnsi="Arial"/>
          <w:sz w:val="19"/>
          <w:szCs w:val="19"/>
          <w:color w:val="auto"/>
        </w:rPr>
      </w:pPr>
    </w:p>
    <w:p>
      <w:pPr>
        <w:jc w:val="both"/>
        <w:ind w:firstLine="1305"/>
        <w:spacing w:after="0" w:line="256" w:lineRule="auto"/>
        <w:tabs>
          <w:tab w:leader="none" w:pos="160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Disability</w:t>
      </w:r>
      <w:r>
        <w:rPr>
          <w:rFonts w:ascii="Arial" w:cs="Arial" w:eastAsia="Arial" w:hAnsi="Arial"/>
          <w:sz w:val="22"/>
          <w:szCs w:val="22"/>
          <w:color w:val="auto"/>
        </w:rPr>
        <w:t xml:space="preserve"> shall mean that the Executive has become so physically or mentally disabled as to be incapable of satisfactorily performing the essential functions of Executive’s position and duties under this Agreement for a period of 180 consecutive calendar days.</w:t>
      </w:r>
    </w:p>
    <w:p>
      <w:pPr>
        <w:spacing w:after="0" w:line="176" w:lineRule="exact"/>
        <w:rPr>
          <w:rFonts w:ascii="Arial" w:cs="Arial" w:eastAsia="Arial" w:hAnsi="Arial"/>
          <w:sz w:val="22"/>
          <w:szCs w:val="22"/>
          <w:color w:val="auto"/>
        </w:rPr>
      </w:pPr>
    </w:p>
    <w:p>
      <w:pPr>
        <w:jc w:val="both"/>
        <w:ind w:firstLine="1305"/>
        <w:spacing w:after="0" w:line="256" w:lineRule="auto"/>
        <w:tabs>
          <w:tab w:leader="none" w:pos="1617"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Subject to the notice and cure period described below, the Executive’s resignation for “</w:t>
      </w:r>
      <w:r>
        <w:rPr>
          <w:rFonts w:ascii="Arial" w:cs="Arial" w:eastAsia="Arial" w:hAnsi="Arial"/>
          <w:sz w:val="22"/>
          <w:szCs w:val="22"/>
          <w:b w:val="1"/>
          <w:bCs w:val="1"/>
          <w:color w:val="auto"/>
        </w:rPr>
        <w:t>Good</w:t>
      </w:r>
      <w:r>
        <w:rPr>
          <w:rFonts w:ascii="Arial" w:cs="Arial" w:eastAsia="Arial" w:hAnsi="Arial"/>
          <w:sz w:val="22"/>
          <w:szCs w:val="22"/>
          <w:color w:val="auto"/>
        </w:rPr>
        <w:t xml:space="preserve"> </w:t>
      </w:r>
      <w:r>
        <w:rPr>
          <w:rFonts w:ascii="Arial" w:cs="Arial" w:eastAsia="Arial" w:hAnsi="Arial"/>
          <w:sz w:val="22"/>
          <w:szCs w:val="22"/>
          <w:b w:val="1"/>
          <w:bCs w:val="1"/>
          <w:color w:val="auto"/>
        </w:rPr>
        <w:t>Reason</w:t>
      </w:r>
      <w:r>
        <w:rPr>
          <w:rFonts w:ascii="Arial" w:cs="Arial" w:eastAsia="Arial" w:hAnsi="Arial"/>
          <w:sz w:val="22"/>
          <w:szCs w:val="22"/>
          <w:color w:val="auto"/>
        </w:rPr>
        <w:t>” will mean the Executive’s resignation upon written notice to the Company delivered within 90 days after the occurrence</w:t>
      </w:r>
      <w:r>
        <w:rPr>
          <w:rFonts w:ascii="Arial" w:cs="Arial" w:eastAsia="Arial" w:hAnsi="Arial"/>
          <w:sz w:val="22"/>
          <w:szCs w:val="22"/>
          <w:b w:val="1"/>
          <w:bCs w:val="1"/>
          <w:color w:val="auto"/>
        </w:rPr>
        <w:t xml:space="preserve"> </w:t>
      </w:r>
      <w:r>
        <w:rPr>
          <w:rFonts w:ascii="Arial" w:cs="Arial" w:eastAsia="Arial" w:hAnsi="Arial"/>
          <w:sz w:val="22"/>
          <w:szCs w:val="22"/>
          <w:color w:val="auto"/>
        </w:rPr>
        <w:t>of any one or more of the following events and with an effective date within such 90-day period:</w:t>
      </w:r>
    </w:p>
    <w:p>
      <w:pPr>
        <w:spacing w:after="0" w:line="182" w:lineRule="exact"/>
        <w:rPr>
          <w:rFonts w:ascii="Arial" w:cs="Arial" w:eastAsia="Arial" w:hAnsi="Arial"/>
          <w:sz w:val="22"/>
          <w:szCs w:val="22"/>
          <w:color w:val="auto"/>
        </w:rPr>
      </w:pPr>
    </w:p>
    <w:p>
      <w:pPr>
        <w:jc w:val="both"/>
        <w:ind w:firstLine="1467"/>
        <w:spacing w:after="0" w:line="250" w:lineRule="auto"/>
        <w:tabs>
          <w:tab w:leader="none" w:pos="1716"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Executive’s title, position, authority or responsibilities being materially reduced (in this regard, the parties agree that, if Executive is no longer the CEO of a publicly traded company after a Change of Control transaction, his title, position, authority and responsibilities will have been materially been materially reduced for purposes of this Agreement and he will have Good Reason hereunder;</w:t>
      </w:r>
    </w:p>
    <w:p>
      <w:pPr>
        <w:spacing w:after="0" w:line="188" w:lineRule="exact"/>
        <w:rPr>
          <w:rFonts w:ascii="Arial" w:cs="Arial" w:eastAsia="Arial" w:hAnsi="Arial"/>
          <w:sz w:val="22"/>
          <w:szCs w:val="22"/>
          <w:color w:val="auto"/>
        </w:rPr>
      </w:pPr>
    </w:p>
    <w:p>
      <w:pPr>
        <w:ind w:right="20" w:firstLine="1467"/>
        <w:spacing w:after="0" w:line="287" w:lineRule="auto"/>
        <w:tabs>
          <w:tab w:leader="none" w:pos="1777"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Executive being asked to relocate the Executive’s principal place of employment such that the Executive’s commuting distance from the Executive’s residence prior to such relocation is increased by over 35 miles;</w:t>
      </w:r>
    </w:p>
    <w:p>
      <w:pPr>
        <w:spacing w:after="0" w:line="151" w:lineRule="exact"/>
        <w:rPr>
          <w:rFonts w:ascii="Arial" w:cs="Arial" w:eastAsia="Arial" w:hAnsi="Arial"/>
          <w:sz w:val="21"/>
          <w:szCs w:val="21"/>
          <w:color w:val="auto"/>
        </w:rPr>
      </w:pPr>
    </w:p>
    <w:p>
      <w:pPr>
        <w:ind w:left="1840" w:hanging="373"/>
        <w:spacing w:after="0"/>
        <w:tabs>
          <w:tab w:leader="none" w:pos="18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Executive’s annual Base Salary or Target Bonus being materially reduced; or</w:t>
      </w:r>
    </w:p>
    <w:p>
      <w:pPr>
        <w:spacing w:after="0" w:line="219" w:lineRule="exact"/>
        <w:rPr>
          <w:rFonts w:ascii="Arial" w:cs="Arial" w:eastAsia="Arial" w:hAnsi="Arial"/>
          <w:sz w:val="22"/>
          <w:szCs w:val="22"/>
          <w:color w:val="auto"/>
        </w:rPr>
      </w:pPr>
    </w:p>
    <w:p>
      <w:pPr>
        <w:ind w:left="1840" w:hanging="373"/>
        <w:spacing w:after="0"/>
        <w:tabs>
          <w:tab w:leader="none" w:pos="18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Executive’s benefits being materially reduced.</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Executive will provide written notice to the Company at least 30 days prior to the effective date of Executive’s resignation, identifying the event or events Executive claims constitute Good Reason and describing in reasonable detail the fact supporting the claim. The Company will have at least 30 days to take action to remedy the condition claimed by the Executive as Good Reason, but will have no obligation to take such action. In the event the Company remedies the condition then Good Reason will be deemed not to exist. At the expiration of the remedial period and prior to the effective date of Executive’s resignation, Executive will provide written notice to the Company, stating whether Executive (A) withdraws Executive’s resignation based on the Company’s remedy of the condition, (B) chooses to resign anyway notwithstanding such remedy, or (C) claims the condition has not been remedied and chooses to resign based on a claim of Good Reason. In the absence of such notice, Executives resignation will become effective and Executive will be deemed to have resigned without Good Reason.</w:t>
      </w:r>
    </w:p>
    <w:p>
      <w:pPr>
        <w:spacing w:after="0" w:line="152" w:lineRule="exact"/>
        <w:rPr>
          <w:sz w:val="20"/>
          <w:szCs w:val="20"/>
          <w:color w:val="auto"/>
        </w:rPr>
      </w:pPr>
    </w:p>
    <w:p>
      <w:pPr>
        <w:jc w:val="both"/>
        <w:ind w:firstLine="1305"/>
        <w:spacing w:after="0" w:line="309"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Section 409A Limit</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Section 409A Limit</w:t>
      </w:r>
      <w:r>
        <w:rPr>
          <w:rFonts w:ascii="Arial" w:cs="Arial" w:eastAsia="Arial" w:hAnsi="Arial"/>
          <w:sz w:val="19"/>
          <w:szCs w:val="19"/>
          <w:color w:val="auto"/>
        </w:rPr>
        <w:t>” will mean 2 times the lesser of: (i) Executive’s annualized compensation based upon the annual rate of pay paid to Executive during the Executive’s taxable year preceding the Executive’s taxable year of his or her separation from service as determined under Treasury Regulation Section 1.409A-1(b)(9)(iii)(A)(1) and any Internal Revenue Service guidance issued with respect thereto; or (ii)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maximum amount that may be taken into account under a qualified plan pursuant to Section 401(a)(17) of the Internal Revenue Code for the year in which Executive’s separation from service occurred.</w:t>
      </w:r>
    </w:p>
    <w:p>
      <w:pPr>
        <w:spacing w:after="0" w:line="175" w:lineRule="exact"/>
        <w:rPr>
          <w:sz w:val="20"/>
          <w:szCs w:val="20"/>
          <w:color w:val="auto"/>
        </w:rPr>
      </w:pPr>
    </w:p>
    <w:p>
      <w:pPr>
        <w:jc w:val="both"/>
        <w:ind w:firstLine="656"/>
        <w:spacing w:after="0" w:line="270" w:lineRule="auto"/>
        <w:tabs>
          <w:tab w:leader="none" w:pos="99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r>
        <w:rPr>
          <w:rFonts w:ascii="Arial" w:cs="Arial" w:eastAsia="Arial" w:hAnsi="Arial"/>
          <w:sz w:val="21"/>
          <w:szCs w:val="21"/>
          <w:color w:val="auto"/>
        </w:rPr>
        <w:t>. In the event that the cash severance, accelerated equity payouts and other benefits provided for in this Agreement or otherwise payable to Executive (i) constitute “parachute payments” within the meaning of Section 280G of the Code and (ii) but for this Section 10, would be subject to the excise tax imposed by Section 4999 of the Code, then such severance benefits, accelerated equity payouts and/or other benefits will be either:</w:t>
      </w:r>
    </w:p>
    <w:p>
      <w:pPr>
        <w:spacing w:after="0" w:line="169" w:lineRule="exact"/>
        <w:rPr>
          <w:rFonts w:ascii="Arial" w:cs="Arial" w:eastAsia="Arial" w:hAnsi="Arial"/>
          <w:sz w:val="21"/>
          <w:szCs w:val="21"/>
          <w:color w:val="auto"/>
        </w:rPr>
      </w:pPr>
    </w:p>
    <w:p>
      <w:pPr>
        <w:ind w:left="1720" w:hanging="415"/>
        <w:spacing w:after="0"/>
        <w:tabs>
          <w:tab w:leader="none" w:pos="17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auto"/>
        </w:rPr>
      </w:pPr>
    </w:p>
    <w:p>
      <w:pPr>
        <w:ind w:right="20" w:firstLine="1305"/>
        <w:spacing w:after="0" w:line="276" w:lineRule="auto"/>
        <w:tabs>
          <w:tab w:leader="none" w:pos="1756" w:val="left"/>
        </w:tabs>
        <w:numPr>
          <w:ilvl w:val="1"/>
          <w:numId w:val="50"/>
        </w:numPr>
        <w:rPr>
          <w:rFonts w:ascii="Arial" w:cs="Arial" w:eastAsia="Arial" w:hAnsi="Arial"/>
          <w:sz w:val="22"/>
          <w:szCs w:val="22"/>
          <w:color w:val="auto"/>
        </w:rPr>
      </w:pPr>
      <w:r>
        <w:rPr>
          <w:rFonts w:ascii="Arial" w:cs="Arial" w:eastAsia="Arial" w:hAnsi="Arial"/>
          <w:sz w:val="22"/>
          <w:szCs w:val="22"/>
          <w:color w:val="auto"/>
        </w:rPr>
        <w:t>delivered as to such lesser extent which would result in no portion of such severance benefits being subject to the excise tax under Section 4999 of the Code,</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such severance benefits, accelerated equity award payouts and other benefits, notwithstanding that all or some portion of such severance benefits or such other items may be taxable under Section 4999 of the Code. If a reduction in the severance and other benefits and/or accelerated equity award payouts constituting “parachute payments” is necessary so that no portion of such severance benefits and such payouts is subject to the excise tax under Section 4999 of the Code, the reduction will occur in the following order:</w:t>
      </w:r>
    </w:p>
    <w:p>
      <w:pPr>
        <w:spacing w:after="0" w:line="1" w:lineRule="exact"/>
        <w:rPr>
          <w:sz w:val="20"/>
          <w:szCs w:val="20"/>
          <w:color w:val="auto"/>
        </w:rPr>
      </w:pPr>
    </w:p>
    <w:p>
      <w:pPr>
        <w:jc w:val="both"/>
        <w:ind w:firstLine="8"/>
        <w:spacing w:after="0" w:line="262" w:lineRule="auto"/>
        <w:tabs>
          <w:tab w:leader="none" w:pos="349" w:val="left"/>
        </w:tabs>
        <w:numPr>
          <w:ilvl w:val="0"/>
          <w:numId w:val="51"/>
        </w:numPr>
        <w:rPr>
          <w:rFonts w:ascii="Arial" w:cs="Arial" w:eastAsia="Arial" w:hAnsi="Arial"/>
          <w:sz w:val="21"/>
          <w:szCs w:val="21"/>
          <w:color w:val="auto"/>
        </w:rPr>
      </w:pPr>
      <w:r>
        <w:rPr>
          <w:rFonts w:ascii="Arial" w:cs="Arial" w:eastAsia="Arial" w:hAnsi="Arial"/>
          <w:sz w:val="21"/>
          <w:szCs w:val="21"/>
          <w:color w:val="auto"/>
        </w:rPr>
        <w:t>reduction of the cash severance payments; (2) cancellation of accelerated vesting of equity awards; and (3) reduction of continued employee benefits. In the event that acceleration of vesting of equity award compensation is to be reduced, such acceleration of vesting will be cancelled in the reverse order of the date of grant of Executive’s equity awards.</w:t>
      </w:r>
    </w:p>
    <w:p>
      <w:pPr>
        <w:spacing w:after="0" w:line="2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 nationally recognized certified professional services firm selected by the Company, the Company’s legal counsel or such other person or entity on which the parties mutually agree (the “</w:t>
      </w:r>
      <w:r>
        <w:rPr>
          <w:rFonts w:ascii="Arial" w:cs="Arial" w:eastAsia="Arial" w:hAnsi="Arial"/>
          <w:sz w:val="19"/>
          <w:szCs w:val="19"/>
          <w:b w:val="1"/>
          <w:bCs w:val="1"/>
          <w:color w:val="auto"/>
        </w:rPr>
        <w:t>Firm</w:t>
      </w:r>
      <w:r>
        <w:rPr>
          <w:rFonts w:ascii="Arial" w:cs="Arial" w:eastAsia="Arial" w:hAnsi="Arial"/>
          <w:sz w:val="19"/>
          <w:szCs w:val="19"/>
          <w:color w:val="auto"/>
        </w:rPr>
        <w:t>”) will perform the foregoing calculations related to the Excise Tax. The Company will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will provide its calculations, together with detailed supporting documentation, to the Company and Executive within 15 calendar days after the date on which Executive’s right to the severance benefits, accelerated equity award payouts or other payments is triggered (if requested at that time by the Company or Executive) or such other time as requested by the Company or Executive. Any good faith determinations of the Firm made hereunder will be final, binding, and conclusive upon the Company and Executive.</w:t>
      </w:r>
    </w:p>
    <w:p>
      <w:pPr>
        <w:spacing w:after="0" w:line="155" w:lineRule="exact"/>
        <w:rPr>
          <w:sz w:val="20"/>
          <w:szCs w:val="20"/>
          <w:color w:val="auto"/>
        </w:rPr>
      </w:pPr>
    </w:p>
    <w:p>
      <w:pPr>
        <w:jc w:val="both"/>
        <w:ind w:firstLine="656"/>
        <w:spacing w:after="0" w:line="286" w:lineRule="auto"/>
        <w:tabs>
          <w:tab w:leader="none" w:pos="1189"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agrees to enter into the Company’s standard Employee Proprietary Information and Inventions Agreement (the “Confidential Information Agreement”) with such changes as are mutually agreed on upon commencing employment hereunder, provided that the parties agree that the restrictions in such Confidential Information Agreement shall not apply to any Company or other information that (i) was known to Executive prior to joining the Company, or</w:t>
      </w:r>
    </w:p>
    <w:p>
      <w:pPr>
        <w:spacing w:after="0" w:line="2" w:lineRule="exact"/>
        <w:rPr>
          <w:rFonts w:ascii="Arial" w:cs="Arial" w:eastAsia="Arial" w:hAnsi="Arial"/>
          <w:sz w:val="19"/>
          <w:szCs w:val="19"/>
          <w:color w:val="auto"/>
        </w:rPr>
      </w:pPr>
    </w:p>
    <w:p>
      <w:pPr>
        <w:jc w:val="both"/>
        <w:ind w:firstLine="8"/>
        <w:spacing w:after="0" w:line="245" w:lineRule="auto"/>
        <w:tabs>
          <w:tab w:leader="none" w:pos="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is unrelated to the Company’s business or that of its subsidiaries and affiliates, or (iii) is publicly known, or (iv) is known within the healthcare, software or medical device industries outside of the Company other than through an unauthorized disclosure by Executive, or (v) involves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60" w:name="page61"/>
    <w:bookmarkEnd w:id="60"/>
    <w:p>
      <w:pPr>
        <w:jc w:val="both"/>
        <w:spacing w:after="0" w:line="287" w:lineRule="auto"/>
        <w:rPr>
          <w:sz w:val="20"/>
          <w:szCs w:val="20"/>
          <w:color w:val="auto"/>
        </w:rPr>
      </w:pPr>
      <w:r>
        <w:rPr>
          <w:rFonts w:ascii="Arial" w:cs="Arial" w:eastAsia="Arial" w:hAnsi="Arial"/>
          <w:sz w:val="19"/>
          <w:szCs w:val="19"/>
          <w:color w:val="auto"/>
        </w:rPr>
        <w:t>or relates to this Agreement, the Initial RSU Agreement , the Initial MSU Agreement or any other equity-related or other agreement referred to in this Agreement, or (v) otherwise relates to the terms and conditions of Executive’s employment by the Company or the nature, size or any other aspects of Executive’s cash compensation, equity compensation or benefits while an executive or employee of the Company, or to his post-termination severance and other rights, or (vi) needs to be disclosed as reasonably determined by Executive in good faith in order to enforce any of Executive’s rights under this Agreement and/or the Initial RSU Agreement or Initial MSU Agreement and/or any other agreement referred to in the Agreement or otherwise entered into in connection with Executive’s employment by the Company and/or his compensation and/or benefits relating thereto and/or his post-employment termination severance and/or other payment rights or other rights. In addition, the Confidential Information Agreement shall not preclude Executive from discussing the terms of his employment and the Agreement or any agreement referred to in the Agreement on a confidential basis with his immediate family and his advisors, or having the right to retain information relating thereto, or discussing any public information on any basis. Finally, the Confidential Information Agreement shall not preclude Executive from complying with any governmental agency inquiry or any court order or other legal process, provided that reasonable advance notice is provided to the Company.</w:t>
      </w: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54" w:lineRule="auto"/>
        <w:tabs>
          <w:tab w:leader="none" w:pos="1233"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Until the date 1 year after the termination of Executive’s employment with the Company for any reason, Executive agrees not, either directly or indirectly, to solicit any employee of the Company (or any parent or subsidiary of the Company) to leave his or her employment either for Executive or for any other entity or person except as authorized by the Board (e.g., in a reduction-in-force or individual termination scenario).</w:t>
      </w:r>
    </w:p>
    <w:p>
      <w:pPr>
        <w:spacing w:after="0" w:line="185" w:lineRule="exact"/>
        <w:rPr>
          <w:rFonts w:ascii="Arial" w:cs="Arial" w:eastAsia="Arial" w:hAnsi="Arial"/>
          <w:sz w:val="22"/>
          <w:szCs w:val="22"/>
          <w:color w:val="auto"/>
        </w:rPr>
      </w:pPr>
    </w:p>
    <w:p>
      <w:pPr>
        <w:jc w:val="both"/>
        <w:ind w:firstLine="656"/>
        <w:spacing w:after="0" w:line="261" w:lineRule="auto"/>
        <w:tabs>
          <w:tab w:leader="none" w:pos="1233"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21"/>
          <w:szCs w:val="21"/>
          <w:b w:val="1"/>
          <w:bCs w:val="1"/>
          <w:color w:val="auto"/>
        </w:rPr>
        <w:t>successor</w:t>
      </w:r>
      <w:r>
        <w:rPr>
          <w:rFonts w:ascii="Arial" w:cs="Arial" w:eastAsia="Arial" w:hAnsi="Arial"/>
          <w:sz w:val="21"/>
          <w:szCs w:val="21"/>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1" w:lineRule="exact"/>
        <w:rPr>
          <w:rFonts w:ascii="Arial" w:cs="Arial" w:eastAsia="Arial" w:hAnsi="Arial"/>
          <w:sz w:val="21"/>
          <w:szCs w:val="21"/>
          <w:color w:val="auto"/>
        </w:rPr>
      </w:pPr>
    </w:p>
    <w:p>
      <w:pPr>
        <w:jc w:val="both"/>
        <w:ind w:firstLine="656"/>
        <w:spacing w:after="0" w:line="307" w:lineRule="auto"/>
        <w:tabs>
          <w:tab w:leader="none" w:pos="112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called for hereunder will be in writing and will be deemed given (i) on the date of delivery if delivered personally, (ii) 1 day after being sent by a well-established commercial overnight service, or (iii)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11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Attn</w:t>
      </w:r>
      <w:r>
        <w:rPr>
          <w:rFonts w:ascii="Arial" w:cs="Arial" w:eastAsia="Arial" w:hAnsi="Arial"/>
          <w:sz w:val="22"/>
          <w:szCs w:val="22"/>
          <w:color w:val="auto"/>
        </w:rPr>
        <w:t>: General Counsel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Align Technology, Inc.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2560 Orchard Parkway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 Jose, California 95131</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Executive: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61" w:name="page62"/>
    <w:bookmarkEnd w:id="61"/>
    <w:p>
      <w:pPr>
        <w:ind w:left="1300"/>
        <w:spacing w:after="0"/>
        <w:rPr>
          <w:sz w:val="20"/>
          <w:szCs w:val="20"/>
          <w:color w:val="auto"/>
        </w:rPr>
      </w:pPr>
      <w:r>
        <w:rPr>
          <w:rFonts w:ascii="Arial" w:cs="Arial" w:eastAsia="Arial" w:hAnsi="Arial"/>
          <w:sz w:val="22"/>
          <w:szCs w:val="22"/>
          <w:color w:val="auto"/>
        </w:rPr>
        <w:t>at the last residential address known by the Company, 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Brian T. Foley, Esq.</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Brian Foley &amp; Company,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 North Broadway – Suite 411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White Plains, NY 10601-2310.</w:t>
      </w:r>
    </w:p>
    <w:p>
      <w:pPr>
        <w:spacing w:after="0" w:line="202" w:lineRule="exact"/>
        <w:rPr>
          <w:sz w:val="20"/>
          <w:szCs w:val="20"/>
          <w:color w:val="auto"/>
        </w:rPr>
      </w:pPr>
    </w:p>
    <w:p>
      <w:pPr>
        <w:ind w:right="20" w:firstLine="656"/>
        <w:spacing w:after="0" w:line="301" w:lineRule="auto"/>
        <w:tabs>
          <w:tab w:leader="none" w:pos="1139"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hereof becomes or is declared by a court of competent jurisdiction to be illegal, unenforceable or void, this Agreement will continue in full force and effect without said provision.</w:t>
      </w:r>
    </w:p>
    <w:p>
      <w:pPr>
        <w:spacing w:after="0" w:line="137" w:lineRule="exact"/>
        <w:rPr>
          <w:rFonts w:ascii="Arial" w:cs="Arial" w:eastAsia="Arial" w:hAnsi="Arial"/>
          <w:sz w:val="21"/>
          <w:szCs w:val="21"/>
          <w:color w:val="auto"/>
        </w:rPr>
      </w:pPr>
    </w:p>
    <w:p>
      <w:pPr>
        <w:jc w:val="both"/>
        <w:ind w:firstLine="656"/>
        <w:spacing w:after="0" w:line="254" w:lineRule="auto"/>
        <w:tabs>
          <w:tab w:leader="none" w:pos="11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will be subject to arbitration in accordance with the provisions of the Confidential Information Agreement.</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13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together with the Equity Plan, Initial RSU Agreement, the Initial MSU Agreement, any subsequent RSU or MSU award agreements and the Confidential Information Agreement and other agreements referred herein by name, represents the entire agreement and understanding between the parties as to the subject matter herein and supersedes all prior or contemporaneous agreements whether written or oral, including the Chief Executive Officer Employment Agreement by and between the Company and Executive dated March 25, 2015. With respect to restricted stock units, market stock units, stock options or other equity awards granted on or after the date of this Agreement, the acceleration of vesting provisions provided herein will apply to such restricted stock units, market stock units, stock options or other equity awards (including, without limit, any Initial RSUs or Initial MSUs) and will not be overridden or otherwise adversely affected by the general terms of the applicable award agreement or the Plan. This Agreement may be modified only by agreement of the parties by a written instrument executed by the parties that is designated as an amendment to this Agreement.</w:t>
      </w:r>
    </w:p>
    <w:p>
      <w:pPr>
        <w:spacing w:after="0" w:line="155" w:lineRule="exact"/>
        <w:rPr>
          <w:rFonts w:ascii="Arial" w:cs="Arial" w:eastAsia="Arial" w:hAnsi="Arial"/>
          <w:sz w:val="19"/>
          <w:szCs w:val="19"/>
          <w:color w:val="auto"/>
        </w:rPr>
      </w:pPr>
    </w:p>
    <w:p>
      <w:pPr>
        <w:ind w:right="20" w:firstLine="656"/>
        <w:spacing w:after="0" w:line="301" w:lineRule="auto"/>
        <w:tabs>
          <w:tab w:leader="none" w:pos="1125"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Waiver of Breach</w:t>
      </w:r>
      <w:r>
        <w:rPr>
          <w:rFonts w:ascii="Arial" w:cs="Arial" w:eastAsia="Arial" w:hAnsi="Arial"/>
          <w:sz w:val="21"/>
          <w:szCs w:val="21"/>
          <w:color w:val="auto"/>
        </w:rPr>
        <w:t>. The waiver of a breach of any term or provision of this Agreement, which must be in writing, will not operate as or be construed to be a waiver of any other previous or subsequent breach of this Agreement.</w:t>
      </w:r>
    </w:p>
    <w:p>
      <w:pPr>
        <w:spacing w:after="0" w:line="137" w:lineRule="exact"/>
        <w:rPr>
          <w:rFonts w:ascii="Arial" w:cs="Arial" w:eastAsia="Arial" w:hAnsi="Arial"/>
          <w:sz w:val="21"/>
          <w:szCs w:val="21"/>
          <w:color w:val="auto"/>
        </w:rPr>
      </w:pPr>
    </w:p>
    <w:p>
      <w:pPr>
        <w:ind w:firstLine="656"/>
        <w:spacing w:after="0" w:line="276" w:lineRule="auto"/>
        <w:tabs>
          <w:tab w:leader="none" w:pos="109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payments made pursuant to this Agreement will be subject to withholding of applicable taxes.</w:t>
      </w:r>
    </w:p>
    <w:p>
      <w:pPr>
        <w:spacing w:after="0" w:line="267" w:lineRule="exact"/>
        <w:rPr>
          <w:rFonts w:ascii="Arial" w:cs="Arial" w:eastAsia="Arial" w:hAnsi="Arial"/>
          <w:sz w:val="19"/>
          <w:szCs w:val="19"/>
          <w:color w:val="auto"/>
        </w:rPr>
      </w:pPr>
    </w:p>
    <w:p>
      <w:pPr>
        <w:ind w:firstLine="656"/>
        <w:spacing w:after="0" w:line="276" w:lineRule="auto"/>
        <w:tabs>
          <w:tab w:leader="none" w:pos="111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(without regard to its conflict of laws principles and provisions).</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0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Executive acknowledges that he has had the opportunity to discuss this matter with and obtain advice from his private attorney and advisors, has had sufficient time to, and has carefully read and fully understands all the provisions of this Agreement, and is knowingly and voluntarily entering into this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62" w:name="page63"/>
    <w:bookmarkEnd w:id="62"/>
    <w:p>
      <w:pPr>
        <w:ind w:left="-20" w:firstLine="656"/>
        <w:spacing w:after="0" w:line="301" w:lineRule="auto"/>
        <w:tabs>
          <w:tab w:leader="none" w:pos="114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and each counterpart will have the same force and effect as an original and will constitute an effective, binding agreement on the part of each of the undersigned.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60" w:top="591" w:right="259" w:bottom="1440" w:gutter="0" w:footer="0" w:header="0"/>
        </w:sectPr>
      </w:pPr>
    </w:p>
    <w:bookmarkStart w:id="63" w:name="page64"/>
    <w:bookmarkEnd w:id="63"/>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their duly authorized officers, as of the Effective Date.</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ALIGN TECHNOLOGY, INC.</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2420" w:val="left"/>
          <w:tab w:leader="none" w:pos="2800" w:val="left"/>
          <w:tab w:leader="none" w:pos="7220" w:val="left"/>
          <w:tab w:leader="none" w:pos="10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w:t>
        <w:tab/>
        <w:t>THOMAS M. PRESCOTT</w:t>
      </w:r>
      <w:r>
        <w:rPr>
          <w:sz w:val="20"/>
          <w:szCs w:val="20"/>
          <w:color w:val="auto"/>
        </w:rPr>
        <w:tab/>
      </w:r>
      <w:r>
        <w:rPr>
          <w:rFonts w:ascii="Arial" w:cs="Arial" w:eastAsia="Arial" w:hAnsi="Arial"/>
          <w:sz w:val="22"/>
          <w:szCs w:val="22"/>
          <w:color w:val="auto"/>
        </w:rPr>
        <w:t>Date:</w:t>
      </w:r>
      <w:r>
        <w:rPr>
          <w:sz w:val="20"/>
          <w:szCs w:val="20"/>
          <w:color w:val="auto"/>
        </w:rPr>
        <w:tab/>
      </w:r>
      <w:r>
        <w:rPr>
          <w:rFonts w:ascii="Arial" w:cs="Arial" w:eastAsia="Arial" w:hAnsi="Arial"/>
          <w:sz w:val="17"/>
          <w:szCs w:val="17"/>
          <w:color w:val="auto"/>
        </w:rPr>
        <w:t>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24765</wp:posOffset>
            </wp:positionV>
            <wp:extent cx="6955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Thomas M. Prescott, on behalf of the Board of Directors</w:t>
      </w: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4040" w:val="left"/>
        </w:tabs>
        <w:rPr>
          <w:sz w:val="20"/>
          <w:szCs w:val="20"/>
          <w:color w:val="auto"/>
        </w:rPr>
      </w:pPr>
      <w:r>
        <w:rPr>
          <w:rFonts w:ascii="Arial" w:cs="Arial" w:eastAsia="Arial" w:hAnsi="Arial"/>
          <w:sz w:val="22"/>
          <w:szCs w:val="22"/>
          <w:color w:val="auto"/>
        </w:rPr>
        <w:t>Title: President and Chief Executive Officer</w:t>
      </w:r>
      <w:r>
        <w:rPr>
          <w:sz w:val="20"/>
          <w:szCs w:val="20"/>
          <w:color w:val="auto"/>
        </w:rPr>
        <w:tab/>
      </w:r>
      <w:r>
        <w:rPr>
          <w:rFonts w:ascii="Arial" w:cs="Arial" w:eastAsia="Arial" w:hAnsi="Arial"/>
          <w:sz w:val="19"/>
          <w:szCs w:val="19"/>
          <w:color w:val="auto"/>
        </w:rPr>
        <w:t>, Align Technology, Inc.</w:t>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84" w:lineRule="exact"/>
        <w:rPr>
          <w:sz w:val="20"/>
          <w:szCs w:val="20"/>
          <w:color w:val="auto"/>
        </w:rPr>
      </w:pPr>
    </w:p>
    <w:p>
      <w:pPr>
        <w:ind w:left="2640"/>
        <w:spacing w:after="0"/>
        <w:tabs>
          <w:tab w:leader="none" w:pos="7220" w:val="left"/>
          <w:tab w:leader="none" w:pos="10320" w:val="left"/>
        </w:tabs>
        <w:rPr>
          <w:sz w:val="20"/>
          <w:szCs w:val="20"/>
          <w:color w:val="auto"/>
        </w:rPr>
      </w:pPr>
      <w:r>
        <w:rPr>
          <w:rFonts w:ascii="Arial" w:cs="Arial" w:eastAsia="Arial" w:hAnsi="Arial"/>
          <w:sz w:val="18"/>
          <w:szCs w:val="18"/>
          <w:color w:val="auto"/>
        </w:rPr>
        <w:t>/S/  JOSEPH M. HOGAN</w:t>
      </w:r>
      <w:r>
        <w:rPr>
          <w:sz w:val="20"/>
          <w:szCs w:val="20"/>
          <w:color w:val="auto"/>
        </w:rPr>
        <w:tab/>
      </w:r>
      <w:r>
        <w:rPr>
          <w:rFonts w:ascii="Arial" w:cs="Arial" w:eastAsia="Arial" w:hAnsi="Arial"/>
          <w:sz w:val="22"/>
          <w:szCs w:val="22"/>
          <w:color w:val="auto"/>
        </w:rPr>
        <w:t>Date:</w:t>
      </w:r>
      <w:r>
        <w:rPr>
          <w:sz w:val="20"/>
          <w:szCs w:val="20"/>
          <w:color w:val="auto"/>
        </w:rPr>
        <w:tab/>
      </w:r>
      <w:r>
        <w:rPr>
          <w:rFonts w:ascii="Arial" w:cs="Arial" w:eastAsia="Arial" w:hAnsi="Arial"/>
          <w:sz w:val="17"/>
          <w:szCs w:val="17"/>
          <w:color w:val="auto"/>
        </w:rPr>
        <w:t>April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Joseph M. Hogan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[SIGNATURE PAGE TO AMENDED AND RESTATED CHIEF EXECUTIVE OFFICER EMPLOYMENT AGREEMENT]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20"/>
          </w:cols>
          <w:pgMar w:left="240" w:top="591"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March 31,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Thomas M. Prescott</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March 31,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lvl w:ilvl="1">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lvl w:ilvl="1">
      <w:lvlJc w:val="left"/>
      <w:lvlText w:val="(%2)"/>
      <w:numFmt w:val="lowerLetter"/>
      <w:start w:val="1"/>
    </w:lvl>
  </w:abstractNum>
  <w:abstractNum w:abstractNumId="31">
    <w:nsid w:val="57E4CCAF"/>
    <w:multiLevelType w:val="hybridMultilevel"/>
    <w:lvl w:ilvl="0">
      <w:lvlJc w:val="left"/>
      <w:lvlText w:val="(%1)"/>
      <w:numFmt w:val="lowerLetter"/>
      <w:start w:val="4"/>
    </w:lvl>
  </w:abstractNum>
  <w:abstractNum w:abstractNumId="32">
    <w:nsid w:val="7A6D8D3C"/>
    <w:multiLevelType w:val="hybridMultilevel"/>
    <w:lvl w:ilvl="0">
      <w:lvlJc w:val="left"/>
      <w:lvlText w:val="%1."/>
      <w:numFmt w:val="decimal"/>
      <w:start w:val="2"/>
    </w:lvl>
    <w:lvl w:ilvl="1">
      <w:lvlJc w:val="left"/>
      <w:lvlText w:val="(%2)"/>
      <w:numFmt w:val="lowerLetter"/>
      <w:start w:val="1"/>
    </w:lvl>
  </w:abstractNum>
  <w:abstractNum w:abstractNumId="33">
    <w:nsid w:val="4B588F54"/>
    <w:multiLevelType w:val="hybridMultilevel"/>
    <w:lvl w:ilvl="0">
      <w:lvlJc w:val="left"/>
      <w:lvlText w:val="(%1)"/>
      <w:numFmt w:val="lowerLetter"/>
      <w:start w:val="2"/>
    </w:lvl>
    <w:lvl w:ilvl="1">
      <w:lvlJc w:val="left"/>
      <w:lvlText w:val="(%2)"/>
      <w:numFmt w:val="lowerLetter"/>
      <w:start w:val="4"/>
    </w:lvl>
  </w:abstractNum>
  <w:abstractNum w:abstractNumId="34">
    <w:nsid w:val="542289EC"/>
    <w:multiLevelType w:val="hybridMultilevel"/>
    <w:lvl w:ilvl="0">
      <w:lvlJc w:val="left"/>
      <w:lvlText w:val="%1"/>
      <w:numFmt w:val="lowerLetter"/>
      <w:start w:val="1"/>
    </w:lvl>
    <w:lvl w:ilvl="1">
      <w:lvlJc w:val="left"/>
      <w:lvlText w:val="(%2)"/>
      <w:numFmt w:val="lowerLetter"/>
      <w:start w:val="5"/>
    </w:lvl>
  </w:abstractNum>
  <w:abstractNum w:abstractNumId="35">
    <w:nsid w:val="6DE91B18"/>
    <w:multiLevelType w:val="hybridMultilevel"/>
    <w:lvl w:ilvl="0">
      <w:lvlJc w:val="left"/>
      <w:lvlText w:val="(%1)"/>
      <w:numFmt w:val="lowerLetter"/>
      <w:start w:val="7"/>
    </w:lvl>
    <w:lvl w:ilvl="1">
      <w:lvlJc w:val="left"/>
      <w:lvlText w:val="%2"/>
      <w:numFmt w:val="lowerLetter"/>
      <w:start w:val="1"/>
    </w:lvl>
  </w:abstractNum>
  <w:abstractNum w:abstractNumId="36">
    <w:nsid w:val="38437FDB"/>
    <w:multiLevelType w:val="hybridMultilevel"/>
    <w:lvl w:ilvl="0">
      <w:lvlJc w:val="left"/>
      <w:lvlText w:val="%1."/>
      <w:numFmt w:val="decimal"/>
      <w:start w:val="4"/>
    </w:lvl>
  </w:abstractNum>
  <w:abstractNum w:abstractNumId="37">
    <w:nsid w:val="7644A45C"/>
    <w:multiLevelType w:val="hybridMultilevel"/>
    <w:lvl w:ilvl="0">
      <w:lvlJc w:val="left"/>
      <w:lvlText w:val="(%1)"/>
      <w:numFmt w:val="lowerLetter"/>
      <w:start w:val="1"/>
    </w:lvl>
    <w:lvl w:ilvl="1">
      <w:lvlJc w:val="left"/>
      <w:lvlText w:val="(%2)"/>
      <w:numFmt w:val="lowerLetter"/>
      <w:start w:val="2"/>
    </w:lvl>
  </w:abstractNum>
  <w:abstractNum w:abstractNumId="38">
    <w:nsid w:val="32FFF90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684A481A"/>
    <w:multiLevelType w:val="hybridMultilevel"/>
    <w:lvl w:ilvl="0">
      <w:lvlJc w:val="left"/>
      <w:lvlText w:val="(%1)"/>
      <w:numFmt w:val="lowerRoman"/>
      <w:start w:val="3"/>
    </w:lvl>
  </w:abstractNum>
  <w:abstractNum w:abstractNumId="40">
    <w:nsid w:val="579478FE"/>
    <w:multiLevelType w:val="hybridMultilevel"/>
    <w:lvl w:ilvl="0">
      <w:lvlJc w:val="left"/>
      <w:lvlText w:val="(%1)"/>
      <w:numFmt w:val="lowerLetter"/>
      <w:start w:val="2"/>
    </w:lvl>
  </w:abstractNum>
  <w:abstractNum w:abstractNumId="41">
    <w:nsid w:val="749ABB43"/>
    <w:multiLevelType w:val="hybridMultilevel"/>
    <w:lvl w:ilvl="0">
      <w:lvlJc w:val="left"/>
      <w:lvlText w:val="%1"/>
      <w:numFmt w:val="decimal"/>
      <w:start w:val="1"/>
    </w:lvl>
    <w:lvl w:ilvl="1">
      <w:lvlJc w:val="left"/>
      <w:lvlText w:val="(%2)"/>
      <w:numFmt w:val="lowerLetter"/>
      <w:start w:val="3"/>
    </w:lvl>
  </w:abstractNum>
  <w:abstractNum w:abstractNumId="42">
    <w:nsid w:val="3DC240FB"/>
    <w:multiLevelType w:val="hybridMultilevel"/>
    <w:lvl w:ilvl="0">
      <w:lvlJc w:val="left"/>
      <w:lvlText w:val="%1."/>
      <w:numFmt w:val="decimal"/>
      <w:start w:val="8"/>
    </w:lvl>
    <w:lvl w:ilvl="1">
      <w:lvlJc w:val="left"/>
      <w:lvlText w:val="(%2)"/>
      <w:numFmt w:val="lowerLetter"/>
      <w:start w:val="1"/>
    </w:lvl>
  </w:abstractNum>
  <w:abstractNum w:abstractNumId="43">
    <w:nsid w:val="1BA026F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4">
    <w:nsid w:val="79A1DEA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45">
    <w:nsid w:val="75C6C3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6">
    <w:nsid w:val="12E685FB"/>
    <w:multiLevelType w:val="hybridMultilevel"/>
    <w:lvl w:ilvl="0">
      <w:lvlJc w:val="left"/>
      <w:lvlText w:val="(%1)"/>
      <w:numFmt w:val="lowerLetter"/>
      <w:start w:val="2"/>
    </w:lvl>
    <w:lvl w:ilvl="1">
      <w:lvlJc w:val="left"/>
      <w:lvlText w:val="(%2)"/>
      <w:numFmt w:val="lowerRoman"/>
      <w:start w:val="1"/>
    </w:lvl>
  </w:abstractNum>
  <w:abstractNum w:abstractNumId="47">
    <w:nsid w:val="70C6A529"/>
    <w:multiLevelType w:val="hybridMultilevel"/>
    <w:lvl w:ilvl="0">
      <w:lvlJc w:val="left"/>
      <w:lvlText w:val="(%1)"/>
      <w:numFmt w:val="lowerLetter"/>
      <w:start w:val="3"/>
    </w:lvl>
    <w:lvl w:ilvl="1">
      <w:lvlJc w:val="left"/>
      <w:lvlText w:val="(%2)"/>
      <w:numFmt w:val="lowerRoman"/>
      <w:start w:val="1"/>
    </w:lvl>
  </w:abstractNum>
  <w:abstractNum w:abstractNumId="48">
    <w:nsid w:val="520EEDD1"/>
    <w:multiLevelType w:val="hybridMultilevel"/>
    <w:lvl w:ilvl="0">
      <w:lvlJc w:val="left"/>
      <w:lvlText w:val="(%1)"/>
      <w:numFmt w:val="lowerLetter"/>
      <w:start w:val="5"/>
    </w:lvl>
  </w:abstractNum>
  <w:abstractNum w:abstractNumId="49">
    <w:nsid w:val="374A3FE6"/>
    <w:multiLevelType w:val="hybridMultilevel"/>
    <w:lvl w:ilvl="0">
      <w:lvlJc w:val="left"/>
      <w:lvlText w:val="%1."/>
      <w:numFmt w:val="decimal"/>
      <w:start w:val="9"/>
    </w:lvl>
    <w:lvl w:ilvl="1">
      <w:lvlJc w:val="left"/>
      <w:lvlText w:val="(%2)"/>
      <w:numFmt w:val="lowerLetter"/>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lowerRoman"/>
      <w:start w:val="1"/>
    </w:lvl>
    <w:lvl w:ilvl="1">
      <w:lvlJc w:val="left"/>
      <w:lvlText w:val="%2."/>
      <w:numFmt w:val="decimal"/>
      <w:start w:val="10"/>
    </w:lvl>
  </w:abstractNum>
  <w:abstractNum w:abstractNumId="52">
    <w:nsid w:val="649BB77C"/>
    <w:multiLevelType w:val="hybridMultilevel"/>
    <w:lvl w:ilvl="0">
      <w:lvlJc w:val="left"/>
      <w:lvlText w:val="(%1)"/>
      <w:numFmt w:val="lowerRoman"/>
      <w:start w:val="2"/>
    </w:lvl>
    <w:lvl w:ilvl="1">
      <w:lvlJc w:val="left"/>
      <w:lvlText w:val="%2"/>
      <w:numFmt w:val="decimal"/>
      <w:start w:val="1"/>
    </w:lvl>
  </w:abstractNum>
  <w:abstractNum w:abstractNumId="53">
    <w:nsid w:val="275AC794"/>
    <w:multiLevelType w:val="hybridMultilevel"/>
    <w:lvl w:ilvl="0">
      <w:lvlJc w:val="left"/>
      <w:lvlText w:val="%1."/>
      <w:numFmt w:val="decimal"/>
      <w:start w:val="12"/>
    </w:lvl>
  </w:abstractNum>
  <w:abstractNum w:abstractNumId="54">
    <w:nsid w:val="39386575"/>
    <w:multiLevelType w:val="hybridMultilevel"/>
    <w:lvl w:ilvl="0">
      <w:lvlJc w:val="left"/>
      <w:lvlText w:val="%1."/>
      <w:numFmt w:val="decimal"/>
      <w:start w:val="15"/>
    </w:lvl>
  </w:abstractNum>
  <w:abstractNum w:abstractNumId="55">
    <w:nsid w:val="1CF10FD8"/>
    <w:multiLevelType w:val="hybridMultilevel"/>
    <w:lvl w:ilvl="0">
      <w:lvlJc w:val="left"/>
      <w:lvlText w:val="%1."/>
      <w:numFmt w:val="decimal"/>
      <w:start w:val="23"/>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2019-12-29T17:08:17Z</dcterms:created>
  <dcterms:modified xsi:type="dcterms:W3CDTF">2019-12-29T17:08:17Z</dcterms:modified>
</cp:coreProperties>
</file>