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March 31, 2016</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April 29, 2016 was 80,184,259.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1">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1">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2">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66675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46,996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180,627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151,090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112,210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15,083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13,885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(expenses), net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52,907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79,831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80,459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24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CCEEFF"/>
            </w:tcBorders>
            <w:shd w:val="clear" w:color="auto" w:fill="CCEEFF"/>
          </w:tcPr>
          <w:p>
            <w:pPr>
              <w:spacing w:after="0"/>
              <w:rPr>
                <w:sz w:val="24"/>
                <w:szCs w:val="24"/>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40,546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36,177</w:t>
            </w:r>
          </w:p>
        </w:tc>
        <w:tc>
          <w:tcPr>
            <w:tcW w:w="100" w:type="dxa"/>
            <w:vAlign w:val="bottom"/>
          </w:tcPr>
          <w:p>
            <w:pPr>
              <w:spacing w:after="0"/>
              <w:rPr>
                <w:sz w:val="20"/>
                <w:szCs w:val="20"/>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Change in unrealized gains (losses) on available-for-sale securities, net of tax</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41,548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36,211</w:t>
            </w: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167,714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393,660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359,581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$2,770 and $2,472,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19,465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783,003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732,010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136,473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51,416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1,207,560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1,158,633</w:t>
            </w: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36,258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34,354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107,765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129,553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37,512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315,530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310,707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6 and 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3"/>
              </w:rPr>
              <w:t>Common stock, $0.0001 par value (200,000 shares authorized; 80,175 and 79,500 issued and outstanding,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821,507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27,391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892,030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847,926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1,158,633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40,546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36,177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12,524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tax benefits from stock-based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6,019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30,680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35,645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86,908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199,871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154,418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189,978</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months ended March 31, 2016 and 2015, our comprehensive income for the three months ended March 31, 2016 and 2015, our financial position as of March 31, 2016 and our cash flows for the three months ended March 31, 2016 and 2015. The Condensed Consolidated Balance Sheet as of December 31, 2015 was derived from the December 31, 2015 audited financial statements but does not include all disclosures required by accounting principles generally accepted in the United States of America.</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months ended March 31, 2016 are not necessarily indicative of the results that may be expected for the year ending December 31, 2016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2015.</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May 2014, the Financial Accounting Standards Board (" FASB") released Accounting Standards Update ("ASU") 2014-9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to supersede nearly all existing revenue recognition guidance under GAAP. The core principle of the standard is to recognize revenues when</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that reporting companies disclose the nature, amount, timing, and uncertainty of revenue and cash flows arising from contracts with customers.</w:t>
      </w:r>
    </w:p>
    <w:p>
      <w:pPr>
        <w:spacing w:after="0" w:line="19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August 2015, the FASB deferred the effective date of the update by one year, with early adoption on the original effective date permitted. We are required to adopt this standard starting in the first quarter of fiscal year 2018 using either of two methods: (i) retrospective to each prior reporting period presented with the option to elect certain practical expedients as defined within the standard; or (ii) retrospective with the cumulative effect of initially applying the standard recognized at the date of initial application and providing certain additional disclosures as defined per the standard. We have not yet selected a transition method, and are in the process of determining the impact that the new standard will have on our consolidated financial statements.</w:t>
      </w:r>
    </w:p>
    <w:p>
      <w:pPr>
        <w:spacing w:after="0" w:line="15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52525"/>
        </w:rPr>
        <w:t>In February 2016, the FASB issued ASU No. 2016-02, “</w:t>
      </w:r>
      <w:r>
        <w:rPr>
          <w:rFonts w:ascii="Arial" w:cs="Arial" w:eastAsia="Arial" w:hAnsi="Arial"/>
          <w:sz w:val="16"/>
          <w:szCs w:val="16"/>
          <w:i w:val="1"/>
          <w:iCs w:val="1"/>
          <w:color w:val="252525"/>
        </w:rPr>
        <w:t>Leases</w:t>
      </w:r>
      <w:r>
        <w:rPr>
          <w:rFonts w:ascii="Arial" w:cs="Arial" w:eastAsia="Arial" w:hAnsi="Arial"/>
          <w:sz w:val="16"/>
          <w:szCs w:val="16"/>
          <w:color w:val="252525"/>
        </w:rPr>
        <w:t>” (topic 842)</w:t>
      </w:r>
      <w:r>
        <w:rPr>
          <w:rFonts w:ascii="Arial" w:cs="Arial" w:eastAsia="Arial" w:hAnsi="Arial"/>
          <w:sz w:val="16"/>
          <w:szCs w:val="16"/>
          <w:i w:val="1"/>
          <w:iCs w:val="1"/>
          <w:color w:val="252525"/>
        </w:rPr>
        <w:t>.</w:t>
      </w:r>
      <w:r>
        <w:rPr>
          <w:rFonts w:ascii="Arial" w:cs="Arial" w:eastAsia="Arial" w:hAnsi="Arial"/>
          <w:sz w:val="16"/>
          <w:szCs w:val="16"/>
          <w:color w:val="252525"/>
        </w:rPr>
        <w:t xml:space="preserve"> </w:t>
      </w:r>
      <w:r>
        <w:rPr>
          <w:rFonts w:ascii="Arial" w:cs="Arial" w:eastAsia="Arial" w:hAnsi="Arial"/>
          <w:sz w:val="16"/>
          <w:szCs w:val="16"/>
          <w:color w:val="000000"/>
        </w:rPr>
        <w:t>The FASB issued this update to increase transparency and comparability</w:t>
      </w:r>
      <w:r>
        <w:rPr>
          <w:rFonts w:ascii="Arial" w:cs="Arial" w:eastAsia="Arial" w:hAnsi="Arial"/>
          <w:sz w:val="16"/>
          <w:szCs w:val="16"/>
          <w:color w:val="252525"/>
        </w:rPr>
        <w:t xml:space="preserve"> </w:t>
      </w:r>
      <w:r>
        <w:rPr>
          <w:rFonts w:ascii="Arial" w:cs="Arial" w:eastAsia="Arial" w:hAnsi="Arial"/>
          <w:sz w:val="16"/>
          <w:szCs w:val="16"/>
          <w:color w:val="000000"/>
        </w:rPr>
        <w:t xml:space="preserve">among organizations by recognizing lease assets and lease liabilities on the balance sheet and disclosing key information about leasing arrangements. </w:t>
      </w:r>
      <w:r>
        <w:rPr>
          <w:rFonts w:ascii="Arial" w:cs="Arial" w:eastAsia="Arial" w:hAnsi="Arial"/>
          <w:sz w:val="16"/>
          <w:szCs w:val="16"/>
          <w:color w:val="252525"/>
        </w:rPr>
        <w:t>The</w:t>
      </w:r>
      <w:r>
        <w:rPr>
          <w:rFonts w:ascii="Arial" w:cs="Arial" w:eastAsia="Arial" w:hAnsi="Arial"/>
          <w:sz w:val="16"/>
          <w:szCs w:val="16"/>
          <w:color w:val="000000"/>
        </w:rPr>
        <w:t xml:space="preserve"> </w:t>
      </w:r>
      <w:r>
        <w:rPr>
          <w:rFonts w:ascii="Arial" w:cs="Arial" w:eastAsia="Arial" w:hAnsi="Arial"/>
          <w:sz w:val="16"/>
          <w:szCs w:val="16"/>
          <w:color w:val="252525"/>
        </w:rPr>
        <w:t xml:space="preserve">updated guidance is effective for annual periods beginning after December 15, 2018, including interim periods within those fiscal years. Early adoption of the update is permitted. </w:t>
      </w:r>
      <w:r>
        <w:rPr>
          <w:rFonts w:ascii="Arial" w:cs="Arial" w:eastAsia="Arial" w:hAnsi="Arial"/>
          <w:sz w:val="16"/>
          <w:szCs w:val="16"/>
          <w:color w:val="000000"/>
        </w:rPr>
        <w:t>The Company is evaluating the impact of the adoption of this update on our consolidated financial statements and related disclosures.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 of cash flows and forfeiture rate calculations. This ASU will become effective for the Company on January 1, 2017. Early adoption is permitted in any interim or annual period. The Company is currently evaluating the impact of this guidance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2016 and December 31, 2015, the estimated fair value of our short-term and long-term marketable securities, classified as available for sale, are as follows (in thousands):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5160" w:type="dxa"/>
            <w:vAlign w:val="bottom"/>
            <w:gridSpan w:val="4"/>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55,972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55,972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181,519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74,697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71,213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393,634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393,660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22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72,034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132,432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132,690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220"/>
              <w:spacing w:after="0"/>
              <w:rPr>
                <w:sz w:val="20"/>
                <w:szCs w:val="20"/>
                <w:color w:val="auto"/>
              </w:rPr>
            </w:pPr>
            <w:r>
              <w:rPr>
                <w:rFonts w:ascii="Arial" w:cs="Arial" w:eastAsia="Arial" w:hAnsi="Arial"/>
                <w:sz w:val="18"/>
                <w:szCs w:val="18"/>
                <w:b w:val="1"/>
                <w:bCs w:val="1"/>
                <w:i w:val="1"/>
                <w:iCs w:val="1"/>
                <w:color w:val="auto"/>
              </w:rPr>
              <w:t>Short-term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5160" w:type="dxa"/>
            <w:vAlign w:val="bottom"/>
            <w:gridSpan w:val="4"/>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38,537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179,765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179,520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14,214</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75,172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51,683</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359,956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359,581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8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shd w:val="clear" w:color="auto" w:fill="CCEEFF"/>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140" w:type="dxa"/>
            <w:vAlign w:val="bottom"/>
            <w:shd w:val="clear" w:color="auto" w:fill="CCEEFF"/>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shd w:val="clear" w:color="auto" w:fill="CCEEFF"/>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43,853</w:t>
            </w:r>
          </w:p>
        </w:tc>
        <w:tc>
          <w:tcPr>
            <w:tcW w:w="12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63,803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37,673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37,566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151,869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151,370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69"/>
        <w:spacing w:after="0" w:line="302" w:lineRule="auto"/>
        <w:rPr>
          <w:sz w:val="20"/>
          <w:szCs w:val="20"/>
          <w:color w:val="auto"/>
        </w:rPr>
      </w:pPr>
      <w:r>
        <w:rPr>
          <w:rFonts w:ascii="Arial" w:cs="Arial" w:eastAsia="Arial" w:hAnsi="Arial"/>
          <w:sz w:val="16"/>
          <w:szCs w:val="16"/>
          <w:color w:val="auto"/>
        </w:rPr>
        <w:t>Cash and cash equivalents are not included in the table above as the gross unrealized gains and losses are not material. We have no material short-term or long-term investments that have been in a continuous unrealized loss position for greater than twelve months as of March 31, 2016 and December 31, 2015. Amounts reclassified to earnings from accumulated other comprehensive income related to unrealized gain or losses were immaterial for the three months ended March 31, 2016 and 2015. For the three months ended March 31, 2016 and 2015, realized gain or losses were immaterial.</w:t>
      </w:r>
    </w:p>
    <w:p>
      <w:pPr>
        <w:spacing w:after="0" w:line="15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fixed-income securities investment portfolio consists of commercial paper, corporate bonds, municipal securities, U.S. government agency bonds, U.S. government treasury bonds, U.S. dollar dominated foreign corporate bonds, certificates of deposits, and asset-backed securities that have a maximum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these investments upon maturity or sale. The weighted average remaining duration of these securities was approximately and 9 months as of March 31, 2016 and December 31, 2015, respectively.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March 31, 2016 and December 31, 2015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359,581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132,690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151,370</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526,350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510,951</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March 31, 2016 and December 31, 2015.</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Level 2 assets consist of commercial paper, corporate bonds, certificates of deposits, U.S. government agency bonds, asset-backed securities, municipal securities, U.S. dollar dominated foreign corporate bonds and our Israeli funds that are mainly invested in insurance policies and foreign currency forward contracts.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prices that are observable either directly or indirectly, and we are ultimately responsible for these underlying estimates. The foreign currency forward contracts are valued using observable inputs such as quotations on forward foreign exchange rates.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Level 3 assets or liabilities as of March 31, 2016 or December 31, 2015.</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March 31, 2016 and December 31, 2015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2016</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4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67,608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67,608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26,453</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55,972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55,972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181,519</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Municipal securities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9,728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9,728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74,697</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U.S. government treasury bonds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71,230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71,230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dollar dominated foreign corporate bonds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23,478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72,230</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U.S. government treasury bonds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29,120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29,120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deposits</w:t>
            </w: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625,220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167,958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457,262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70,148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70,148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38,537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179,520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179,520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14,214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75,119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51,683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51,683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43,675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63,803</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37,566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37,566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Israeli funds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624,646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465,249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2015, we began entering into foreign currency forward contracts to minimize the short-term impact of foreign currency exchange rate fluctuations on certain trade and intercompany receivables and payables, which are classified within level 2 of the fair value hierarchy. The net loss on these forward contracts was immaterial for the three months ended March 31, 2016. The net gain or loss from the settlement of these foreign currency forward contracts is recorded in Interest and other income (expense), net in the Consolidated Statements of Operations. As of March 31, 2016, the fair value of foreign exchange forward contracts outstanding was a gain of $0.5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March 31, 2016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As of March 31, 2016</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Local Currency</w:t>
            </w:r>
          </w:p>
        </w:tc>
        <w:tc>
          <w:tcPr>
            <w:tcW w:w="120" w:type="dxa"/>
            <w:vAlign w:val="bottom"/>
          </w:tcPr>
          <w:p>
            <w:pPr>
              <w:spacing w:after="0"/>
              <w:rPr>
                <w:sz w:val="13"/>
                <w:szCs w:val="13"/>
                <w:color w:val="auto"/>
              </w:rPr>
            </w:pPr>
          </w:p>
        </w:tc>
        <w:tc>
          <w:tcPr>
            <w:tcW w:w="124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3"/>
              </w:rPr>
              <w:t>Notional Contract</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 (USD)</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w:t>
            </w:r>
          </w:p>
        </w:tc>
        <w:tc>
          <w:tcPr>
            <w:tcW w:w="5500" w:type="dxa"/>
            <w:vAlign w:val="bottom"/>
            <w:tcBorders>
              <w:bottom w:val="single" w:sz="8" w:color="CCEEFF"/>
            </w:tcBorders>
            <w:gridSpan w:val="2"/>
            <w:shd w:val="clear" w:color="auto" w:fill="CCEEFF"/>
          </w:tcPr>
          <w:p>
            <w:pPr>
              <w:ind w:left="5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22,700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Euro</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5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A$5,500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Hong Kong dollar</w:t>
            </w:r>
          </w:p>
        </w:tc>
        <w:tc>
          <w:tcPr>
            <w:tcW w:w="5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HK$</w:t>
            </w:r>
          </w:p>
        </w:tc>
        <w:tc>
          <w:tcPr>
            <w:tcW w:w="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1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9,939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7,067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2,448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22,618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19,465</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7,071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rebates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13,834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2,775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2,646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92,723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107,765</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March 31, 2016 and 2015 consists of the following activity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2,704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3,005</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Long-lived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 in the carrying value of goodwill for the three months ended March 31, 2016,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Clear Aligner</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61,074</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61,168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three months ended March 31, 2016 were due to foreign currency translation.</w:t>
      </w:r>
    </w:p>
    <w:p>
      <w:pPr>
        <w:spacing w:after="0" w:line="1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fourth quarter of fiscal 2015, we performed the annual goodwill impairment testing and found no impairment events as the fair value of our Clear Aligner reporting unit was significantly in excess of the carrying value.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are being amortized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(16,139)</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1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March 31, 2016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2016</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2018</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2019</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2,592</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2020</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2,582</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5,114</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Facilities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17, 2016, we amended the credit facility, originally entered into on March 22, 2013, and extended the maturity date to March 22, 2017. The credit facility provides for a $50.0 million revolving line of credit, with a $10.0 million letter of credit sublimit.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March 31, 2016, we had no outstanding borrowings under this credit facility and were in compliance with the conditions and performance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8,375</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7,126</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655</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r>
      <w:tr>
        <w:trPr>
          <w:trHeight w:val="243"/>
        </w:trPr>
        <w:tc>
          <w:tcPr>
            <w:tcW w:w="960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19,410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2016,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2016, we did not have any material indemnification claims that were probable or reasonably possible.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2016, the 2005 Incentive Plan (as amended) has a total reserve of 23,283,379 shares of which 3,617,914 shares are available for issuance.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months ended March 31, 2016 and 2015 is as follows (in thousands):</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12,524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Activity for the three months ended March 31, 2016 under the stock option plans is set forth below (in thousands, except years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Contractual Term</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31, 2016</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26,699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March 31, 2016</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26,699</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2016</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26,699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There were no stock options granted during the three months ended March 31, 2016 and 2015. All compensation costs relating to stock options have been recognized as of March 31,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for the three months ended March 31, 2016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Underlying RSU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2015</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2016</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140,321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60" w:type="dxa"/>
            <w:vAlign w:val="bottom"/>
          </w:tcPr>
          <w:p>
            <w:pPr>
              <w:spacing w:after="0"/>
              <w:rPr>
                <w:sz w:val="24"/>
                <w:szCs w:val="24"/>
                <w:color w:val="auto"/>
              </w:rPr>
            </w:pPr>
          </w:p>
        </w:tc>
        <w:tc>
          <w:tcPr>
            <w:tcW w:w="1720" w:type="dxa"/>
            <w:vAlign w:val="bottom"/>
          </w:tcPr>
          <w:p>
            <w:pPr>
              <w:jc w:val="right"/>
              <w:ind w:right="3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2016, the total unamortized compensation cost related to RSU, net of estimated forfeitures, was $88.7 million, which we expect to recognize over a weighted average period of 2.5 years.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activity for the three months ended March 31, 2016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Underlying MSU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39,852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2016, the total unamortized compensation costs related to the MSU, net of estimated forfeitures, was $18.9 million, which we expect to recognize over a weighted average period of 1.8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March 31, 2016, 1,029,526 shares remain available for purchase under the 2010 Purchase Plan.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13335</wp:posOffset>
            </wp:positionV>
            <wp:extent cx="2109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94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8"/>
              </w:rPr>
              <w:t>19.96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1"/>
                <w:szCs w:val="21"/>
                <w:color w:val="auto"/>
              </w:rPr>
            </w:pPr>
          </w:p>
        </w:tc>
      </w:tr>
      <w:tr>
        <w:trPr>
          <w:trHeight w:val="27"/>
        </w:trPr>
        <w:tc>
          <w:tcPr>
            <w:tcW w:w="8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2016, the total unamortized compensation cost related to employee purchases was $1.7 million, which we expect to recognize over a weighted average period of 0.6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Repurchase</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April 2014, we announced that our Board of Directors had authorized a stock repurchase program ("April 2014") pursuant to which we may purchase up to $300.0 million of our common stock over the next three years. As of March 31, 2016, we have approximately $100.0 million remaining under the April 2014 stock repurchase program. On May 3, 2016, as part of our $300.0 million April 2014 stock repurchase program, we entered into an ASR to repurchase $50.0 million of our common stock (the "2016 ASR"). Under the terms of the 2016 ASR, we paid $50.0 million on May 4, 2016 and received an initial delivery of approximately 0.5 million shares based on current market prices. The final number of shares to be repurchased will be based on our volume-weighted average stock price during the term of the 2016 ASR, less an agreed upon discount. Commencing immediately after the completion of the 2016 ASR, we will repurchase $50.0 million of our common stock on the open market. These two actions will complete the April 2014 stock repurchase program.</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April 28, 2016, we announced that our Board of Directors had authorized a plan to repurchase up to $300.0 million of the Company's stock. This latest authorization is in addition to the existing $300 million authorization announced in April 2014, which brings the total authorization to $600 million.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Accounting for 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was $12.4 million and $11.3 million for the three months ended March 31, 2016 and 2015, respectively. This represents effective tax rates of 23.4% and 23.8%, respectively. Our effective tax rates differ from the statutory federal income tax rate of 35% due to certain foreign earnings, primarily from Costa Rica, which are subject to a lower tax rate, state income tax expense, the tax impact of certain stock-based compensation charges and unrecognized tax benefits.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2016, we maintained a valuation allowance of $31.7 million against our deferred tax assets which primarily relate to Israel operating loss carryforwards and Australia capital loss carryforwards. These net operating and capital loss carryforwards would result in us recording an income tax benefit if we were to conclude it is more likely than not that the related deferred tax assets will be realized.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total gross unrecognized tax benefits, excluding interest, was $40.9 million and $39.4 million as of March 31, 2016 and December 31, 2015, respectively, all of which would impact our effective tax rate if recognized. We have elected to recognize interest and penalties related to unrecognized tax benefits as a component of income taxes. The interest accrued as of March 31, 2016 is $0.9 million. We do not expect any significant changes to the amount of unrecognized tax benefit within the next twelve months.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 We are currently under audit by the California Franchise Tax Board for fiscal years 2011, 2012 and 2013.</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Income taxes were reduced by $8.6 million and $8.2 million for the three months ended March 31, 2016 and 2015, respectively, representing a benefit to diluted net income per share of $0.11 and $0.10 in 2016 and 2015,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ESPP.</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246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40,546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36,177</w:t>
            </w:r>
          </w:p>
        </w:tc>
        <w:tc>
          <w:tcPr>
            <w:tcW w:w="100" w:type="dxa"/>
            <w:vAlign w:val="bottom"/>
          </w:tcPr>
          <w:p>
            <w:pPr>
              <w:spacing w:after="0"/>
              <w:rPr>
                <w:sz w:val="21"/>
                <w:szCs w:val="2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79,831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80,459</w:t>
            </w:r>
          </w:p>
        </w:tc>
        <w:tc>
          <w:tcPr>
            <w:tcW w:w="1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81,320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81,824</w:t>
            </w:r>
          </w:p>
        </w:tc>
        <w:tc>
          <w:tcPr>
            <w:tcW w:w="100" w:type="dxa"/>
            <w:vAlign w:val="bottom"/>
          </w:tcPr>
          <w:p>
            <w:pPr>
              <w:spacing w:after="0"/>
              <w:rPr>
                <w:sz w:val="20"/>
                <w:szCs w:val="20"/>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305"/>
        </w:trPr>
        <w:tc>
          <w:tcPr>
            <w:tcW w:w="77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Net income per share, basic</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256"/>
        </w:trPr>
        <w:tc>
          <w:tcPr>
            <w:tcW w:w="778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per share, diluted</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2016 and 2015, the anti-dilutive effect from RSU, MSU and ESPP was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the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Scanner segment.</w:t>
      </w:r>
    </w:p>
    <w:p>
      <w:pPr>
        <w:spacing w:after="0" w:line="237" w:lineRule="exact"/>
        <w:rPr>
          <w:sz w:val="20"/>
          <w:szCs w:val="20"/>
          <w:color w:val="auto"/>
        </w:rPr>
      </w:pPr>
    </w:p>
    <w:p>
      <w:pPr>
        <w:ind w:left="980" w:right="2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7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r>
      <w:tr>
        <w:trPr>
          <w:trHeight w:val="250"/>
        </w:trPr>
        <w:tc>
          <w:tcPr>
            <w:tcW w:w="8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187,029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rPr>
                <w:sz w:val="21"/>
                <w:szCs w:val="2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238,720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198,086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70"/>
        </w:trPr>
        <w:tc>
          <w:tcPr>
            <w:tcW w:w="8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172,067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147,960</w:t>
            </w:r>
          </w:p>
        </w:tc>
        <w:tc>
          <w:tcPr>
            <w:tcW w:w="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180,627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151,090</w:t>
            </w:r>
          </w:p>
        </w:tc>
        <w:tc>
          <w:tcPr>
            <w:tcW w:w="100" w:type="dxa"/>
            <w:vAlign w:val="bottom"/>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7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7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r>
      <w:tr>
        <w:trPr>
          <w:trHeight w:val="270"/>
        </w:trPr>
        <w:tc>
          <w:tcPr>
            <w:tcW w:w="8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166,101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139,704</w:t>
            </w:r>
          </w:p>
        </w:tc>
        <w:tc>
          <w:tcPr>
            <w:tcW w:w="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19,737</w:t>
            </w:r>
          </w:p>
        </w:tc>
        <w:tc>
          <w:tcPr>
            <w:tcW w:w="100" w:type="dxa"/>
            <w:vAlign w:val="bottom"/>
          </w:tcPr>
          <w:p>
            <w:pPr>
              <w:spacing w:after="0"/>
              <w:rPr>
                <w:sz w:val="21"/>
                <w:szCs w:val="2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238,720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198,086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ind w:left="520" w:hanging="188"/>
        <w:spacing w:after="0" w:line="197" w:lineRule="auto"/>
        <w:tabs>
          <w:tab w:leader="none" w:pos="520"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3"/>
          <w:szCs w:val="13"/>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-128905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2015</w:t>
            </w:r>
          </w:p>
        </w:tc>
      </w:tr>
      <w:tr>
        <w:trPr>
          <w:trHeight w:val="270"/>
        </w:trPr>
        <w:tc>
          <w:tcPr>
            <w:tcW w:w="85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122,113</w:t>
            </w:r>
          </w:p>
        </w:tc>
        <w:tc>
          <w:tcPr>
            <w:tcW w:w="12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112,632</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9,945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8,419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148,029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136,473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3"/>
          <w:szCs w:val="13"/>
          <w:color w:val="auto"/>
        </w:rPr>
        <w:t>Long-lived assets are attributed to countries based on entity that owns the asset</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 that the policy simplification “Additional Aligners at No Charge" will help increase Invisalign utilization and volume, our expectations regarding product mix and product adoption, our expectations regarding the existence and impact of seasonality, our expectations regarding the financial and strategic benefits of the Scanner and Services ("Scanner") business, our expectations to increase our investment in manufacturing capacity, our expectations regarding the continued expansion of our international markets, the anticipated number of new doctors trained, the expected date our iTero Element Intraoral Scanner will be available, the effectiveness of our new training course and its impact on volumes, our expectations regarding our stock repurchase program,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2015, as filed with the Securities and Exchange Commission.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successful execution of our business strategy and our results in 2016 and beyond may be affected by a number of other factors including:</w:t>
      </w:r>
    </w:p>
    <w:p>
      <w:pPr>
        <w:spacing w:after="0" w:line="264" w:lineRule="exact"/>
        <w:rPr>
          <w:sz w:val="20"/>
          <w:szCs w:val="20"/>
          <w:color w:val="auto"/>
        </w:rPr>
      </w:pPr>
    </w:p>
    <w:p>
      <w:pPr>
        <w:jc w:val="both"/>
        <w:ind w:left="980" w:hanging="486"/>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Additional Aligners at No Charge. </w:t>
      </w:r>
      <w:r>
        <w:rPr>
          <w:rFonts w:ascii="Arial" w:cs="Arial" w:eastAsia="Arial" w:hAnsi="Arial"/>
          <w:sz w:val="16"/>
          <w:szCs w:val="16"/>
          <w:color w:val="auto"/>
        </w:rPr>
        <w:t>In July 2015, we launched a new product policy called "Additional Aligners at No Charge" that addresses one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customers' top complaints. Previously, we charged customers for additional aligners ordered beyond those covered by the initial treatment plan. With this product policy change, we no longer distinguish between mid-course corrections and case refinements and allow doctors to order additional aligners to address either treatment need at no charge, subject to certain requirements. These changes were effective for all new Invisalign Full, Teen, and Assist treatments shipped worldwide after July 18, 2015 as well as any open Invisalign Full, Teen and Assist cases as of that date. While this policy change was largely immaterial to our cash flows, it does impact the timing at which we recognize revenue. Based on this new product policy, beginning in the third quarter of 2015, we deferred more revenue as a result of providing free additional aligners for eligible treatments. While this product policy change will impact the timing of our revenue recognition, we believe this policy change will result in a significant improvement in customer satisfaction and loyalty, and ultimately increase Invisalign utilization and volume over time.</w:t>
      </w:r>
    </w:p>
    <w:p>
      <w:pPr>
        <w:spacing w:after="0" w:line="355" w:lineRule="exact"/>
        <w:rPr>
          <w:rFonts w:ascii="Arial" w:cs="Arial" w:eastAsia="Arial" w:hAnsi="Arial"/>
          <w:sz w:val="16"/>
          <w:szCs w:val="16"/>
          <w:color w:val="auto"/>
        </w:rPr>
      </w:pPr>
    </w:p>
    <w:p>
      <w:pPr>
        <w:ind w:left="1140" w:hanging="646"/>
        <w:spacing w:after="0" w:line="273" w:lineRule="auto"/>
        <w:tabs>
          <w:tab w:leader="none" w:pos="654"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New Products, Feature Enhancements and Technology Innovation</w:t>
      </w:r>
      <w:r>
        <w:rPr>
          <w:rFonts w:ascii="Arial" w:cs="Arial" w:eastAsia="Arial" w:hAnsi="Arial"/>
          <w:sz w:val="17"/>
          <w:szCs w:val="17"/>
          <w:color w:val="auto"/>
        </w:rPr>
        <w:t>. Product innovation drives greater treatment predictability and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Invisalign G6 for premolar extraction and ClinCheck Pro, the next generation Invisalign treatment software tool, designed to provide more precise control over final tooth position and to help Invisalign providers achieve their treatment goals. In addition, we began shipping the next generation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left="980"/>
        <w:spacing w:after="0" w:line="302" w:lineRule="auto"/>
        <w:rPr>
          <w:sz w:val="20"/>
          <w:szCs w:val="20"/>
          <w:color w:val="auto"/>
        </w:rPr>
      </w:pPr>
      <w:r>
        <w:rPr>
          <w:rFonts w:ascii="Arial" w:cs="Arial" w:eastAsia="Arial" w:hAnsi="Arial"/>
          <w:sz w:val="18"/>
          <w:szCs w:val="18"/>
          <w:color w:val="auto"/>
        </w:rPr>
        <w:t>iTero Element Intraoral Scanner in September 2015 and expect to continue to ramp up our production over the next few quarters accordingly; however, our ability to fulfill existing orders may be impacted by capacity constraints due to a variety of factors, including our dependency on third party vendors for key components in addition to limited production yields. If we are unable to scale production of our iTero Element scanner to meet customer demand, our financial results may be negatively impacted.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12" w:lineRule="exact"/>
        <w:rPr>
          <w:sz w:val="20"/>
          <w:szCs w:val="20"/>
          <w:color w:val="auto"/>
        </w:rPr>
      </w:pPr>
    </w:p>
    <w:p>
      <w:pPr>
        <w:jc w:val="both"/>
        <w:ind w:left="980" w:hanging="486"/>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330200</wp:posOffset>
            </wp:positionV>
            <wp:extent cx="5196840" cy="3302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968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00" w:hanging="133"/>
        <w:spacing w:after="0"/>
        <w:tabs>
          <w:tab w:leader="none" w:pos="1600" w:val="left"/>
        </w:tabs>
        <w:numPr>
          <w:ilvl w:val="0"/>
          <w:numId w:val="9"/>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Total utilization in the first quarter of 2016 increased to 4.9 cases per doctor compared to 4.5 in the first quarter of 2015. Utilization among our North American orthodontist customers reached an all time high of 10.4 cases per doctor in the first quarter of 2016 compared to 9.0 in the first quarter of 2015. International doctor utilization increased to 4.7 cases in the first quarter of 2016 from 4.4 in the first quarter of 2015. North American GP doctor utilization increased to 3.0 cases in the first quarter of 2016 from 2.9 in the first quarter of 2015.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growth in both the EMEA and Asia Pacific regions driven by go-to-market and sales coverage investments, improving clinical education and support as well as ongoing technology innovation. 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183" w:lineRule="exact"/>
        <w:rPr>
          <w:sz w:val="20"/>
          <w:szCs w:val="20"/>
          <w:color w:val="auto"/>
        </w:rPr>
      </w:pPr>
    </w:p>
    <w:p>
      <w:pPr>
        <w:jc w:val="both"/>
        <w:ind w:left="980" w:right="20" w:hanging="486"/>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through the training of new doctors.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growth was driven primarily by increased utilization across all regions as well as by the continued expansion of our customer base as we trained a total of 9,795 new Invisalign doctors, of which 56% were trained internationally. During the first quarter of 2016, we trained 2,470 new Invisalign doctors.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980" w:hanging="486"/>
        <w:spacing w:after="0" w:line="269"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Growth. </w:t>
      </w:r>
      <w:r>
        <w:rPr>
          <w:rFonts w:ascii="Arial" w:cs="Arial" w:eastAsia="Arial" w:hAnsi="Arial"/>
          <w:sz w:val="17"/>
          <w:szCs w:val="17"/>
          <w:color w:val="auto"/>
        </w:rPr>
        <w:t>We will continue to focus our efforts towards increasing adoption of our products by dental professionals in</w:t>
      </w:r>
      <w:r>
        <w:rPr>
          <w:rFonts w:ascii="Arial" w:cs="Arial" w:eastAsia="Arial" w:hAnsi="Arial"/>
          <w:sz w:val="17"/>
          <w:szCs w:val="17"/>
          <w:i w:val="1"/>
          <w:iCs w:val="1"/>
          <w:color w:val="auto"/>
        </w:rPr>
        <w:t xml:space="preserve"> </w:t>
      </w:r>
      <w:r>
        <w:rPr>
          <w:rFonts w:ascii="Arial" w:cs="Arial" w:eastAsia="Arial" w:hAnsi="Arial"/>
          <w:sz w:val="17"/>
          <w:szCs w:val="17"/>
          <w:color w:val="auto"/>
        </w:rPr>
        <w:t>our direct international markets. On a year over year basis, international volume increased 34.1% driven primarily by strong performance in the Asia Pacific region as well as growth in Europe. In 2016,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North America for the foreseeable future due to our continued investment in international market expansion, the size of the market opportunity, and our relatively low market penetration in this region. As our international revenues have increased from $55.9 million in the first quarter of 2015 to $69.9 million in the first quarter of 2016, we are increasingly subject to fluctuations in foreign currency exchange rates relative to the U.S. dollar. Although we have historically accepted the exposure to exchange rate movements without using derivative financial instruments to manage risk, in the third quarter of 2015 we initiated a foreign currency economic hedging program to mitigate the foreign currency risk in countries where we have significant monetary assets and liabilities denominated in currencies other than the functional currency. The impact from these forward contracts was not material to our financial statements for the year ended March 31, 2016.</w:t>
      </w:r>
    </w:p>
    <w:p>
      <w:pPr>
        <w:spacing w:after="0" w:line="125" w:lineRule="exact"/>
        <w:rPr>
          <w:rFonts w:ascii="Arial" w:cs="Arial" w:eastAsia="Arial" w:hAnsi="Arial"/>
          <w:sz w:val="17"/>
          <w:szCs w:val="17"/>
          <w:color w:val="auto"/>
        </w:rPr>
      </w:pPr>
    </w:p>
    <w:p>
      <w:pPr>
        <w:jc w:val="both"/>
        <w:ind w:left="980" w:right="20"/>
        <w:spacing w:after="0" w:line="264" w:lineRule="auto"/>
        <w:rPr>
          <w:rFonts w:ascii="Arial" w:cs="Arial" w:eastAsia="Arial" w:hAnsi="Arial"/>
          <w:sz w:val="17"/>
          <w:szCs w:val="17"/>
          <w:color w:val="auto"/>
        </w:rPr>
      </w:pPr>
      <w:r>
        <w:rPr>
          <w:rFonts w:ascii="Arial" w:cs="Arial" w:eastAsia="Arial" w:hAnsi="Arial"/>
          <w:sz w:val="18"/>
          <w:szCs w:val="18"/>
          <w:color w:val="auto"/>
        </w:rPr>
        <w:t>In addition, as we plan for further international expansion over the next several years, we must provide better support to our customers in these regions and be geographically closer to their practices. Accordingly, we intend to make further investments in our manufacturing over the next few years to enhance our regional capabilities.</w:t>
      </w:r>
    </w:p>
    <w:p>
      <w:pPr>
        <w:spacing w:after="0" w:line="127" w:lineRule="exact"/>
        <w:rPr>
          <w:rFonts w:ascii="Arial" w:cs="Arial" w:eastAsia="Arial" w:hAnsi="Arial"/>
          <w:sz w:val="17"/>
          <w:szCs w:val="17"/>
          <w:color w:val="auto"/>
        </w:rPr>
      </w:pPr>
    </w:p>
    <w:p>
      <w:pPr>
        <w:ind w:left="1540" w:hanging="965"/>
        <w:spacing w:after="0" w:line="255" w:lineRule="auto"/>
        <w:tabs>
          <w:tab w:leader="none" w:pos="973"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Establish Regional Order Acquisition and Treatment Planning facilities: </w:t>
      </w:r>
      <w:r>
        <w:rPr>
          <w:rFonts w:ascii="Arial" w:cs="Arial" w:eastAsia="Arial" w:hAnsi="Arial"/>
          <w:sz w:val="18"/>
          <w:szCs w:val="18"/>
          <w:color w:val="auto"/>
        </w:rPr>
        <w:t>We intend to establish additional Order Acquisition and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facilities closer to our International customers in order to improve our operational efficiency and provide doctors with a great experience to further improve their confidence in using Invisalign to treat more patients, more often. If demand for our product in 2016 exceeds our current expectations, or if the timing of receipt of case product orders during a given quarter is different from our expectations, we may not be able to fulfill orders in a timely manner, which may negatively impact our financial results and overall business. Conversely, if demand decreases or if we fail to forecast demand accurately, we could be required to record excess capacity charges, which would lower our gross margin.</w:t>
      </w:r>
    </w:p>
    <w:p>
      <w:pPr>
        <w:spacing w:after="0" w:line="135" w:lineRule="exact"/>
        <w:rPr>
          <w:rFonts w:ascii="Arial" w:cs="Arial" w:eastAsia="Arial" w:hAnsi="Arial"/>
          <w:sz w:val="18"/>
          <w:szCs w:val="18"/>
          <w:i w:val="1"/>
          <w:iCs w:val="1"/>
          <w:color w:val="auto"/>
        </w:rPr>
      </w:pPr>
    </w:p>
    <w:p>
      <w:pPr>
        <w:ind w:left="980" w:hanging="486"/>
        <w:spacing w:after="0"/>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2016 due in part to:</w:t>
      </w:r>
    </w:p>
    <w:p>
      <w:pPr>
        <w:spacing w:after="0" w:line="171" w:lineRule="exact"/>
        <w:rPr>
          <w:rFonts w:ascii="Arial" w:cs="Arial" w:eastAsia="Arial" w:hAnsi="Arial"/>
          <w:sz w:val="18"/>
          <w:szCs w:val="18"/>
          <w:i w:val="1"/>
          <w:iCs w:val="1"/>
          <w:color w:val="auto"/>
        </w:rPr>
      </w:pPr>
    </w:p>
    <w:p>
      <w:pPr>
        <w:ind w:left="1620" w:hanging="478"/>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investments in international expansion in new country markets such as India and Korea;</w:t>
      </w:r>
    </w:p>
    <w:p>
      <w:pPr>
        <w:spacing w:after="0" w:line="171" w:lineRule="exact"/>
        <w:rPr>
          <w:rFonts w:ascii="Arial" w:cs="Arial" w:eastAsia="Arial" w:hAnsi="Arial"/>
          <w:sz w:val="18"/>
          <w:szCs w:val="18"/>
          <w:color w:val="auto"/>
        </w:rPr>
      </w:pPr>
    </w:p>
    <w:p>
      <w:pPr>
        <w:ind w:left="1620" w:hanging="478"/>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increase in sales and customer support resources; and</w:t>
      </w:r>
    </w:p>
    <w:p>
      <w:pPr>
        <w:spacing w:after="0" w:line="171" w:lineRule="exact"/>
        <w:rPr>
          <w:rFonts w:ascii="Arial" w:cs="Arial" w:eastAsia="Arial" w:hAnsi="Arial"/>
          <w:sz w:val="18"/>
          <w:szCs w:val="18"/>
          <w:color w:val="auto"/>
        </w:rPr>
      </w:pPr>
    </w:p>
    <w:p>
      <w:pPr>
        <w:ind w:left="1620" w:hanging="478"/>
        <w:spacing w:after="0"/>
        <w:tabs>
          <w:tab w:leader="none" w:pos="1620" w:val="left"/>
        </w:tabs>
        <w:numPr>
          <w:ilvl w:val="2"/>
          <w:numId w:val="11"/>
        </w:numPr>
        <w:rPr>
          <w:rFonts w:ascii="Arial" w:cs="Arial" w:eastAsia="Arial" w:hAnsi="Arial"/>
          <w:sz w:val="17"/>
          <w:szCs w:val="17"/>
          <w:color w:val="auto"/>
        </w:rPr>
      </w:pPr>
      <w:r>
        <w:rPr>
          <w:rFonts w:ascii="Arial" w:cs="Arial" w:eastAsia="Arial" w:hAnsi="Arial"/>
          <w:sz w:val="17"/>
          <w:szCs w:val="17"/>
          <w:color w:val="auto"/>
        </w:rPr>
        <w:t>product and technology innovation to address such things as treatment times, indications unique to teens, and predictability.</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jc w:val="both"/>
        <w:ind w:left="660" w:hanging="328"/>
        <w:spacing w:after="0" w:line="302"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Stock Repurchase Authorization. </w:t>
      </w:r>
      <w:r>
        <w:rPr>
          <w:rFonts w:ascii="Arial" w:cs="Arial" w:eastAsia="Arial" w:hAnsi="Arial"/>
          <w:sz w:val="16"/>
          <w:szCs w:val="16"/>
          <w:color w:val="auto"/>
        </w:rPr>
        <w:t>On April 28, 2016, we announced that our Board of Directors had authorized a plan to repurchase up to $300.0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the Company's stock.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54" w:lineRule="exact"/>
        <w:rPr>
          <w:rFonts w:ascii="Arial" w:cs="Arial" w:eastAsia="Arial" w:hAnsi="Arial"/>
          <w:sz w:val="16"/>
          <w:szCs w:val="16"/>
          <w:i w:val="1"/>
          <w:iCs w:val="1"/>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Accelerated Stock Repurchase</w:t>
      </w:r>
      <w:r>
        <w:rPr>
          <w:rFonts w:ascii="Arial" w:cs="Arial" w:eastAsia="Arial" w:hAnsi="Arial"/>
          <w:sz w:val="18"/>
          <w:szCs w:val="18"/>
          <w:color w:val="auto"/>
        </w:rPr>
        <w:t>. On May 3, 2016, as part of our $300.0 million April 2014 stock repurchase program, we entered into an Accelerated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Repurchase (ASR) agreement to repurchase $50.0 million of our common stock (the "2016 ASR"). Under the terms of the 2016 ASR, we paid $50.0 million on May 4, 2016 and received an initial delivery of approximately 0.5 million shares based on current market prices. The final number of shares to be repurchased will be based on our volume-weighted average stock price during the term of the 2016 ASR, less an agreed upon discount. (</w:t>
      </w:r>
      <w:r>
        <w:rPr>
          <w:rFonts w:ascii="Arial" w:cs="Arial" w:eastAsia="Arial" w:hAnsi="Arial"/>
          <w:sz w:val="18"/>
          <w:szCs w:val="18"/>
          <w:i w:val="1"/>
          <w:iCs w:val="1"/>
          <w:color w:val="auto"/>
        </w:rPr>
        <w:t>Refer to Note 9 "Common Stock Repurchase", of the Notes to condensed consolidated financial statements</w:t>
      </w:r>
      <w:r>
        <w:rPr>
          <w:rFonts w:ascii="Arial" w:cs="Arial" w:eastAsia="Arial" w:hAnsi="Arial"/>
          <w:sz w:val="18"/>
          <w:szCs w:val="18"/>
          <w:color w:val="auto"/>
        </w:rPr>
        <w:t xml:space="preserve"> for details on common stock repurchase).</w:t>
      </w:r>
    </w:p>
    <w:p>
      <w:pPr>
        <w:spacing w:after="0" w:line="19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10b5-1 Stock Repurchase Plan</w:t>
      </w:r>
      <w:r>
        <w:rPr>
          <w:rFonts w:ascii="Arial" w:cs="Arial" w:eastAsia="Arial" w:hAnsi="Arial"/>
          <w:sz w:val="18"/>
          <w:szCs w:val="18"/>
          <w:color w:val="auto"/>
        </w:rPr>
        <w:t>. On May 3, 2016, we also entered into a stock repurchase plan under which we will repurchase up to $50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This stock repurchase plan is in addition to, and will become effective upon, the completion of the 2016 ASR. This stock repurchase plan will operate in accordance with guidelines specified under Rule 10b5-1 of the Securities Exchange Act of 1934. Accordingly, transactions, if any, will be effected in accordance with the terms of the share repurchase plan, including specified price, volume, and timing conditions.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9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revenues for our Clear Aligner segment by region and our Scanner segment by region for the three months ended March 31, 2016 and 2015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13"/>
                <w:szCs w:val="13"/>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Net</w:t>
            </w:r>
          </w:p>
        </w:tc>
        <w:tc>
          <w:tcPr>
            <w:tcW w:w="92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Invisalign non-case</w:t>
            </w: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Invisalign case shipments by region for the three months ended March 31, 2016 and 2015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w:t>
            </w:r>
          </w:p>
        </w:tc>
        <w:tc>
          <w:tcPr>
            <w:tcW w:w="7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0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Net</w:t>
            </w:r>
          </w:p>
        </w:tc>
        <w:tc>
          <w:tcPr>
            <w:tcW w:w="9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4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American Invisalign</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International Invisalign</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revenues increased by $40.5 million for the three months ended March 31, 2016, respectively, as compared to the same period in 2015, primarily as a result of Invisalign case volume growth across all regions and most products.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three months ended March 31, 2016, Clear Aligner North America net revenues increased by $16.9 million compared to the same period in 2015 primarily due to Invisalign case volume growth of approximately $25.3 million across all channels and products. These increases were offset in part by lower average selling prices ("ASP") which decreased net revenues by approximately $8.4 million. The decrease in ASP was as a result of higher net revenue deferrals of $4.9 million primarily due to the impact of our new additional aligner product policy launched in July 2015, and, to a lesser extent, due to higher promotional discounts in the current period compared to the same period in the prior year of $4.1 million. The decrease in ASP was offset in part by the price increase on our Full products effective April 1,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three months ended March 31, 2016, Clear Aligner international net revenues increased by $14.0 million compared to the same period in 2015 primarily driven by Invisalign case volume growth of $19.1 million across all products. This was offset in part by lower ASP which decreased net revenues by approximately $5.1 million. The decrease in ASP was primarily a result of the unfavorable impact from foreign exchange rates of $2.7 million due to the weakening of the Euro compared to the U.S. dollar in the current period compared to the same period in the prior year, higher net deferrals of $2.6 million mainly due to the impact of our new additional aligner product policy launched in July 2015, and, to a lesser extent, due to a product mix shift towards lower priced Invisalign products. These decreases were partially offset by an increase in ASP due to the price increase on our Full products effective July 1, 2015 as well as our transition to a direct sales model in certain Asia Pacific countries.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Invisalign Non-Case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Invisalign non-case net revenues consists of training fees and ancillary product revenues. Invisalign non-case net revenues increased by $1.8 million for the three months ended March 31, 2016, respectively compared to the same period in 2015 primarily due to increased Vivera volume both in North America and International.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Scanner net revenues increased $7.9 million for the three months ended March 31, 2016, respectively, compared to the same period in 2015 primarily as a result of an increase in the number of scanners recognized as we began shipping our next generation iTero Element scanner in September 2015, and, to a lesser extent, an increase in ASP.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189"/>
        </w:trPr>
        <w:tc>
          <w:tcPr>
            <w:tcW w:w="812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81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 and Services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8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6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margin declined slightly for the three months ended March 31, 2016 compared to the same period in 2015 primarily due to lower ASP related to our new Additional Aligner policy implemented in July last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margin increased for the three months ended March 31, 2016 compared to the same period in 2015 primarily due to higher ASP and lower costs of our iTero Element scanner.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i w:val="1"/>
                <w:iCs w:val="1"/>
                <w:color w:val="auto"/>
                <w:w w:val="93"/>
              </w:rPr>
              <w:t>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Selling, general and administrative expense for the three months ended March 31, 2016 increased compared to the same period in 2015 primarily due to higher compensation related costs of $11.7 million as a result of increased headcount, which led to higher salaries, stock based compensation and commissions and higher marketing costs. In addition, in the first quarter of 2015 there was a refund of MDET taxes paid in 2014 of $6.8 million as our aligners which are now no longer subject to the excise tax. These increased expenses were partially offset by lower outside litigation costs of $1.4 million.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264"/>
        </w:trPr>
        <w:tc>
          <w:tcPr>
            <w:tcW w:w="8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expense for the three months ended March 31, 2016 increased compared to the same period in 2015 due to higher compensation costs from additional headcount and salary increases.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2"/>
                <w:szCs w:val="22"/>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(0.4)</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1"/>
                <w:szCs w:val="21"/>
                <w:color w:val="auto"/>
              </w:rPr>
            </w:pP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 net, includes foreign currency translation gains and losses, interest income earned on cash, cash equivalents and investment balances, gains and losses on foreign currency forward contracts and other miscellaneous charges.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and other income (expense), net for the three months ended March 31, 2016 increased slightly compared to the same period in 2015 due to increased interest income on higher balances of cash, cash equivalents and investments and strengthening of the Euro against U.S. dollar.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264"/>
        </w:trPr>
        <w:tc>
          <w:tcPr>
            <w:tcW w:w="8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93"/>
              </w:rPr>
              <w:t>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was $12.4 million and $11.3 million for the three months ended March 31, 2016 and 2015, respectively. This represents effective tax rates of 23.4% and 23.8%, respectively. Our effective tax rates differ from the statutory federal income tax rate of 35% due to certain foreign earnings, primarily from Costa Rica, which are subject to a lower tax rate, state income tax expense, the tax impact of certain stock-based compensation charges and unrecognized tax benefits.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2016, we maintained a valuation allowance of $31.7 million against deferred tax assets primarily related to Israel operating loss carryforwards and Australia capital loss carryforwards. These net operating and capital loss carryforwards would result in us recording an income tax benefit if we were to conclude it is more likely than not that the related deferred tax assets will be realized.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total gross unrecognized tax benefits was, excluding interest, $40.9 million and $39.4 million as of March 31, 2016 and December 31, 2015, respectively, all of which would impact our effective tax rate if recognized. We have elected to recognize interest and penalties related to unrecognized tax benefits as a component of income taxes. The interest accrued as of March 31, 2016 is $0.9 million. We do not expect any significant changes to the amount of unrecognized tax benefit within the next twelve months.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 We are currently under audit by the California Franchise Tax Board for fiscal years 2011, 2012 and 2013.</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Income taxes were reduced by $8.6 million and $8.2 million for the three months ended March 31, 2016 and 2015, respectively, representing a benefit to diluted net income per share of $0.11 and $0.10 in 2016 and 2015,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March 31, 2016 and December 31, 2015, we had the following cash, cash equivalents, and short-term and long-term marketable securities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154,418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167,714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393,660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359,581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4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132,690</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151,370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48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680,768</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678,665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800" w:type="dxa"/>
            <w:vAlign w:val="bottom"/>
            <w:vMerge w:val="restart"/>
          </w:tcPr>
          <w:p>
            <w:pPr>
              <w:jc w:val="right"/>
              <w:ind w:right="26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8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30,680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35,645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(9,893)</w:t>
            </w: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2016, we had $680.8 million of cash, cash equivalents and short-term and long-term marketable securities. Cash equivalents and marketable securities are comprised of money market funds and debt instruments which include corporate bonds, U.S. dollar dominated foreign corporate bonds, commercial paper, municipal securities, U.S. government agency bonds, U.S. government treasury bonds and asset-backed securities. We do not enter into investments for trading or speculative purposes.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March 31, 2016, approximately $464.8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 Additionally, we have taken certain preliminary steps to implement an international corporate structure more closely aligned with our international operations. This potential corporate structure may reduce our overall effective tax rate and may increase our domestic cash flows through changes among our wholly-owned subsidiaries in how we get compensated for the use of our intellectual property, and how we structure our international procurement and sales operations. We believe that income taxed in certain foreign jurisdictions at a lower rate relative to the U.S. statutory rate will have a beneficial impact on our worldwide effective tax rate over the medium to long term. The decrease in effective tax rate will benefit our financial position and results of operations.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2014, our Board of Directors had authorized a stock repurchase program pursuant to which we may purchase up to $300.0 million of our common stock over the next three years. As of March 31, 2016, we have approximately $100.0 million remaining under the April 2014 stock repurchase program. We expect to finance future stock repurchases with current cash on hand. On May 3, 2016, as part of our $300.0 million April 2014 stock repurchase program, we entered into an accelerated stock repurchase program to repurchase $50.0 million of our common stock (the "2016 ASR"). Commencing immediately after the completion of the 2016 ASR, we will repurchase $50.0 million of our common stock on the open market. These two actions will complete the April 2014 stock repurchase program. (</w:t>
      </w:r>
      <w:r>
        <w:rPr>
          <w:rFonts w:ascii="Arial" w:cs="Arial" w:eastAsia="Arial" w:hAnsi="Arial"/>
          <w:sz w:val="18"/>
          <w:szCs w:val="18"/>
          <w:i w:val="1"/>
          <w:iCs w:val="1"/>
          <w:color w:val="auto"/>
        </w:rPr>
        <w:t>Refer to Note 9 "Common Stock Repurchase", of the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details on common stock repurchase).</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22, 2013, we entered into a credit facility for a $50.0 million revolving line of credit, with a $10.0 million letter of credit sublimit, and has a maturity date on March 22, 2017. (</w:t>
      </w:r>
      <w:r>
        <w:rPr>
          <w:rFonts w:ascii="Arial" w:cs="Arial" w:eastAsia="Arial" w:hAnsi="Arial"/>
          <w:sz w:val="18"/>
          <w:szCs w:val="18"/>
          <w:i w:val="1"/>
          <w:iCs w:val="1"/>
          <w:color w:val="auto"/>
        </w:rPr>
        <w:t>Refer to Note 5 "Credit Facility", of the Notes to condensed consolidated financial statements</w:t>
      </w:r>
      <w:r>
        <w:rPr>
          <w:rFonts w:ascii="Arial" w:cs="Arial" w:eastAsia="Arial" w:hAnsi="Arial"/>
          <w:sz w:val="18"/>
          <w:szCs w:val="18"/>
          <w:color w:val="auto"/>
        </w:rPr>
        <w:t xml:space="preserve"> for details of the credit facility).</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2016, cash flows from operations of $30.7 million resulted primarily from our net income of approximately $40.5 million as well as the following: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of $12.5 million related to equity incentive compensation awards granted to our employees, and</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of $4.8 million related to our fixed assets and acquired intangible assets, offset in part by</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$8.1 million.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$20.8 million in accounts receivable which is a result of the increase in net revenues,</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$14.7 million in deferred revenues corresponding to the increases in case shipments, and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$14.5 million in accrued and other long-term liabilities primarily due to the payment of our 2015 bonus.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$35.3 million for the three months ended March 31, 2016 primarily consisting of purchases of marketable securities of $143.9 million, and property, plant and equipment purchases of $20.2 million. These outflows were partially offset in part by $128.8 million of maturities and sales of our marketable securities.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remainder of 2016, we expect to spend an additional $45.0 million to $50.0 million on capital expenditures for estimated total capital expenditures of $65.0 million to $70.0 million for 2016 primarily for additional manufacturing capacity and infrastructure including a project to implement a new enterprise resource planning system.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$9.1 million for the three months ended March 31, 2016 primarily resulting from payroll taxes paid for vesting of restricted stock units through share withholdings of $22.6 million. These outflows were offset in part by $8.1 million from excess tax benefits from our share-based compensation arrangements and $5.4 million in proceeds from issuance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contractual obligations have not significantly changed since December 31, 2015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2016,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2016,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2015:</w:t>
      </w:r>
    </w:p>
    <w:p>
      <w:pPr>
        <w:spacing w:after="0" w:line="114"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Goodwill and finite-lived acquired intangible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 finite-lived acquired intangible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March 31, 2016, we had approximately $456.0 million invested in available-for-sale marketable securities. An immediate 10% change in interest rates would not have a material adverse impact on our future operating results and cash flows.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We do not have interest bearing liabilities as of March 31, 2016, and, therefore, we are not subject to risks from immediate interest rate increases.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North America, Europe, Asia Pacific, Costa Rica and Israel.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subsidiaries’ operating expenses are generally denominated in their local currencies as discussed further below. Regardless of this natural hedging, our results of operations may be adversely impacted by exchange rate fluctuations.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September 2015, we entered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The fair value of foreign exchange forward contracts outstanding as of March 31, 2016 was not material.</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2016,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In July 2015, we launched a new product policy called "Additional Aligners at No Charge" that addresses one of our customer's top complaints. With this product policy change, we no longer distinguish between mid-course correction and case refinements and allow doctors to order additional aligners to address either treatment need at no charge, subject to certain requirements. Based on this new product policy, beginning in the third quarter of 2015, we deferred more revenue as a result of providing free additional aligners for eligible treatments. Additionally, as we grandfathered over 1 million open cases, we will recognize lower revenues as additional aligners are shipped for at least the next two years until these cases complete.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recent years and may continue to fluctuate substantially in the future. As a result, beginning in September 2015, we began entering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addition, in order to meet the demands from expected volumes, we purchased a second manufacturing facility in Juarez, Mexico. We began manufacturing aligners in this second facility in September 2015 while continuing to manufacture Aligners at our existing facility in Juarez. Our ability to plan, construct and equip additional manufacturing facilities is subject to significant risk and uncertainty, including risks inherent in the establishment of a new manufacturing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 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North America facilities,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660" w:right="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 located in Russia and Israel;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geopolitical risks around the Ukraine and the possibility of additional sanctions against Russia which continue to bring uncertainty to this region;</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During transitions we must continue to rely on legacy information systems, which may be costly or inefficient, while the implementation of new initiatives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6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certain key patents commencing in 2017 owned by us may result in additional competition. Existing competitors may begin offering products more similar to ours. We may face more intense competition if new entrants to the clear aligner market are significantly larger than we are with greater resources and the ability to leverage their existing channels in the dental market to compete directly with us. In addition, corresponding foreign patents will start to expire in 2018, which may lead to increased competition in some of the markets outside the U.S.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March 31, 2016, we had issued 390 U.S. patents, 288 foreign issued patents, and 345 pending global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patent applications.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65"/>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launch of a new product. As a result, adoption of new products by our customers may be slower than anticipated and our ability to grow market share and increase our net revenues may be harmed.</w:t>
      </w:r>
    </w:p>
    <w:p>
      <w:pPr>
        <w:spacing w:after="0" w:line="170"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required to find alternative manufacturers, which could be a long and costly process. Any FDA enforcement action could have a material adverse effect on us.</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revenue recognition and leases.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Incidental to our implementation of a new ERP system, we intend to change our corporate structure in the near term in order to optimize tax, treasury and operational effectiveness; however, if we are unable to adopt this structure or if it is challenged by U.S. or foreign tax authorities, we may be unable to realize tax savings which could materially and adversely affect our operating results.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taken certain preliminary steps to implement an international corporate structure more closely aligned with our international operations. This potential corporate structure may reduce our overall effective tax rate through changes among our wholly-owned subsidiaries in how we use our intellectual property, and how we structure our international procurement and sales operations. The contemplated structure includes legal entities located in jurisdictions with income tax rates lower than the U.S.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statutory rate will have a beneficial impact on our worldwide effective tax rate over the medium to long term.</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we put the intended structure into effect and if it is challenged by U.S. or foreign tax authorities, if changes in domestic and international tax laws negatively impact the proposed structure, including proposed legislation to reform U.S. taxation of international business activities, or if we do not operate our business in a manner consistent with the proposed structure and applicable tax provisions, we may fail to achieve the financial and operational efficiencies that we anticipate as a result of the proposed structure, and our business, financial condition and operating results may be materially and adversely affected.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For example, the FASB issued ASU No. 2016-19 “Improvements to Employee Share-Based Payment Accounting,” which will, among other things, change how we account for our tax shortfalls or benefits from stock based awards, and this guidance may have a favorable or unfavorable effect on our future effective tax rate. We are still evaluating the impact of this guidance on our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As a result of these incentives, our income taxes were reduced by $8.6 million and $8.2 million for the three months ended March 31, 2016 and 2015, respectively, representing a benefit to diluted net income per share of $0.11 and $0.10 in 2016 and 2015, respectively. Our subsidiary in Israel is under audit by the local tax authorities for calendar years 2006 through 2012. We are currently under audit by the California Franchise Tax Board for fiscal year 2011, 2012 and 2013.</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2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Many countries in Europe, as well as a number of other countries and organizations, have recently proposed or recommended changes to existing tax laws or have enacted new laws. For example, the Organization for Economic Cooperation and Development ("OECD")has been working on a "Base Erosion and Profit Shifting Project," which is focused on a number of issues, including the shifting of profits between affiliated entities in different tax jurisdictions. The OECD has issued in 2015, and is expected to continue to issue, guidelines and proposals that may change various aspects of the existing framework under which our tax obligations are determined in many of the countries in which we do business. In addition,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March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Repurchased</w:t>
            </w: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as Part of Publicly</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Repurchased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2016 through January 31, 2016</w:t>
            </w:r>
          </w:p>
        </w:tc>
        <w:tc>
          <w:tcPr>
            <w:tcW w:w="16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99,978,175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February 1, 2016 through February 29, 2016</w:t>
            </w:r>
          </w:p>
        </w:tc>
        <w:tc>
          <w:tcPr>
            <w:tcW w:w="16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99,978,175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1, 2016 through March 31, 2016</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99,978,175</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45" w:lineRule="auto"/>
        <w:tabs>
          <w:tab w:leader="none" w:pos="367" w:val="left"/>
        </w:tabs>
        <w:numPr>
          <w:ilvl w:val="0"/>
          <w:numId w:val="29"/>
        </w:numPr>
        <w:rPr>
          <w:rFonts w:ascii="Arial" w:cs="Arial" w:eastAsia="Arial" w:hAnsi="Arial"/>
          <w:sz w:val="24"/>
          <w:szCs w:val="24"/>
          <w:b w:val="1"/>
          <w:bCs w:val="1"/>
          <w:color w:val="auto"/>
          <w:vertAlign w:val="superscript"/>
        </w:rPr>
      </w:pPr>
      <w:r>
        <w:rPr>
          <w:rFonts w:ascii="Arial" w:cs="Arial" w:eastAsia="Arial" w:hAnsi="Arial"/>
          <w:sz w:val="17"/>
          <w:szCs w:val="17"/>
          <w:color w:val="252525"/>
        </w:rPr>
        <w:t>As part of our $300.0 million April 2014 stock repurchase program, our Board of Directors authorized the next $100 million to be purchased over the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2016, we have approximately $100 million remaining under the April 2014 stock repurchase program. On May 3, 2016, as part of our $300.0 million April 2014 stock repurchase program, we entered into an accelerated stock repurchase program to repurchase $50.0 million of our common stock (the "2016 ASR"). Commencing immediately after the completion of the 2016 ASR, we will repurchase $50.0 million of our common stock on the open market. These two actions will complete the April 2014 stock repurchase program. (</w:t>
      </w:r>
      <w:r>
        <w:rPr>
          <w:rFonts w:ascii="Arial" w:cs="Arial" w:eastAsia="Arial" w:hAnsi="Arial"/>
          <w:sz w:val="18"/>
          <w:szCs w:val="18"/>
          <w:i w:val="1"/>
          <w:iCs w:val="1"/>
          <w:color w:val="auto"/>
        </w:rPr>
        <w:t>Refer to Note 9 "Common Stock Repurchase", of the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details of the common stock repurchase).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finance future stock repurchases with current cash on hand.</w:t>
      </w:r>
    </w:p>
    <w:p>
      <w:pPr>
        <w:spacing w:after="0" w:line="19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4820" w:type="dxa"/>
            <w:vAlign w:val="bottom"/>
            <w:gridSpan w:val="2"/>
          </w:tcPr>
          <w:p>
            <w:pPr>
              <w:ind w:left="2380"/>
              <w:spacing w:after="0"/>
              <w:rPr>
                <w:sz w:val="20"/>
                <w:szCs w:val="20"/>
                <w:color w:val="auto"/>
              </w:rPr>
            </w:pPr>
            <w:r>
              <w:rPr>
                <w:rFonts w:ascii="Arial" w:cs="Arial" w:eastAsia="Arial" w:hAnsi="Arial"/>
                <w:sz w:val="18"/>
                <w:szCs w:val="18"/>
                <w:color w:val="auto"/>
              </w:rPr>
              <w:t>ALIGN TECHNOLOGY, INC.</w:t>
            </w:r>
          </w:p>
        </w:tc>
        <w:tc>
          <w:tcPr>
            <w:tcW w:w="3320" w:type="dxa"/>
            <w:vAlign w:val="bottom"/>
          </w:tcPr>
          <w:p>
            <w:pPr>
              <w:spacing w:after="0"/>
              <w:rPr>
                <w:sz w:val="20"/>
                <w:szCs w:val="20"/>
                <w:color w:val="auto"/>
              </w:rPr>
            </w:pPr>
          </w:p>
        </w:tc>
      </w:tr>
      <w:tr>
        <w:trPr>
          <w:trHeight w:val="594"/>
        </w:trPr>
        <w:tc>
          <w:tcPr>
            <w:tcW w:w="3240" w:type="dxa"/>
            <w:vAlign w:val="bottom"/>
          </w:tcPr>
          <w:p>
            <w:pPr>
              <w:spacing w:after="0"/>
              <w:rPr>
                <w:sz w:val="20"/>
                <w:szCs w:val="20"/>
                <w:color w:val="auto"/>
              </w:rPr>
            </w:pPr>
            <w:r>
              <w:rPr>
                <w:rFonts w:ascii="Arial" w:cs="Arial" w:eastAsia="Arial" w:hAnsi="Arial"/>
                <w:sz w:val="18"/>
                <w:szCs w:val="18"/>
                <w:color w:val="auto"/>
              </w:rPr>
              <w:t>May 5, 2016</w:t>
            </w:r>
          </w:p>
        </w:tc>
        <w:tc>
          <w:tcPr>
            <w:tcW w:w="2780" w:type="dxa"/>
            <w:vAlign w:val="bottom"/>
          </w:tcPr>
          <w:p>
            <w:pPr>
              <w:ind w:left="2500"/>
              <w:spacing w:after="0"/>
              <w:rPr>
                <w:sz w:val="20"/>
                <w:szCs w:val="20"/>
                <w:color w:val="auto"/>
              </w:rPr>
            </w:pPr>
            <w:r>
              <w:rPr>
                <w:rFonts w:ascii="Arial" w:cs="Arial" w:eastAsia="Arial" w:hAnsi="Arial"/>
                <w:sz w:val="18"/>
                <w:szCs w:val="18"/>
                <w:color w:val="auto"/>
                <w:w w:val="99"/>
              </w:rPr>
              <w:t>By:</w:t>
            </w:r>
          </w:p>
        </w:tc>
        <w:tc>
          <w:tcPr>
            <w:tcW w:w="2040" w:type="dxa"/>
            <w:vAlign w:val="bottom"/>
          </w:tcPr>
          <w:p>
            <w:pPr>
              <w:ind w:left="1700"/>
              <w:spacing w:after="0"/>
              <w:rPr>
                <w:sz w:val="20"/>
                <w:szCs w:val="20"/>
                <w:color w:val="auto"/>
              </w:rPr>
            </w:pPr>
            <w:r>
              <w:rPr>
                <w:rFonts w:ascii="Arial" w:cs="Arial" w:eastAsia="Arial" w:hAnsi="Arial"/>
                <w:sz w:val="18"/>
                <w:szCs w:val="18"/>
                <w:color w:val="auto"/>
              </w:rPr>
              <w:t>/S/</w:t>
            </w:r>
          </w:p>
        </w:tc>
        <w:tc>
          <w:tcPr>
            <w:tcW w:w="3320" w:type="dxa"/>
            <w:vAlign w:val="bottom"/>
          </w:tcPr>
          <w:p>
            <w:pPr>
              <w:jc w:val="center"/>
              <w:ind w:right="1579"/>
              <w:spacing w:after="0"/>
              <w:rPr>
                <w:sz w:val="20"/>
                <w:szCs w:val="20"/>
                <w:color w:val="auto"/>
              </w:rPr>
            </w:pPr>
            <w:r>
              <w:rPr>
                <w:rFonts w:ascii="Arial" w:cs="Arial" w:eastAsia="Arial" w:hAnsi="Arial"/>
                <w:sz w:val="18"/>
                <w:szCs w:val="18"/>
                <w:color w:val="auto"/>
                <w:w w:val="94"/>
              </w:rPr>
              <w:t>JOSEPH M. HOGAN</w:t>
            </w:r>
          </w:p>
        </w:tc>
      </w:tr>
      <w:tr>
        <w:trPr>
          <w:trHeight w:val="27"/>
        </w:trPr>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6"/>
        </w:trPr>
        <w:tc>
          <w:tcPr>
            <w:tcW w:w="3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7" w:lineRule="exact"/>
              <w:rPr>
                <w:sz w:val="20"/>
                <w:szCs w:val="20"/>
                <w:color w:val="auto"/>
              </w:rPr>
            </w:pPr>
            <w:r>
              <w:rPr>
                <w:rFonts w:ascii="Arial" w:cs="Arial" w:eastAsia="Arial" w:hAnsi="Arial"/>
                <w:sz w:val="14"/>
                <w:szCs w:val="14"/>
                <w:b w:val="1"/>
                <w:bCs w:val="1"/>
                <w:color w:val="auto"/>
                <w:w w:val="93"/>
              </w:rPr>
              <w:t>Joseph M. Hogan</w:t>
            </w:r>
          </w:p>
        </w:tc>
      </w:tr>
      <w:tr>
        <w:trPr>
          <w:trHeight w:val="186"/>
        </w:trPr>
        <w:tc>
          <w:tcPr>
            <w:tcW w:w="3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240" w:type="dxa"/>
            <w:vAlign w:val="bottom"/>
          </w:tcPr>
          <w:p>
            <w:pPr>
              <w:spacing w:after="0"/>
              <w:rPr>
                <w:sz w:val="24"/>
                <w:szCs w:val="24"/>
                <w:color w:val="auto"/>
              </w:rPr>
            </w:pPr>
          </w:p>
        </w:tc>
        <w:tc>
          <w:tcPr>
            <w:tcW w:w="2780" w:type="dxa"/>
            <w:vAlign w:val="bottom"/>
          </w:tcPr>
          <w:p>
            <w:pPr>
              <w:ind w:left="2500"/>
              <w:spacing w:after="0"/>
              <w:rPr>
                <w:sz w:val="20"/>
                <w:szCs w:val="20"/>
                <w:color w:val="auto"/>
              </w:rPr>
            </w:pPr>
            <w:r>
              <w:rPr>
                <w:rFonts w:ascii="Arial" w:cs="Arial" w:eastAsia="Arial" w:hAnsi="Arial"/>
                <w:sz w:val="18"/>
                <w:szCs w:val="18"/>
                <w:color w:val="auto"/>
                <w:w w:val="99"/>
              </w:rPr>
              <w:t>By:</w:t>
            </w:r>
          </w:p>
        </w:tc>
        <w:tc>
          <w:tcPr>
            <w:tcW w:w="2040" w:type="dxa"/>
            <w:vAlign w:val="bottom"/>
          </w:tcPr>
          <w:p>
            <w:pPr>
              <w:ind w:left="1800"/>
              <w:spacing w:after="0"/>
              <w:rPr>
                <w:sz w:val="20"/>
                <w:szCs w:val="20"/>
                <w:color w:val="auto"/>
              </w:rPr>
            </w:pPr>
            <w:r>
              <w:rPr>
                <w:rFonts w:ascii="Arial" w:cs="Arial" w:eastAsia="Arial" w:hAnsi="Arial"/>
                <w:sz w:val="18"/>
                <w:szCs w:val="18"/>
                <w:color w:val="auto"/>
                <w:w w:val="99"/>
              </w:rPr>
              <w:t>/S/</w:t>
            </w:r>
          </w:p>
        </w:tc>
        <w:tc>
          <w:tcPr>
            <w:tcW w:w="3320" w:type="dxa"/>
            <w:vAlign w:val="bottom"/>
          </w:tcPr>
          <w:p>
            <w:pPr>
              <w:jc w:val="center"/>
              <w:ind w:right="1579"/>
              <w:spacing w:after="0"/>
              <w:rPr>
                <w:sz w:val="20"/>
                <w:szCs w:val="20"/>
                <w:color w:val="auto"/>
              </w:rPr>
            </w:pPr>
            <w:r>
              <w:rPr>
                <w:rFonts w:ascii="Arial" w:cs="Arial" w:eastAsia="Arial" w:hAnsi="Arial"/>
                <w:sz w:val="18"/>
                <w:szCs w:val="18"/>
                <w:color w:val="auto"/>
                <w:w w:val="99"/>
              </w:rPr>
              <w:t>DAVID L. WHITE</w:t>
            </w:r>
          </w:p>
        </w:tc>
      </w:tr>
      <w:tr>
        <w:trPr>
          <w:trHeight w:val="27"/>
        </w:trPr>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6"/>
        </w:trPr>
        <w:tc>
          <w:tcPr>
            <w:tcW w:w="3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240" w:type="dxa"/>
            <w:vAlign w:val="bottom"/>
          </w:tcPr>
          <w:p>
            <w:pPr>
              <w:spacing w:after="0"/>
              <w:rPr>
                <w:sz w:val="24"/>
                <w:szCs w:val="24"/>
                <w:color w:val="auto"/>
              </w:rPr>
            </w:pP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20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5"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Joseph M. Hogan, certify, pursuant to 18 U.S.C. Section 1350, as adopted pursuant to Section 906 of the Sarbanes-Oxley Act of 2002, that the Quarterly Report of Align Technology, Inc. on Form 10-Q for the quarter ended March 31, 2016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8"/>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March 31, 2016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/S/  DAVID L. WHITE</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2019-12-29T11:18:07Z</dcterms:created>
  <dcterms:modified xsi:type="dcterms:W3CDTF">2019-12-29T11:18:07Z</dcterms:modified>
</cp:coreProperties>
</file>