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PROXY STATEMENT PURSUANT TO SECTION 14(a) OF THE SECURITIES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103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§240.14a-12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ALIGN TECHNOLOGY,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99060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334645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90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5966460" cy="77152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2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</w:t>
      </w:r>
    </w:p>
    <w:p>
      <w:pPr>
        <w:sectPr>
          <w:pgSz w:w="11900" w:h="16838" w:orient="portrait"/>
          <w:cols w:equalWidth="0" w:num="1">
            <w:col w:w="9019"/>
          </w:cols>
          <w:pgMar w:left="1440" w:top="1440" w:right="1440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791210</wp:posOffset>
            </wp:positionH>
            <wp:positionV relativeFrom="page">
              <wp:posOffset>500380</wp:posOffset>
            </wp:positionV>
            <wp:extent cx="5966460" cy="771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771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</w:t>
      </w:r>
    </w:p>
    <w:sectPr>
      <w:pgSz w:w="11900" w:h="16838" w:orient="portrait"/>
      <w:cols w:equalWidth="0" w:num="1">
        <w:col w:w="9019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2023-04-05T15:23:43Z</dcterms:created>
  <dcterms:modified xsi:type="dcterms:W3CDTF">2023-04-05T15:23:43Z</dcterms:modified>
</cp:coreProperties>
</file>