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June 30, 2013</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34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33" w:right="399" w:bottom="1440" w:gutter="0" w:footer="0" w:header="0"/>
        </w:sectPr>
      </w:pPr>
    </w:p>
    <w:p>
      <w:pPr>
        <w:spacing w:after="0" w:line="234"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90" w:lineRule="exact"/>
        <w:rPr>
          <w:sz w:val="24"/>
          <w:szCs w:val="24"/>
          <w:color w:val="auto"/>
        </w:rPr>
      </w:pPr>
    </w:p>
    <w:p>
      <w:pPr>
        <w:sectPr>
          <w:pgSz w:w="11900" w:h="16838" w:orient="portrait"/>
          <w:cols w:equalWidth="0" w:num="2">
            <w:col w:w="6400" w:space="720"/>
            <w:col w:w="4140"/>
          </w:cols>
          <w:pgMar w:left="240" w:top="233" w:right="399" w:bottom="1440" w:gutter="0" w:footer="0" w:header="0"/>
          <w:type w:val="continuous"/>
        </w:sectPr>
      </w:pPr>
    </w:p>
    <w:p>
      <w:pPr>
        <w:ind w:left="4520"/>
        <w:spacing w:after="0"/>
        <w:rPr>
          <w:sz w:val="20"/>
          <w:szCs w:val="20"/>
          <w:color w:val="auto"/>
        </w:rPr>
      </w:pPr>
      <w:r>
        <w:rPr>
          <w:rFonts w:ascii="Arial" w:cs="Arial" w:eastAsia="Arial" w:hAnsi="Arial"/>
          <w:sz w:val="14"/>
          <w:szCs w:val="14"/>
          <w:b w:val="1"/>
          <w:bCs w:val="1"/>
          <w:color w:val="auto"/>
        </w:rPr>
        <w:t>Commission file number: 0-32259</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94-3267295</w:t>
      </w:r>
    </w:p>
    <w:p>
      <w:pPr>
        <w:spacing w:after="0" w:line="95" w:lineRule="exact"/>
        <w:rPr>
          <w:sz w:val="24"/>
          <w:szCs w:val="24"/>
          <w:color w:val="auto"/>
        </w:rPr>
      </w:pPr>
    </w:p>
    <w:p>
      <w:pPr>
        <w:sectPr>
          <w:pgSz w:w="11900" w:h="16838" w:orient="portrait"/>
          <w:cols w:equalWidth="0" w:num="2">
            <w:col w:w="7460" w:space="720"/>
            <w:col w:w="3080"/>
          </w:cols>
          <w:pgMar w:left="240" w:top="233" w:right="399" w:bottom="1440" w:gutter="0" w:footer="0" w:header="0"/>
          <w:type w:val="continuous"/>
        </w:sect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6"/>
          <w:szCs w:val="16"/>
          <w:b w:val="1"/>
          <w:bCs w:val="1"/>
          <w:color w:val="auto"/>
        </w:rPr>
        <w:t>(I.R.S. Employer</w:t>
      </w:r>
    </w:p>
    <w:p>
      <w:pPr>
        <w:spacing w:after="0" w:line="26"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Identification Number)</w:t>
      </w:r>
    </w:p>
    <w:p>
      <w:pPr>
        <w:spacing w:after="0" w:line="130" w:lineRule="exact"/>
        <w:rPr>
          <w:sz w:val="24"/>
          <w:szCs w:val="24"/>
          <w:color w:val="auto"/>
        </w:rPr>
      </w:pPr>
    </w:p>
    <w:p>
      <w:pPr>
        <w:sectPr>
          <w:pgSz w:w="11900" w:h="16838" w:orient="portrait"/>
          <w:cols w:equalWidth="0" w:num="2">
            <w:col w:w="7040" w:space="720"/>
            <w:col w:w="3500"/>
          </w:cols>
          <w:pgMar w:left="240" w:top="233"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2560 Orchard Parkway</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San Jose, California 95131</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(408) 470-1000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2"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____________________________</w:t>
      </w:r>
    </w:p>
    <w:p>
      <w:pPr>
        <w:sectPr>
          <w:pgSz w:w="11900" w:h="16838" w:orient="portrait"/>
          <w:cols w:equalWidth="0" w:num="1">
            <w:col w:w="11260"/>
          </w:cols>
          <w:pgMar w:left="240" w:top="233" w:right="399" w:bottom="1440" w:gutter="0" w:footer="0" w:header="0"/>
          <w:type w:val="continuous"/>
        </w:sectPr>
      </w:pPr>
    </w:p>
    <w:p>
      <w:pPr>
        <w:spacing w:after="0" w:line="86" w:lineRule="exact"/>
        <w:rPr>
          <w:sz w:val="24"/>
          <w:szCs w:val="24"/>
          <w:color w:val="auto"/>
        </w:rPr>
      </w:pPr>
    </w:p>
    <w:p>
      <w:pPr>
        <w:ind w:right="26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240"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firstLine="43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60"/>
          </w:cols>
          <w:pgMar w:left="240" w:top="233" w:right="399" w:bottom="1440" w:gutter="0" w:footer="0" w:header="0"/>
          <w:type w:val="continuous"/>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480" w:space="50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4">
            <w:col w:w="1400" w:space="580"/>
            <w:col w:w="3680" w:space="720"/>
            <w:col w:w="3360" w:space="720"/>
            <w:col w:w="800"/>
          </w:cols>
          <w:pgMar w:left="240" w:top="233" w:right="39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167" w:lineRule="exact"/>
        <w:rPr>
          <w:sz w:val="24"/>
          <w:szCs w:val="24"/>
          <w:color w:val="auto"/>
        </w:rPr>
      </w:pPr>
    </w:p>
    <w:p>
      <w:pPr>
        <w:sectPr>
          <w:pgSz w:w="11900" w:h="16838" w:orient="portrait"/>
          <w:cols w:equalWidth="0" w:num="4">
            <w:col w:w="7800" w:space="160"/>
            <w:col w:w="240" w:space="80"/>
            <w:col w:w="140" w:space="160"/>
            <w:col w:w="2680"/>
          </w:cols>
          <w:pgMar w:left="240" w:top="233" w:right="39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The number of shares outstanding of the registrant’s Common Stock, $0.0001 par value, as of July 26, 2013 was 79,837,318.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80" w:type="dxa"/>
            <w:vAlign w:val="bottom"/>
            <w:tcBorders>
              <w:bottom w:val="single" w:sz="8" w:color="0000FF"/>
            </w:tcBorders>
            <w:gridSpan w:val="17"/>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CONDENSED CONSOLIDATED STATEMENTS OF COMPREHENSIVE INCOME (LOSS)</w:t>
              </w:r>
            </w:hyperlink>
          </w:p>
        </w:tc>
        <w:tc>
          <w:tcPr>
            <w:tcW w:w="27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1">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6">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6">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Invisalign, Align, ClinCheck, Invisalign Assist, Invisalign Teen Vivera, SmartForce, SmartTrack, Power Ridges, iTero, Orthocad iCast and Orthocad iRecord amongst others, are trademarks belonging to Align Technology, Inc., and/or its subsidiaries and are pending or registered in the United States and other countries.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163,828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317,408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280,705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40,137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80,868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71,145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123,691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236,540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209,560</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77,804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27,027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57,375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46,532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10,916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22,198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21,206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40,693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26,320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85,790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72,788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236,714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145,542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37,901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 (expenses),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37,566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63,747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8,246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11,166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14,271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29,320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49,476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80,576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80,909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82,149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82,954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80,909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82,446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r>
      <w:tr>
        <w:trPr>
          <w:trHeight w:val="80"/>
        </w:trPr>
        <w:tc>
          <w:tcPr>
            <w:tcW w:w="5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2012</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29,320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49,476</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Change in unrealized losses on available-for-sale securities,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 tax</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29,126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49,090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306,386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1,575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Marketable securities, short-term</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28,485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w w:val="92"/>
              </w:rPr>
              <w:t>Accounts receivable, net of allowances for doubtful accounts and returns of $1,101 and $2,484, respectively</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98,992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15,122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35,233</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485,793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Marketable securities, long-term</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62,885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21,252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61,713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99,236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21,609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703,894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756,312</w:t>
            </w:r>
          </w:p>
        </w:tc>
      </w:tr>
      <w:tr>
        <w:trPr>
          <w:trHeight w:val="67"/>
        </w:trPr>
        <w:tc>
          <w:tcPr>
            <w:tcW w:w="83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19,549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75,776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74,247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61,975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160,654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155,771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183,696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174,995</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1"/>
              </w:rPr>
              <w:t>Common stock, $0.0001 par value (200,000 shares authorized; 79,699 and 80,611 issued and outstanding at</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2013 and 2012, respectively)</w:t>
            </w:r>
          </w:p>
        </w:tc>
        <w:tc>
          <w:tcPr>
            <w:tcW w:w="3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670,732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(89,626)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520,198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581,317</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703,894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756,312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3"/>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w w:val="96"/>
              </w:rPr>
              <w:t>2012</w:t>
            </w: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10,142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40,693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Provision for (recovery of) doubtful accounts and returns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7,004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63,726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42,755</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Release of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2,848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(150,806)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payments for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(143,772)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(56,910)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21,128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23,689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15,331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16,745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payments for financing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36,283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(141,889)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22,124</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306,386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240,675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164,497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262,799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present fairly our results of operations for the three and six months ended June 30, 2013 and 2012, our comprehensive income (loss) for the three and six months ended June 30, 2013 and 2012, our financial position as of June 30, 2013 and our cash flows for the six months ended June 30, 2013 and 2012. The Condensed Consolidated Balance Sheet as of December 31, 2012 was derived from the December 31, 2012 audited financial statements. Net revenues by geographic area for prior period amounts in Note 13 have been reclassified to conform with the current period presentation. These reclassifications had no impact on our financial position for the three and six months ended June 30, 2013 and 2012.</w:t>
      </w:r>
    </w:p>
    <w:p>
      <w:pPr>
        <w:spacing w:after="0" w:line="16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results of operations for the three and six months ended June 30, 2013 are not necessarily indicative of the results that may be expected for the year ending December 31, 2013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2012.</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useful lives of intangible assets and property and equipment,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February 2013, the Financial Accounting Standards Board ("FASB") issued Accounting Standards Update ("ASU") 2013-02, “Reporting of Amounts Reclassified Out of Accumulated Other Comprehensive Income ("AOCI")”. This standard requires reporting, in one place, information about reclassifications out of AOCI by component. An entity is required to present, either on the face of the financial statements or in the notes, significant amounts reclassified out of AOCI by the respective line items of net income, but only if the amount is reclassified in its entirety in the same reporting period. For amounts that are not required to be reclassified to net income in their entirety, an entity is required to cross-reference to other currently required disclosures that provide additional detail about those amounts. The information required by this standard must be presented in one place, either parenthetically on the face of the financial statements by income statement line item or in a note. The adoption of this guidance during our first quarter of 2013 did not have a material affect to our condensed consolidated financial statements.</w:t>
      </w:r>
    </w:p>
    <w:p>
      <w:pPr>
        <w:spacing w:after="0" w:line="1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July 2013, FASB issued ASU 2013-11, "Presentation of an Unrecognized Tax Benefit when a Net Operating Loss Carryforward, a Similar Tax Loss, or a Tax Credit Carryforward Exists (a consensus of the FASB Emerging Issues Task Force)." The amendments in this ASU provide guidance on 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We are currently assessing the impact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short-term and long-term marketable securities as of June 30, 2013 and December 31, 2012 are as follows (in thousands):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29,054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29,050</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12,824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12,823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42,436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42,451</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26,473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26,463</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113,937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113,933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25,555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25,475</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7,768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15,189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3,621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63,039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62,885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400"/>
              <w:spacing w:after="0"/>
              <w:rPr>
                <w:sz w:val="20"/>
                <w:szCs w:val="20"/>
                <w:color w:val="auto"/>
              </w:rPr>
            </w:pPr>
            <w:r>
              <w:rPr>
                <w:rFonts w:ascii="Arial" w:cs="Arial" w:eastAsia="Arial" w:hAnsi="Arial"/>
                <w:sz w:val="18"/>
                <w:szCs w:val="18"/>
                <w:b w:val="1"/>
                <w:bCs w:val="1"/>
                <w:i w:val="1"/>
                <w:iCs w:val="1"/>
                <w:color w:val="auto"/>
              </w:rPr>
              <w:t>Short-term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2012</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18,767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18,770</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4,646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5,060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28,473</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3"/>
            <w:vMerge w:val="restart"/>
          </w:tcPr>
          <w:p>
            <w:pPr>
              <w:ind w:left="400"/>
              <w:spacing w:after="0"/>
              <w:rPr>
                <w:sz w:val="20"/>
                <w:szCs w:val="20"/>
                <w:color w:val="auto"/>
              </w:rPr>
            </w:pPr>
            <w:r>
              <w:rPr>
                <w:rFonts w:ascii="Arial" w:cs="Arial" w:eastAsia="Arial" w:hAnsi="Arial"/>
                <w:sz w:val="18"/>
                <w:szCs w:val="18"/>
                <w:b w:val="1"/>
                <w:bCs w:val="1"/>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 2012</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tcPr>
          <w:p>
            <w:pPr>
              <w:jc w:val="center"/>
              <w:ind w:right="173"/>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16,132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16,141</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21,239</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50"/>
        <w:spacing w:after="0" w:line="297" w:lineRule="auto"/>
        <w:rPr>
          <w:sz w:val="20"/>
          <w:szCs w:val="20"/>
          <w:color w:val="auto"/>
        </w:rPr>
      </w:pPr>
      <w:r>
        <w:rPr>
          <w:rFonts w:ascii="Arial" w:cs="Arial" w:eastAsia="Arial" w:hAnsi="Arial"/>
          <w:sz w:val="16"/>
          <w:szCs w:val="16"/>
          <w:color w:val="auto"/>
        </w:rPr>
        <w:t>For the three and six months ended June 30, 2013 and 2012, realized losses were immaterial. Unrealized gains and losses for our available for sale securities as of June 30, 2013 and December 31, 2012 were also immaterial. Cash and cash equivalents are not included in the table above as the gross unrealized gains and losses are not material. We have no material short-term or long-term investments that have been in a continuous unrealized loss position for greater than twelve months as of June 30, 2013 and December 31, 2012. Amounts reclassified to earnings from accumulated other comprehensive income related to unrealized gain or losses were immaterial for the three and six months ended June 30, 2013 and 2012.</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Our fixed-income securities investment portfolio consists of corporate bonds, U.S. government agency bonds, U.S. dollar dominated foreign corporate bonds, municipal securities, asset-backed securities and commercial paper that have a maximum maturity of two years.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10 months as of June 30, 2013 and December 31, 2012.</w:t>
      </w:r>
    </w:p>
    <w:p>
      <w:pPr>
        <w:spacing w:after="0" w:line="189"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June 30, 2013 and December 31, 2012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28,485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in one to two years</w:t>
            </w: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62,885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21,252</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securities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176,818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49,737</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(unadjusted) prices in active markets for identical assets or liabilities.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June 30, 2013 or December 31, 2012.</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Level 2 assets consist of commercial paper, corporate bonds, U.S. dollar dominated foreign corporate bonds, U.S. government agency bonds, municipal securities, asset-backed securities and our Israeli severance funds that are mainly invested in insurance policies. We obtain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2 liabilities as of June 30, 2013 or December 31, 2012.</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to the valuation methodology that are supported by little or no market activity and that are significant to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3 assets or liabilities as of June 30, 2013 or December 31, 2012.</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three months ended March 31, 2013, we recorded an impairment charge to our long-lived assets and goodwill of $26.3 million and $40.7 million, respectively, related to our Scanner and CAD/CAM Services ("SCCS")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unit as an event occurred and circumstances changed that led us to perform an impairment analysis prior to our annual test which required us to determine the fair value of the SCCS reporting unit (Refer to Note 5). These fair value measurements were calculated using unobservable inputs, using the income approach which is classified as Level 3 within the fair value hierarchy. Inputs for the income approach includes the amount and timing of future cash flows based on our most recent operational budgets, strategic plans, terminal growth rates assumptions and other estimates.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assets measured at fair value on a recurring basis as of June 30, 2013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Balance as of</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58"/>
        </w:trPr>
        <w:tc>
          <w:tcPr>
            <w:tcW w:w="468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June 30, 2013</w:t>
            </w:r>
          </w:p>
        </w:tc>
        <w:tc>
          <w:tcPr>
            <w:tcW w:w="200" w:type="dxa"/>
            <w:vAlign w:val="bottom"/>
          </w:tcPr>
          <w:p>
            <w:pPr>
              <w:spacing w:after="0"/>
              <w:rPr>
                <w:sz w:val="13"/>
                <w:szCs w:val="13"/>
                <w:color w:val="auto"/>
              </w:rPr>
            </w:pPr>
          </w:p>
        </w:tc>
        <w:tc>
          <w:tcPr>
            <w:tcW w:w="16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520" w:type="dxa"/>
            <w:vAlign w:val="bottom"/>
          </w:tcPr>
          <w:p>
            <w:pPr>
              <w:jc w:val="center"/>
              <w:ind w:right="93"/>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49,750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49,750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29,050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29,050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25,475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25,475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U.S. dollar dominated foreign corporate bonds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treasury bonds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severance funds</w:t>
            </w:r>
          </w:p>
        </w:tc>
        <w:tc>
          <w:tcPr>
            <w:tcW w:w="13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266,044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53,369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212,675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assets measured at fair value on a recurring basis as of December 31, 2012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right"/>
              <w:ind w:right="233"/>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93"/>
              <w:spacing w:after="0" w:line="15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86,166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86,166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18,770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18,770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16,141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U.S. dollar denominated foreign corporate bonds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severance funds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139,071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86,166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52,905</w:t>
            </w:r>
          </w:p>
        </w:tc>
        <w:tc>
          <w:tcPr>
            <w:tcW w:w="0" w:type="dxa"/>
            <w:vAlign w:val="bottom"/>
          </w:tcPr>
          <w:p>
            <w:pPr>
              <w:spacing w:after="0"/>
              <w:rPr>
                <w:sz w:val="1"/>
                <w:szCs w:val="1"/>
                <w:color w:val="auto"/>
              </w:rPr>
            </w:pPr>
          </w:p>
        </w:tc>
      </w:tr>
      <w:tr>
        <w:trPr>
          <w:trHeight w:val="27"/>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6020" w:type="dxa"/>
            <w:vAlign w:val="bottom"/>
            <w:gridSpan w:val="2"/>
          </w:tcPr>
          <w:p>
            <w:pPr>
              <w:ind w:left="400"/>
              <w:spacing w:after="0"/>
              <w:rPr>
                <w:sz w:val="20"/>
                <w:szCs w:val="20"/>
                <w:color w:val="auto"/>
              </w:rPr>
            </w:pPr>
            <w:r>
              <w:rPr>
                <w:rFonts w:ascii="Arial" w:cs="Arial" w:eastAsia="Arial" w:hAnsi="Arial"/>
                <w:sz w:val="18"/>
                <w:szCs w:val="18"/>
                <w:color w:val="auto"/>
              </w:rPr>
              <w:t>Inventories are comprised of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ind w:left="3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w w:val="88"/>
              </w:rPr>
              <w:t>6,464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w w:val="88"/>
              </w:rPr>
              <w:t>3,895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w w:val="88"/>
              </w:rPr>
              <w:t>5,345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ind w:left="760"/>
              <w:spacing w:after="0"/>
              <w:rPr>
                <w:sz w:val="20"/>
                <w:szCs w:val="20"/>
                <w:color w:val="auto"/>
              </w:rPr>
            </w:pPr>
            <w:r>
              <w:rPr>
                <w:rFonts w:ascii="Arial" w:cs="Arial" w:eastAsia="Arial" w:hAnsi="Arial"/>
                <w:sz w:val="18"/>
                <w:szCs w:val="18"/>
                <w:color w:val="auto"/>
                <w:w w:val="87"/>
              </w:rPr>
              <w:t>15,704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products. Finished goods primarily represent our intra-oral scanners and ancillary products that support our clear aligner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8,333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and marketing expenses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4,088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accounts payable</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2,866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2,349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6,878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74,247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We regularly review and update the accrued warranty balances and update these balances based on historical warranty trends. Actual warranty costs incurred have not materially differed from those accrued; however, future actual warranty costs could differ from the estimated amounts.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reflects the change in our warranty accrual during the six months ended June 30, 2013 and 2012 (in thousands):</w:t>
      </w:r>
    </w:p>
    <w:p>
      <w:pPr>
        <w:spacing w:after="0" w:line="35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Charged to cost of net revenues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2,113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3,513</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On April 30, 2013, we completed the acquisition of ICA Holdings Pty Limited ("ICA") upon the expiration of the distribution agreement between certain subsidiaries of ICA and Align Technology B.V., for a total cash consideration of approximately $8.6 million, of which $7.4 million was attributed to assets acquired, $2.3 million in liabilities assumed and $3.5 million to goodwill. Goodwill as a result of this acquisition represents the excess of the purchase price over the fair value of the underlying net assets acquired and represents the knowledge and experience of the workforce in place. None of this goodwill will be deductible for tax purposes. Under the applicable accounting guidance, goodwill will not be amortized but will be tested for impairment on an annual basis or more frequently if certain indicators are present.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believe that the transition from our distributor arrangement to a direct sales model as a result of the acquisition of ICA will increase our net revenues in the region as we will experience higher average sales prices (“ASP”) as compared to our discounted ASP under the prior distribution agreement.</w:t>
      </w:r>
    </w:p>
    <w:p>
      <w:pPr>
        <w:spacing w:after="0" w:line="12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Pro forma results of operations for this acquisition have not been presented as it is not material to our results of operations, either individually or in aggregate, for the three and six months ended June 30, 2013 and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Long-lived Assets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change in the carrying value of goodwill for the six months ended June 30, 2013 by our reportable segments, which are also our reporting units, is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Clear Aligner</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SCCS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99,236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Goodwill from ICA acquisition</w:t>
            </w:r>
          </w:p>
        </w:tc>
        <w:tc>
          <w:tcPr>
            <w:tcW w:w="30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3,509</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(40,693)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(40,693)</w:t>
            </w:r>
          </w:p>
        </w:tc>
      </w:tr>
      <w:tr>
        <w:trPr>
          <w:trHeight w:val="270"/>
        </w:trPr>
        <w:tc>
          <w:tcPr>
            <w:tcW w:w="57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61,713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61,713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 adjustments to goodwill during the six months ended June 30, 2013 were due primarily to foreign currency translation.</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Goodwill</w:t>
      </w:r>
    </w:p>
    <w:p>
      <w:pPr>
        <w:spacing w:after="0" w:line="171"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We test our goodwill balances for impairment annually on November 30th or more frequently if indicators are present or circumstances change that suggest it is more likely than not that the fair value of the reporting unit is less than the carrying amount. 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SCCS reporting unit. As a result, we determined that goodwill for our SCCS reporting unit should be tested for impairment as of March 2013 due to these facts and circumstances which would more likely than not reduce the fair value of our SCCS reporting unit below its carrying amount.</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performed a step one analysis for our SCCS reporting unit which consists of a comparison of the fair value of the SCCS reporting unit against its carrying amount, including the goodwill allocated to it. In deriving the fair value of the SCCS reporting unit, we utilized the income approach which is classified as Level 3 within the fair value hierarchy. This approach provides an estimated fair value based on discounted expected future cash flows, which are based on management's estimates of revenue growth rates and operating margins, taking into consideration industry and market conditions. The discount rate used is based on a weighted average cost of capital adjusted for the relevant risk associated with the characteristics of the business and the projected cash flows.</w:t>
      </w:r>
    </w:p>
    <w:p>
      <w:pPr>
        <w:spacing w:after="0" w:line="13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As a result of our step one analysis, we concluded that the fair value of the SCCS reporting unit was less than its carrying value; therefore, we proceeded to step two of the goodwill impairment analysis. Step two of the goodwill impairment analysis measures the impairment charge by allocating the reporting unit's fair value to all of the assets and liabilities of the reporting unit in a hypothetical analysis that calculates the implied fair value of goodwill in the same manner as if the reporting unit was being acquired in a business combination. This allocation process was performed only for the purposes of measuring the goodwill impairment and not to adjust the carrying values of the recognized tangible assets and liabilities. Any excess of the carrying value of the reporting unit's goodwill over the implied fair value of the reporting unit's goodwill is recorded as an impairment loss. Based on our analysis, there was no implied goodwill for the SCCS reporting unit. We therefore recorded a goodwill impairment charge of $40.7 million in the three months ended March 31, 2013, which represents the remaining goodwill balance in the SCCS reporting unit. None of the goodwill impairment charge was deductible for tax purposes.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Long-lived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amortize our intangible assets over their estimated useful lives. We evaluate long-lived assets, which includes property,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of our intra-oral scanning business.</w:t>
      </w:r>
    </w:p>
    <w:p>
      <w:pPr>
        <w:spacing w:after="0" w:line="17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During March 2013, changes in the competitive environment for intra-oral scanners, including announcements of new low-priced scanners targeted at orthodontists and general practitioner dentists in North America, caused us to lower our expectations for growth and profitability for our SCCS reporting unit. As a result, we determined that the carrying value of the SCCS long-lived assets was not recoverable as compared to the value of the undiscounted cash flows of our revised projections for the asset group. In order to determine the impairment amount of our long-lived assets, we fair valued each key component of our long-lived assets within the asset group, which involved the use of significant estimates and assumptions including replacement costs, revenue growth rates, operating margins, and plant and equipment cost trends. We determined our long-lived asset group within the SCCS reporting unit to be primarily finite-lived intangible assets, plant and equipment. Upon completion of this analysis, we recorded a total impairment charge of $26.3 million of which $19.3 million represented the impairment related to our SCCS intangible assets and $7.0 million related to plant and equipment.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Intangible assets arising either as a direct result from the Cadent acquisition or individually acquired are being amortized as follows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Period (in years)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2013</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40" w:type="dxa"/>
            <w:vAlign w:val="bottom"/>
          </w:tcPr>
          <w:p>
            <w:pPr>
              <w:spacing w:after="0"/>
              <w:rPr>
                <w:sz w:val="16"/>
                <w:szCs w:val="16"/>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June 30, 2013</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16,547</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53,485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24,976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8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2"/>
                <w:szCs w:val="12"/>
                <w:color w:val="auto"/>
              </w:rPr>
            </w:pPr>
          </w:p>
        </w:tc>
        <w:tc>
          <w:tcPr>
            <w:tcW w:w="1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Period (in years)</w:t>
            </w:r>
          </w:p>
        </w:tc>
        <w:tc>
          <w:tcPr>
            <w:tcW w:w="26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2012</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60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28,498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53,325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45,777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June 30, 2013 is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2013</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2014</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2,635</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2015</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r>
      <w:tr>
        <w:trPr>
          <w:trHeight w:val="243"/>
        </w:trPr>
        <w:tc>
          <w:tcPr>
            <w:tcW w:w="2080" w:type="dxa"/>
            <w:vAlign w:val="bottom"/>
            <w:gridSpan w:val="2"/>
          </w:tcPr>
          <w:p>
            <w:pPr>
              <w:jc w:val="right"/>
              <w:ind w:right="1270"/>
              <w:spacing w:after="0"/>
              <w:rPr>
                <w:sz w:val="20"/>
                <w:szCs w:val="20"/>
                <w:color w:val="auto"/>
              </w:rPr>
            </w:pPr>
            <w:r>
              <w:rPr>
                <w:rFonts w:ascii="Arial" w:cs="Arial" w:eastAsia="Arial" w:hAnsi="Arial"/>
                <w:sz w:val="18"/>
                <w:szCs w:val="18"/>
                <w:color w:val="auto"/>
              </w:rPr>
              <w:t>2016</w:t>
            </w:r>
          </w:p>
        </w:tc>
        <w:tc>
          <w:tcPr>
            <w:tcW w:w="7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2,629</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2017</w:t>
            </w:r>
          </w:p>
        </w:tc>
        <w:tc>
          <w:tcPr>
            <w:tcW w:w="7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r>
      <w:tr>
        <w:trPr>
          <w:trHeight w:val="243"/>
        </w:trPr>
        <w:tc>
          <w:tcPr>
            <w:tcW w:w="40" w:type="dxa"/>
            <w:vAlign w:val="bottom"/>
          </w:tcPr>
          <w:p>
            <w:pPr>
              <w:spacing w:after="0"/>
              <w:rPr>
                <w:sz w:val="21"/>
                <w:szCs w:val="21"/>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13,129</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24,976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Facilities</w:t>
      </w:r>
    </w:p>
    <w:p>
      <w:pPr>
        <w:spacing w:after="0" w:line="1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loans bear interest, at our option, at a fluctuating rate per annum equal to the daily one-month adjusted LIBOR rate plus a spread of 1.75% or an adjusted LIBOR rate (based on one, three, six or twelve-month interest periods) plus a spread of 1.75%. As of June 30, 2013, we had no outstanding borrowings under this credit facility and were in compliance with the conditions and performance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names the same defendants, on behalf of a purported class of purchasers of our common stock between January 31, 2012 and October 17, 2012. The amended complaint alleges that Align, Mr. Prescott and Mr. Arola violated Section 10(b) of the Securities Exchange Act of 1934 and Rule 10b-5 promulgated thereunder, and that Mr. Prescott and Mr. Arola violated Section 20(a) of the Securities Exchange Act of 1934. Specifically, the amended complaint alleges that during the purported class period defendants failed to take an appropriate goodwill impairment charge related to the April 29, 2011 acquisition of Cadent Holdings, Inc. in fourth quarter of 2011, the first quarter of 2012 or the second quarter of 2012, which rendered our financial statements and projections of future earnings materially false and misleading and in violation of GAAP. The amended complaint seeks monetary damages in an unspecified amount, costs and attorney's fees. Align intends to file a motion to dismiss the amended complaint. That motion is due no later than August 22, 2013. Align intends to vigorously defend itself against these allegations. Align is currently unable to predict the outcome of this amended complaint and therefore cannot determine the likelihood of loss nor estimate a range of possible loss.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Align is currently unable to predict the outcome of this complaint and therefore cannot determine the likelihood of loss nor estimate a range of possible losses.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2013, minimum future lease payments for non-cancelable operating leases are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260" w:type="dxa"/>
            <w:vAlign w:val="bottom"/>
          </w:tcPr>
          <w:p>
            <w:pPr>
              <w:spacing w:after="0"/>
              <w:rPr>
                <w:sz w:val="14"/>
                <w:szCs w:val="14"/>
                <w:color w:val="auto"/>
              </w:rPr>
            </w:pPr>
          </w:p>
        </w:tc>
        <w:tc>
          <w:tcPr>
            <w:tcW w:w="1560" w:type="dxa"/>
            <w:vAlign w:val="bottom"/>
          </w:tcPr>
          <w:p>
            <w:pPr>
              <w:jc w:val="right"/>
              <w:ind w:right="312"/>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40" w:type="dxa"/>
            <w:vAlign w:val="bottom"/>
            <w:tcBorders>
              <w:top w:val="single" w:sz="8" w:color="auto"/>
              <w:bottom w:val="single" w:sz="8" w:color="CCEEFF"/>
            </w:tcBorders>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Remainder of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3,918</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2014</w:t>
            </w: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7,184</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5,500</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2016</w:t>
            </w:r>
          </w:p>
        </w:tc>
        <w:tc>
          <w:tcPr>
            <w:tcW w:w="7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4,921</w:t>
            </w: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2,367</w:t>
            </w:r>
          </w:p>
        </w:tc>
      </w:tr>
      <w:tr>
        <w:trPr>
          <w:trHeight w:val="243"/>
        </w:trPr>
        <w:tc>
          <w:tcPr>
            <w:tcW w:w="40" w:type="dxa"/>
            <w:vAlign w:val="bottom"/>
          </w:tcPr>
          <w:p>
            <w:pPr>
              <w:spacing w:after="0"/>
              <w:rPr>
                <w:sz w:val="21"/>
                <w:szCs w:val="21"/>
                <w:color w:val="auto"/>
              </w:rPr>
            </w:pPr>
          </w:p>
        </w:tc>
        <w:tc>
          <w:tcPr>
            <w:tcW w:w="956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minimum future lease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23,942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560" w:firstLine="243"/>
        <w:spacing w:after="0" w:line="277" w:lineRule="auto"/>
        <w:rPr>
          <w:sz w:val="20"/>
          <w:szCs w:val="20"/>
          <w:color w:val="auto"/>
        </w:rPr>
      </w:pPr>
      <w:r>
        <w:rPr>
          <w:rFonts w:ascii="Arial" w:cs="Arial" w:eastAsia="Arial" w:hAnsi="Arial"/>
          <w:sz w:val="18"/>
          <w:szCs w:val="18"/>
          <w:color w:val="auto"/>
        </w:rPr>
        <w:t>As of June 30, 2013,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jc w:val="both"/>
        <w:ind w:right="80" w:firstLine="243"/>
        <w:spacing w:after="0" w:line="276" w:lineRule="auto"/>
        <w:rPr>
          <w:sz w:val="20"/>
          <w:szCs w:val="20"/>
          <w:color w:val="auto"/>
        </w:rPr>
      </w:pPr>
      <w:r>
        <w:rPr>
          <w:rFonts w:ascii="Arial" w:cs="Arial" w:eastAsia="Arial" w:hAnsi="Arial"/>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1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June 30, 2013,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On May 16, 2013, the Stockholders approved an increase of 7,000,000 shares to the 2005 Incentive Plan (as amended) for a total reserve of 23,283,379 shares for issuance, plus up to an aggregate of 5,000,000 shares that would have been returned to our 2001 Stock Incentive Plan as a result of termination of options on or after March 28, 2005.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Stock-based compensation expense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expense related to all of our stock-based awards and employee stock purchases for the three and six months ended June 30, 2013 and 2012 is as follows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2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2,618</w:t>
            </w: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1,682</w:t>
            </w:r>
          </w:p>
        </w:tc>
      </w:tr>
      <w:tr>
        <w:trPr>
          <w:trHeight w:val="27"/>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10,142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Options</w:t>
      </w:r>
    </w:p>
    <w:p>
      <w:pPr>
        <w:spacing w:after="0" w:line="158"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Activity for the six month period ended June 30, 2013 under the stock option plans is set forth below (in thousands, except years and per share amounts):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22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0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300" w:type="dxa"/>
            <w:vAlign w:val="bottom"/>
          </w:tcPr>
          <w:p>
            <w:pPr>
              <w:spacing w:after="0"/>
              <w:rPr>
                <w:sz w:val="12"/>
                <w:szCs w:val="12"/>
                <w:color w:val="auto"/>
              </w:rPr>
            </w:pPr>
          </w:p>
        </w:tc>
        <w:tc>
          <w:tcPr>
            <w:tcW w:w="12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Price per Share</w:t>
            </w:r>
          </w:p>
        </w:tc>
        <w:tc>
          <w:tcPr>
            <w:tcW w:w="1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4"/>
        </w:trPr>
        <w:tc>
          <w:tcPr>
            <w:tcW w:w="4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 )</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2012</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3,276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380"/>
              <w:spacing w:after="0"/>
              <w:rPr>
                <w:sz w:val="20"/>
                <w:szCs w:val="20"/>
                <w:color w:val="auto"/>
              </w:rPr>
            </w:pPr>
            <w:r>
              <w:rPr>
                <w:rFonts w:ascii="Arial" w:cs="Arial" w:eastAsia="Arial" w:hAnsi="Arial"/>
                <w:sz w:val="18"/>
                <w:szCs w:val="18"/>
                <w:color w:val="auto"/>
              </w:rPr>
              <w:t>Cancelled or expired</w:t>
            </w: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June 30, 2013</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2,023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15.51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43,561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June 30, 2013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2,023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43,561</w:t>
            </w:r>
          </w:p>
        </w:tc>
        <w:tc>
          <w:tcPr>
            <w:tcW w:w="0" w:type="dxa"/>
            <w:vAlign w:val="bottom"/>
          </w:tcPr>
          <w:p>
            <w:pPr>
              <w:spacing w:after="0"/>
              <w:rPr>
                <w:sz w:val="1"/>
                <w:szCs w:val="1"/>
                <w:color w:val="auto"/>
              </w:rPr>
            </w:pPr>
          </w:p>
        </w:tc>
      </w:tr>
      <w:tr>
        <w:trPr>
          <w:trHeight w:val="67"/>
        </w:trPr>
        <w:tc>
          <w:tcPr>
            <w:tcW w:w="466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June 30, 2013</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14.95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38,241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stock options granted during the three and six months ended June 30, 2013 and 2012.</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June 30, 2013, the total unamortized compensation cost related to stock options, net of estimated forfeitures, is $2.9 million, which we expect to recognize over a weighted average period of 1.1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RSU activity for the six months ended June 30, 2013 is as follows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4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 of Shares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Remaining</w:t>
            </w:r>
          </w:p>
        </w:tc>
        <w:tc>
          <w:tcPr>
            <w:tcW w:w="280" w:type="dxa"/>
            <w:vAlign w:val="bottom"/>
          </w:tcPr>
          <w:p>
            <w:pPr>
              <w:spacing w:after="0"/>
              <w:rPr>
                <w:sz w:val="14"/>
                <w:szCs w:val="14"/>
                <w:color w:val="auto"/>
              </w:rPr>
            </w:pPr>
          </w:p>
        </w:tc>
        <w:tc>
          <w:tcPr>
            <w:tcW w:w="154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r>
      <w:tr>
        <w:trPr>
          <w:trHeight w:val="192"/>
        </w:trPr>
        <w:tc>
          <w:tcPr>
            <w:tcW w:w="5720" w:type="dxa"/>
            <w:vAlign w:val="bottom"/>
          </w:tcPr>
          <w:p>
            <w:pPr>
              <w:spacing w:after="0"/>
              <w:rPr>
                <w:sz w:val="16"/>
                <w:szCs w:val="16"/>
                <w:color w:val="auto"/>
              </w:rPr>
            </w:pPr>
          </w:p>
        </w:tc>
        <w:tc>
          <w:tcPr>
            <w:tcW w:w="1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Underlying RSUs</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Vesting Period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Intrinsic Value</w:t>
            </w:r>
          </w:p>
        </w:tc>
      </w:tr>
      <w:tr>
        <w:trPr>
          <w:trHeight w:val="250"/>
        </w:trPr>
        <w:tc>
          <w:tcPr>
            <w:tcW w:w="57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2012</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June 30, 2013</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69,747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of June 30, 2013, the total unamortized compensation cost related to RSUs, net of estimated forfeitures, was $42.8 million, which we expect to recognize over a weighted average period of 2.9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February 20, 2013 and 2012, we granted market-performance based restricted stock units (“MSU”) to our executive officers. Each MSU represents the right to one share of Align’s common stock and will be issued through our amended 2005 Incentive Plan. The actual number of MSUs which will be eligible to vest will be based on the performance of Align’s stock price relative to the performance of the NASDAQ Composite Index over the vesting period, generally two to three years, up to 150% of the MSUs initially granted.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MSU activity for the six months ended June 30, 2013 (in thousands, except years):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Number of Shares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54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Underlying MSUs</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Vesting Period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2012</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June 30, 2013</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13,676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June 30, 2013, the total unamortized compensation costs related to the MSUs, net of estimated forfeitures, was $7.7 million, which we expect to recognize over a weighted average period of 2.1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May 2010, our stockholders approved the 2010 Employee Stock Purchase Plan which will continue until terminated by either the Board of Directors or its administrator. The maximum number of shares available for purchase under the 2010 Purchase Plan is 2,400,000 shares. As of June 30, 2013, there remains 1,738,963 shares available for purchase under the 2010 Purchase Plan.</w:t>
      </w:r>
    </w:p>
    <w:p>
      <w:pPr>
        <w:spacing w:after="0" w:line="1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June 30, 2013, the total unamortized compensation cost related to employee purchases we expect to recognize was $2.4 million over a weighted average period of 0.7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 Repurchase Program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October 27, 2011, we announced that our Board of Directors approved a stock repurchase program pursuant to which we may repurchase up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$150.0 million of common stock. Purchases under the stock repurchase program may be made from time to time in the open market. During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2013, we repurchased approximately 2.7 million shares of our common stock at an average price of $34.95 per share, including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an aggregate purchase price of approximately $95.1 million. All repurchased shares were retired. The common stock retirements reduced additional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capital by approximately $24.5 million and increased accumulated deficit by $70.6 million. No shares are available for repurchase as we completed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repurchases under this program as of June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Accounting for Income Taxes</w:t>
      </w:r>
    </w:p>
    <w:p>
      <w:pPr>
        <w:spacing w:after="0" w:line="22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For the three and six months ended June 30, 2013, our income tax expense was $8.2 million and $11.2 million, representing effective tax rates of 22.0% and (745.9)%, respectively. For the three and six months ended June 30, 2012, our income tax expense was $8.1 million and $14.3 million, representing effective tax rates of 22.1% and 22.4%, respectively. The decrease in the tax provision when comparing the six months ended June 30, 2012 to the six months ended June 30, 2013 is primarily due to a jurisdictional shift in forecasted earnings from the U.S. to lower-tax non-U.S. jurisdictions, as well as the tax impact of the impairment of goodwill and long-lived assets which was recorded as a discrete item in the quarter ended March 31, 2013.</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tax expense of $11.2 million for the six months ended June 30, 2013 is comprised primarily of a benefit related to a pre-tax loss for the period offset by income tax expense of $5.8 million related to the impairment of goodwill and long-lived assets. The $5.8 million, which was recorded as a discrete item in the quarter ended March 31, 2013, is comprised of a $9.7 million tax expense due to a non-deductible goodwill impairment charge offset by a $3.9 million tax benefit associated with the impairment of long-lived assets.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January 2, 2013, the American Taxpayer Relief Act of 2012 (H.R. 8, as amended) was signed into law. This Act extends the federal research and development credit through December 31, 2013. The federal research and development credit was reinstated retroactively to January 1, 2012. The tax benefit of the federal research and development credit for the twelve months ended December 31, 2012 resulted in a discrete tax benefit of $0.5 million in the first quarter of fiscal year 2013, the period in which the reinstatement was enacted into law.</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June 30, 2013, we maintain a valuation allowance of $30.3 million against deferred tax assets primarily related to foreign net operating loss carryforwards and capital loss carryforwards. These net operating and capital loss carryovers would result in an income tax benefit if we were to conclude it is more likely than not that the related deferred tax assets will be realized.</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three months ended June30, 2013, the amount of gross unrecognized tax benefits increased by approximately $1.9 million due to current period exposures. The total amount of unrecognized tax benefits was $24.0 million as of June 30, 2013, all of which would impact our effective tax rate if recognized. We have elected to recognize interest and penalties related to unrecognized tax benefits as a component of income taxes. The change in accrued interest and penalties during the three months ended June 30, 2013 was not material. We do not expect any significant changes to the amount of unrecognized tax benefit within the next twelve months.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 Our subsidiaries in Israel and Germany are under audit by the local tax authorities for calendar years 2006 through 2011 and 2007 through 2011,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Income (Loss) Per Share</w:t>
      </w:r>
    </w:p>
    <w:p>
      <w:pPr>
        <w:spacing w:after="0" w:line="229"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Basic net income (loss) per share is computed using the weighted average number of shares of common stock outstanding during the period. Diluted net income per share is computed using the weighted average number of shares of common stock, adjusted for the dilutive effect of potential common stock. Potential common stock, computed using the treasury stock method, includes stock options, RSUs, MSUs and ESPP.</w:t>
      </w:r>
    </w:p>
    <w:p>
      <w:pPr>
        <w:spacing w:after="0" w:line="16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 (in thousands, except per share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29,320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8"/>
              </w:rPr>
              <w:t>28,492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49,476</w:t>
            </w:r>
          </w:p>
        </w:tc>
        <w:tc>
          <w:tcPr>
            <w:tcW w:w="0" w:type="dxa"/>
            <w:vAlign w:val="bottom"/>
          </w:tcPr>
          <w:p>
            <w:pPr>
              <w:spacing w:after="0"/>
              <w:rPr>
                <w:sz w:val="1"/>
                <w:szCs w:val="1"/>
                <w:color w:val="auto"/>
              </w:rPr>
            </w:pPr>
          </w:p>
        </w:tc>
      </w:tr>
      <w:tr>
        <w:trPr>
          <w:trHeight w:val="67"/>
        </w:trPr>
        <w:tc>
          <w:tcPr>
            <w:tcW w:w="72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2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80,576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8"/>
              </w:rPr>
              <w:t>80,384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80,909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79,810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37"/>
        </w:trPr>
        <w:tc>
          <w:tcPr>
            <w:tcW w:w="728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82,149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82,954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80,909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8"/>
              </w:rPr>
              <w:t>82,446</w:t>
            </w:r>
          </w:p>
        </w:tc>
        <w:tc>
          <w:tcPr>
            <w:tcW w:w="0" w:type="dxa"/>
            <w:vAlign w:val="bottom"/>
          </w:tcPr>
          <w:p>
            <w:pPr>
              <w:spacing w:after="0"/>
              <w:rPr>
                <w:sz w:val="1"/>
                <w:szCs w:val="1"/>
                <w:color w:val="auto"/>
              </w:rPr>
            </w:pPr>
          </w:p>
        </w:tc>
      </w:tr>
      <w:tr>
        <w:trPr>
          <w:trHeight w:val="67"/>
        </w:trPr>
        <w:tc>
          <w:tcPr>
            <w:tcW w:w="72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Net income (loss) per share,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(loss) per share,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8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For the six months ended June 30, 2013, stock options, RSUs, MSUs and ESPP totaling 1.8 million of potentially dilutive shares have been excluded from the total diluted shares because there was a net loss during the period. The anti-dilutive affect from stock options during the three months ended June 30, 2013 were not material.</w:t>
      </w:r>
    </w:p>
    <w:p>
      <w:pPr>
        <w:spacing w:after="0" w:line="18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For the three and six months ended June 30, 2012, stock options, RSUs and MSUs totaling 0.1 million for each period were excluded from diluted net income per share because of their anti-dilutive effect.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grouped our operations into two reportable segments which are also our reporting units: Clear Aligner segment and SCCS segment.</w:t>
      </w:r>
    </w:p>
    <w:p>
      <w:pPr>
        <w:spacing w:after="0" w:line="237" w:lineRule="exact"/>
        <w:rPr>
          <w:sz w:val="20"/>
          <w:szCs w:val="20"/>
          <w:color w:val="auto"/>
        </w:rPr>
      </w:pPr>
    </w:p>
    <w:p>
      <w:pPr>
        <w:ind w:left="980" w:right="160" w:hanging="48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SCCS segment consists of intra-oral scanning systems and additional services available with the intra-oral scanners that provide digital alternatives to the traditional cast models. This segment includes our iTero scanner and OrthoCAD services.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These reportable operating segments are based on how our CODM views and evaluates our operations as well as allocation of resources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80" w:type="dxa"/>
            <w:vAlign w:val="bottom"/>
          </w:tcPr>
          <w:p>
            <w:pPr>
              <w:spacing w:after="0"/>
              <w:rPr>
                <w:sz w:val="16"/>
                <w:szCs w:val="16"/>
                <w:color w:val="auto"/>
              </w:rPr>
            </w:pPr>
          </w:p>
        </w:tc>
        <w:tc>
          <w:tcPr>
            <w:tcW w:w="24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Clear Aligner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00"/>
              <w:spacing w:after="0"/>
              <w:rPr>
                <w:sz w:val="20"/>
                <w:szCs w:val="20"/>
                <w:color w:val="auto"/>
              </w:rPr>
            </w:pPr>
            <w:r>
              <w:rPr>
                <w:rFonts w:ascii="Arial" w:cs="Arial" w:eastAsia="Arial" w:hAnsi="Arial"/>
                <w:sz w:val="18"/>
                <w:szCs w:val="18"/>
                <w:color w:val="auto"/>
              </w:rPr>
              <w:t>Invisalign Full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95,762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88,617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181,676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171,041</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Express/Lite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25,438</w:t>
            </w:r>
          </w:p>
        </w:tc>
      </w:tr>
      <w:tr>
        <w:trPr>
          <w:trHeight w:val="243"/>
        </w:trPr>
        <w:tc>
          <w:tcPr>
            <w:tcW w:w="6060" w:type="dxa"/>
            <w:vAlign w:val="bottom"/>
          </w:tcPr>
          <w:p>
            <w:pPr>
              <w:ind w:left="300"/>
              <w:spacing w:after="0"/>
              <w:rPr>
                <w:sz w:val="20"/>
                <w:szCs w:val="20"/>
                <w:color w:val="auto"/>
              </w:rPr>
            </w:pPr>
            <w:r>
              <w:rPr>
                <w:rFonts w:ascii="Arial" w:cs="Arial" w:eastAsia="Arial" w:hAnsi="Arial"/>
                <w:sz w:val="18"/>
                <w:szCs w:val="18"/>
                <w:color w:val="auto"/>
              </w:rPr>
              <w:t>Invisalign Teen</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19,937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38,510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31,528</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Assist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14,444</w:t>
            </w:r>
          </w:p>
        </w:tc>
      </w:tr>
      <w:tr>
        <w:trPr>
          <w:trHeight w:val="243"/>
        </w:trPr>
        <w:tc>
          <w:tcPr>
            <w:tcW w:w="6060" w:type="dxa"/>
            <w:vAlign w:val="bottom"/>
          </w:tcPr>
          <w:p>
            <w:pPr>
              <w:ind w:left="300"/>
              <w:spacing w:after="0"/>
              <w:rPr>
                <w:sz w:val="20"/>
                <w:szCs w:val="20"/>
                <w:color w:val="auto"/>
              </w:rPr>
            </w:pPr>
            <w:r>
              <w:rPr>
                <w:rFonts w:ascii="Arial" w:cs="Arial" w:eastAsia="Arial" w:hAnsi="Arial"/>
                <w:sz w:val="18"/>
                <w:szCs w:val="18"/>
                <w:color w:val="auto"/>
              </w:rPr>
              <w:t>Invisalign non-case revenues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10,766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7,789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14,546</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SCCS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00"/>
              <w:spacing w:after="0"/>
              <w:rPr>
                <w:sz w:val="20"/>
                <w:szCs w:val="20"/>
                <w:color w:val="auto"/>
              </w:rPr>
            </w:pPr>
            <w:r>
              <w:rPr>
                <w:rFonts w:ascii="Arial" w:cs="Arial" w:eastAsia="Arial" w:hAnsi="Arial"/>
                <w:sz w:val="18"/>
                <w:szCs w:val="18"/>
                <w:color w:val="auto"/>
              </w:rPr>
              <w:t>Scanners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11,652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11,393</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CAD/CAM Services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163,828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145,626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317,408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280,705</w:t>
            </w:r>
          </w:p>
        </w:tc>
      </w:tr>
      <w:tr>
        <w:trPr>
          <w:trHeight w:val="67"/>
        </w:trPr>
        <w:tc>
          <w:tcPr>
            <w:tcW w:w="6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64"/>
        </w:trPr>
        <w:tc>
          <w:tcPr>
            <w:tcW w:w="6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Clear Aligner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203,006</w:t>
            </w:r>
          </w:p>
        </w:tc>
      </w:tr>
      <w:tr>
        <w:trPr>
          <w:trHeight w:val="243"/>
        </w:trPr>
        <w:tc>
          <w:tcPr>
            <w:tcW w:w="6060" w:type="dxa"/>
            <w:vAlign w:val="bottom"/>
          </w:tcPr>
          <w:p>
            <w:pPr>
              <w:ind w:left="220"/>
              <w:spacing w:after="0"/>
              <w:rPr>
                <w:sz w:val="20"/>
                <w:szCs w:val="20"/>
                <w:color w:val="auto"/>
              </w:rPr>
            </w:pPr>
            <w:r>
              <w:rPr>
                <w:rFonts w:ascii="Arial" w:cs="Arial" w:eastAsia="Arial" w:hAnsi="Arial"/>
                <w:sz w:val="18"/>
                <w:szCs w:val="18"/>
                <w:color w:val="auto"/>
              </w:rPr>
              <w:t>Scanners and CAD/CAM Services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6,554</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123,691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236,540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209,560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and tangible long-lived assets are presented below by geographic area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80" w:type="dxa"/>
            <w:vAlign w:val="bottom"/>
          </w:tcPr>
          <w:p>
            <w:pPr>
              <w:spacing w:after="0"/>
              <w:rPr>
                <w:sz w:val="16"/>
                <w:szCs w:val="16"/>
                <w:color w:val="auto"/>
              </w:rPr>
            </w:pPr>
          </w:p>
        </w:tc>
        <w:tc>
          <w:tcPr>
            <w:tcW w:w="242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60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70"/>
        </w:trPr>
        <w:tc>
          <w:tcPr>
            <w:tcW w:w="6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U.S.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121,651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110,838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241,692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214,096</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55,080</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1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12,258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11,529</w:t>
            </w:r>
          </w:p>
        </w:tc>
      </w:tr>
      <w:tr>
        <w:trPr>
          <w:trHeight w:val="27"/>
        </w:trPr>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163,828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145,626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317,408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280,705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June 30,</w:t>
            </w:r>
          </w:p>
        </w:tc>
        <w:tc>
          <w:tcPr>
            <w:tcW w:w="18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Arial" w:cs="Arial" w:eastAsia="Arial" w:hAnsi="Arial"/>
                <w:sz w:val="14"/>
                <w:szCs w:val="14"/>
                <w:b w:val="1"/>
                <w:bCs w:val="1"/>
                <w:color w:val="auto"/>
                <w:w w:val="95"/>
              </w:rPr>
              <w:t>As of December 31,</w:t>
            </w:r>
          </w:p>
        </w:tc>
      </w:tr>
      <w:tr>
        <w:trPr>
          <w:trHeight w:val="276"/>
        </w:trPr>
        <w:tc>
          <w:tcPr>
            <w:tcW w:w="8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2012</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U.S.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62,644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60,098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6,473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2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4,707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7,913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76,932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79,191</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20" w:right="4440" w:hanging="5612"/>
        <w:spacing w:after="0" w:line="967" w:lineRule="auto"/>
        <w:tabs>
          <w:tab w:leader="none" w:pos="490" w:val="left"/>
        </w:tabs>
        <w:numPr>
          <w:ilvl w:val="0"/>
          <w:numId w:val="4"/>
        </w:numPr>
        <w:rPr>
          <w:rFonts w:ascii="Arial" w:cs="Arial" w:eastAsia="Arial" w:hAnsi="Arial"/>
          <w:sz w:val="25"/>
          <w:szCs w:val="25"/>
          <w:b w:val="1"/>
          <w:bCs w:val="1"/>
          <w:color w:val="auto"/>
          <w:vertAlign w:val="superscript"/>
        </w:rPr>
      </w:pPr>
      <w:r>
        <w:rPr>
          <w:rFonts w:ascii="Arial" w:cs="Arial" w:eastAsia="Arial" w:hAnsi="Arial"/>
          <w:sz w:val="18"/>
          <w:szCs w:val="18"/>
          <w:color w:val="auto"/>
        </w:rPr>
        <w:t>Net revenues are attributed to countries based on location of where revenue is recognized. 21</w:t>
      </w:r>
    </w:p>
    <w:p>
      <w:pPr>
        <w:sectPr>
          <w:pgSz w:w="11900" w:h="16838" w:orient="portrait"/>
          <w:cols w:equalWidth="0" w:num="1">
            <w:col w:w="11420"/>
          </w:cols>
          <w:pgMar w:left="240" w:top="125" w:right="239" w:bottom="1440" w:gutter="0" w:footer="0" w:header="0"/>
        </w:sectPr>
      </w:pPr>
    </w:p>
    <w:bookmarkStart w:id="21" w:name="page22"/>
    <w:bookmarkEnd w:id="21"/>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that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the scanner and CAD/CAM services business, our expectations to increase our investment in manufacturing capacity, our expectations regarding the continued expansion of our international markets, the anticipated number of new doctors trained and their impact on volumes, the impact of the termination of our Asia Pacific distributor relationship and reverting to a direct sales model in that region by acquiring the distributor business,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7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Align Technology, Inc. is a global medical device company that pioneered the invisible orthodontics market with the introduction of the Invisalign system in 1999. Today, we are focused on designing, manufacturing and marketing innovative, technology-rich products to help dental professionals achieve the clinical results they expect and deliver effective, convenient cutting-edge dental treatment options to their patients. Align Technology was founded in March 1997 and is headquartered in San Jose, California with offices worldwide. Our international headquarters are located in Amsterdam, the Netherlands. We have two operating segments: (1) Clear Aligner, known as the Invisalign system; and (2) Scanner and CAD/CAM Services ("SCCS"), known as the iTero intra-oral scanners and OrthoCAD services.</w:t>
      </w:r>
    </w:p>
    <w:p>
      <w:pPr>
        <w:spacing w:after="0" w:line="22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received Food and Drug Administration ("FDA") clearance in 1998 and began our first commercial sales of Invisalign to U.S. Orthodontists in 1999 followed by U.S General Practitioner Dentists (GPs) in 2002. Over the next decade, we introduced Invisalign to the European market and Japan, added distribution partners in the Asia-Pacific, Latin America, and Europe, Middle East and Africa ("EMEA") regions, and introduced a full range of treatment options including Invisalign Express (10 and 5), Invisalign Teen, Invisalign Assist, Vivera retainers, Invisalign Lite and Invisalign i7. By 2011, we launched Invisalign G3 and Invisalign G4, which include significant new aligner and software features across all Invisalign products that make it easier for doctors to use Invisalign on more complex cases and introduced Invisalign in the People’s Republic of China. Most recently, we launched SmartTrack, the next generation of Invisalign clear aligner material which became the new standard aligner material for Invisalign clear aligner products in North America and Europe beginning January 21, 2013 and for other international markets where we received regulatory approval.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91" w:right="259" w:bottom="1440" w:gutter="0" w:footer="0" w:header="0"/>
        </w:sectPr>
      </w:pPr>
    </w:p>
    <w:bookmarkStart w:id="22" w:name="page23"/>
    <w:bookmarkEnd w:id="22"/>
    <w:p>
      <w:pPr>
        <w:ind w:right="80" w:firstLine="405"/>
        <w:spacing w:after="0" w:line="287" w:lineRule="auto"/>
        <w:rPr>
          <w:sz w:val="20"/>
          <w:szCs w:val="20"/>
          <w:color w:val="auto"/>
        </w:rPr>
      </w:pPr>
      <w:r>
        <w:rPr>
          <w:rFonts w:ascii="Arial" w:cs="Arial" w:eastAsia="Arial" w:hAnsi="Arial"/>
          <w:sz w:val="16"/>
          <w:szCs w:val="16"/>
          <w:color w:val="auto"/>
        </w:rPr>
        <w:t>In 2011, we acquired Cadent Holdings, Inc., a leading provider of 3D digital scanning solutions for orthodontics and dentistry and makers of the iTero intra-oral scanner and OrthoCAD services. We believe that the combination of Align’s and Cadent’s technologies and capabilities creates greater growth opportunities for Align by bringing innovative new Invisalign treatment tools to customers and by extending the value of intra-oral scanning in dental practices. Intra-oral scanners provide a dental “chair-side” platform for accessing valuable digital diagnosis and treatment tools, with potential for enhancing accuracy of records, treatment efficiency, and the overall patient experience. We believe there are numerous benefits for customers and the opportunity to accelerate the adoption of Invisalign through interoperability with our intra-oral scanners. The use of digital technologies such as CAD/CAM for restorative dentistry or in-office restorations has been growing rapidly and intra-oral scanning is a critical part of enabling these new digital technologies and procedures in dental practices. Since the acquisition, we have launched significant product options and software enhancements to the scanner product line. In late 2012, we commercially launched the Invisalign Outcome Simulator, the first Invisalign chair-side application powered by the iTero scanner. The interactive application provides dentists and orthodontists an enhanced platform for patient education and is designed to increase treatment acceptance by helping patients visualize the benefits possible with Invisalign treatment. The new iTero scanner was available in North America beginning in February 2013 and is now available in select international markets as a single hardware platform with software options for restorative or orthodontic procedures.</w:t>
      </w:r>
    </w:p>
    <w:p>
      <w:pPr>
        <w:spacing w:after="0" w:line="19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Invisalign system is offered in more than 45 countries and has been used to treat more than 2.0 million patients. Our iTero intra-oral scanner is available in over 25 countries and provides dental professionals with an open choice to send digital impressions to any laboratory-based CAD/CAM system or to any of the more than 1,800 dental labs worldwide.</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goal is to establish the Invisalign system as the standard method for treating malocclusion and to establish our intra-oral scanning platform as the preferred scanning protocol for 3D digital scans, ultimately driving increased product adoption by dental professionals. We intend to achieve this by focusing on the key strategic initiatives set forth in our Annual Report on Form 10-K.</w:t>
      </w:r>
    </w:p>
    <w:p>
      <w:pPr>
        <w:spacing w:after="0" w:line="18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 addition to the successful execution of our business strategy, there are a number of other factors which may affect our results in 2013 and beyond, which are updated below:</w:t>
      </w:r>
    </w:p>
    <w:p>
      <w:pPr>
        <w:spacing w:after="0" w:line="170" w:lineRule="exact"/>
        <w:rPr>
          <w:sz w:val="20"/>
          <w:szCs w:val="20"/>
          <w:color w:val="auto"/>
        </w:rPr>
      </w:pPr>
    </w:p>
    <w:p>
      <w:pPr>
        <w:ind w:left="980" w:right="120" w:hanging="486"/>
        <w:spacing w:after="0" w:line="270"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Product innovation and clinical effectiveness</w:t>
      </w:r>
      <w:r>
        <w:rPr>
          <w:rFonts w:ascii="Arial" w:cs="Arial" w:eastAsia="Arial" w:hAnsi="Arial"/>
          <w:sz w:val="17"/>
          <w:szCs w:val="17"/>
          <w:color w:val="auto"/>
        </w:rPr>
        <w:t>. We recently announced the introduction of SmartTrack, a proprietary, custom engineered aligner</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designed to deliver gentle, more constant force to improve control of tooth movements with Invisalign clear aligner treatment. This will build on the success we have seen with Invisalign G3/G4 and encourage even greater confidence and adoption in our customers’ practices. Although the introduction of SmartTrack will result in higher cost of net revenues and a reduction in gross margins due to higher material costs in our clear aligner segment in 2013, we believe these innovations are important contributors to increase utilization across our channels worldwide. Additionally, we recently introduced the new iTero scanner, which is a single hardware platform with software options for restorative or orthodontic procedures, Invisalign interoperability, as well as the Invisalign Outcome Simulator, our first chair-side application powered by our iTero scanner. We believe that over the long-term these types of product and clinical innovations will increase adoption of Invisalign and increase sales of our intra-oral scanners; however, it is difficult to predict the rate of adoption, which may vary by region and channel.</w:t>
      </w:r>
    </w:p>
    <w:p>
      <w:pPr>
        <w:spacing w:after="0" w:line="123" w:lineRule="exact"/>
        <w:rPr>
          <w:rFonts w:ascii="Arial" w:cs="Arial" w:eastAsia="Arial" w:hAnsi="Arial"/>
          <w:sz w:val="17"/>
          <w:szCs w:val="17"/>
          <w:color w:val="auto"/>
        </w:rPr>
      </w:pPr>
    </w:p>
    <w:p>
      <w:pPr>
        <w:ind w:left="980" w:right="180" w:hanging="486"/>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Invisalign Utilization rates. </w:t>
      </w:r>
      <w:r>
        <w:rPr>
          <w:rFonts w:ascii="Arial" w:cs="Arial" w:eastAsia="Arial" w:hAnsi="Arial"/>
          <w:sz w:val="18"/>
          <w:szCs w:val="18"/>
          <w:color w:val="auto"/>
        </w:rPr>
        <w:t>Our goal is to establish Invisalign as the treatment of choice for treating malocclusion ultimately driving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and frequency of use by dental professionals, or utilization. Our quarterly utilization rates for the current quarter and for the previous nine quarters are as follows: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11"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1640840</wp:posOffset>
            </wp:positionH>
            <wp:positionV relativeFrom="page">
              <wp:posOffset>243205</wp:posOffset>
            </wp:positionV>
            <wp:extent cx="4905375" cy="2761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490537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vertAlign w:val="superscript"/>
        </w:rPr>
        <w:t>*</w:t>
      </w:r>
      <w:r>
        <w:rPr>
          <w:rFonts w:ascii="Arial" w:cs="Arial" w:eastAsia="Arial" w:hAnsi="Arial"/>
          <w:sz w:val="18"/>
          <w:szCs w:val="18"/>
          <w:color w:val="auto"/>
        </w:rPr>
        <w:t>Invisalign Utilization rates = # of cases shipped divided by # of doctors cases were shipped to</w:t>
      </w:r>
    </w:p>
    <w:p>
      <w:pPr>
        <w:spacing w:after="0" w:line="149" w:lineRule="exact"/>
        <w:rPr>
          <w:sz w:val="20"/>
          <w:szCs w:val="20"/>
          <w:color w:val="auto"/>
        </w:rPr>
      </w:pPr>
    </w:p>
    <w:p>
      <w:pPr>
        <w:ind w:left="540" w:right="20"/>
        <w:spacing w:after="0" w:line="272" w:lineRule="auto"/>
        <w:rPr>
          <w:sz w:val="20"/>
          <w:szCs w:val="20"/>
          <w:color w:val="auto"/>
        </w:rPr>
      </w:pPr>
      <w:r>
        <w:rPr>
          <w:rFonts w:ascii="Arial" w:cs="Arial" w:eastAsia="Arial" w:hAnsi="Arial"/>
          <w:sz w:val="17"/>
          <w:szCs w:val="17"/>
          <w:color w:val="auto"/>
        </w:rPr>
        <w:t>Total utilization in the second quarter of 2013 increased slightly to 4.4 cases per doctor compared to 4.3 cases in the second quarter of 2012 driven primarily by North American Orthodontists and international doctors. Utilization increased from 7.7 in the second quarter of 2012 to 8.0 cases per doctor among our North American orthodontist customers and from 4.1 in the second quarter of 2012 to 4.3 case per doctor among our international doctors, reflecting continued adoption of our Invisalign products driven by ongoing product improvements and feature launches. Utilization among our North American General Practitioner ("GP") decreased slightly, due in part to the increase in newly trained and lower volume GPs submitting cases in the second quarter of 2013. As doctors increase their utilization, we anticipate higher participation in our volume rebate program which may result in lower average selling prices of our products.</w:t>
      </w:r>
    </w:p>
    <w:p>
      <w:pPr>
        <w:spacing w:after="0" w:line="178" w:lineRule="exact"/>
        <w:rPr>
          <w:sz w:val="20"/>
          <w:szCs w:val="20"/>
          <w:color w:val="auto"/>
        </w:rPr>
      </w:pPr>
    </w:p>
    <w:p>
      <w:pPr>
        <w:ind w:left="540" w:right="40" w:hanging="486"/>
        <w:spacing w:after="0" w:line="276"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Seasonal Trends</w:t>
      </w:r>
      <w:r>
        <w:rPr>
          <w:rFonts w:ascii="Arial" w:cs="Arial" w:eastAsia="Arial" w:hAnsi="Arial"/>
          <w:sz w:val="17"/>
          <w:szCs w:val="17"/>
          <w:color w:val="auto"/>
        </w:rPr>
        <w:t>. In North America, summer is typically the busiest season for orthodontists with practices that have a high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adolescent and teenage patients as many parents want to get their teenagers started in treatment before the start of the school year; however, many GPs are on vacation during this time and therefore tend to start fewer cases. Internationally, sales of Invisalign treatment are often weaker in the summer months due to our customers and their patients being on holiday. Consequently, we expect that our Invisalign volume will be flat to down in the third quarter of 2013 compared to the second quarter.</w:t>
      </w:r>
    </w:p>
    <w:p>
      <w:pPr>
        <w:spacing w:after="0" w:line="118" w:lineRule="exact"/>
        <w:rPr>
          <w:rFonts w:ascii="Arial" w:cs="Arial" w:eastAsia="Arial" w:hAnsi="Arial"/>
          <w:sz w:val="17"/>
          <w:szCs w:val="17"/>
          <w:color w:val="auto"/>
        </w:rPr>
      </w:pPr>
    </w:p>
    <w:p>
      <w:pPr>
        <w:ind w:left="540" w:hanging="486"/>
        <w:spacing w:after="0" w:line="257" w:lineRule="auto"/>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Number of new Invisalign doctors trained. </w:t>
      </w:r>
      <w:r>
        <w:rPr>
          <w:rFonts w:ascii="Arial" w:cs="Arial" w:eastAsia="Arial" w:hAnsi="Arial"/>
          <w:sz w:val="18"/>
          <w:szCs w:val="18"/>
          <w:color w:val="auto"/>
        </w:rPr>
        <w:t>We continue to expand our Invisalign customer base by training new doctors. In 2012, Invisalign</w:t>
      </w:r>
      <w:r>
        <w:rPr>
          <w:rFonts w:ascii="Arial" w:cs="Arial" w:eastAsia="Arial" w:hAnsi="Arial"/>
          <w:sz w:val="18"/>
          <w:szCs w:val="18"/>
          <w:i w:val="1"/>
          <w:iCs w:val="1"/>
          <w:color w:val="auto"/>
        </w:rPr>
        <w:t xml:space="preserve"> </w:t>
      </w:r>
      <w:r>
        <w:rPr>
          <w:rFonts w:ascii="Arial" w:cs="Arial" w:eastAsia="Arial" w:hAnsi="Arial"/>
          <w:sz w:val="18"/>
          <w:szCs w:val="18"/>
          <w:color w:val="auto"/>
        </w:rPr>
        <w:t>growth was driven primarily by the continued expansion of our customer base as we trained a total of 6,840 new orthodontists and GPs in North America and internationally. We expect to train approximately 7,220 doctors in 2013 and during the first half of 2013, we trained a total of 3,810 doctors worldwide. In the second quarter of 2013, we trained a total of 2,150 new Invisalign doctors, adding 115 North American Orthodontists, 1,015 North American GPs and 1,020 international doctors.</w:t>
      </w: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680" w:top="1440" w:right="239" w:bottom="1440" w:gutter="0" w:footer="0" w:header="0"/>
        </w:sectPr>
      </w:pPr>
    </w:p>
    <w:bookmarkStart w:id="24" w:name="page25"/>
    <w:bookmarkEnd w:id="24"/>
    <w:p>
      <w:pPr>
        <w:ind w:left="486" w:hanging="486"/>
        <w:spacing w:after="0" w:line="269" w:lineRule="auto"/>
        <w:tabs>
          <w:tab w:leader="none" w:pos="48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Clear Aligner. </w:t>
      </w:r>
      <w:r>
        <w:rPr>
          <w:rFonts w:ascii="Arial" w:cs="Arial" w:eastAsia="Arial" w:hAnsi="Arial"/>
          <w:sz w:val="17"/>
          <w:szCs w:val="17"/>
          <w:color w:val="auto"/>
        </w:rPr>
        <w:t>We will continue to focus our efforts towards increasing adoption of our products by dental professionals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core European markets as well as expanding into new markets. On a year-over-year basis, international volume increased 21% compared to the second quarter of 2012, reflecting growth in our direct business in Europe despite widespread economic changes. In addition, in the second quarter of 2013, we successfully completed the transition of countries managed by our APAC distributor back to a direct sales model by acquiring the distributor business. Now four of the largest indirect country markets of Australia, New Zealand, Hong Kong and Singapore are direct sales regions, and we began to recognize direct sales of Invisalign products sold in that region at our full average selling price ("ASP") rather than at the discounted ASP under the distribution agreement. In 2012, this distributor accounted for approximately 3% of worldwide net revenues, and we expect the region to become an even more meaningful contributor to revenue growth in 2013. In the near term, however, the assumption of the direct operating costs will offset the uplift to ASPs. Although we expect volumes and revenues will increase, we may experience difficulties in achieving the anticipated financial benefits. The remaining eight indirect country markets in Brunei, Indonesia, Macau, Malaysia, Philippines, South Korea, Taiwan, Thailand and Vietnam as well as the EMEA and Latin America regions will continue under a distribution model.</w:t>
      </w:r>
    </w:p>
    <w:p>
      <w:pPr>
        <w:spacing w:after="0" w:line="125" w:lineRule="exact"/>
        <w:rPr>
          <w:rFonts w:ascii="Arial" w:cs="Arial" w:eastAsia="Arial" w:hAnsi="Arial"/>
          <w:sz w:val="17"/>
          <w:szCs w:val="17"/>
          <w:color w:val="auto"/>
        </w:rPr>
      </w:pPr>
    </w:p>
    <w:p>
      <w:pPr>
        <w:ind w:left="486" w:right="120" w:hanging="486"/>
        <w:spacing w:after="0" w:line="276" w:lineRule="auto"/>
        <w:tabs>
          <w:tab w:leader="none" w:pos="48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Increased Sales Force Coverage. </w:t>
      </w:r>
      <w:r>
        <w:rPr>
          <w:rFonts w:ascii="Arial" w:cs="Arial" w:eastAsia="Arial" w:hAnsi="Arial"/>
          <w:sz w:val="17"/>
          <w:szCs w:val="17"/>
          <w:color w:val="auto"/>
        </w:rPr>
        <w:t>Our direct sales organization in North America is comprised of a team of territory managers, and to a lesser</w:t>
      </w:r>
      <w:r>
        <w:rPr>
          <w:rFonts w:ascii="Arial" w:cs="Arial" w:eastAsia="Arial" w:hAnsi="Arial"/>
          <w:sz w:val="17"/>
          <w:szCs w:val="17"/>
          <w:i w:val="1"/>
          <w:iCs w:val="1"/>
          <w:color w:val="auto"/>
        </w:rPr>
        <w:t xml:space="preserve"> </w:t>
      </w:r>
      <w:r>
        <w:rPr>
          <w:rFonts w:ascii="Arial" w:cs="Arial" w:eastAsia="Arial" w:hAnsi="Arial"/>
          <w:sz w:val="17"/>
          <w:szCs w:val="17"/>
          <w:color w:val="auto"/>
        </w:rPr>
        <w:t>extent, territory specialists. These territory specialists are used to enhance coverage in larger territories, especially with our lower volume GP customers. Due to the success of this sales coverage model, we expect to add approximately 20 sales representatives in 2013, predominantly in North America. In addition, with the transition of our Asia-Pacific distributor to a direct sales model in May 2013 as a result of acquiring the distributor business, we acquired approximately 15 additional sales representatives in that region.</w:t>
      </w:r>
    </w:p>
    <w:p>
      <w:pPr>
        <w:spacing w:after="0" w:line="118" w:lineRule="exact"/>
        <w:rPr>
          <w:rFonts w:ascii="Arial" w:cs="Arial" w:eastAsia="Arial" w:hAnsi="Arial"/>
          <w:sz w:val="17"/>
          <w:szCs w:val="17"/>
          <w:color w:val="auto"/>
        </w:rPr>
      </w:pPr>
    </w:p>
    <w:p>
      <w:pPr>
        <w:ind w:left="486" w:right="60" w:hanging="486"/>
        <w:spacing w:after="0" w:line="289" w:lineRule="auto"/>
        <w:tabs>
          <w:tab w:leader="none" w:pos="48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Change to Mid-Course Correction Policy</w:t>
      </w:r>
      <w:r>
        <w:rPr>
          <w:rFonts w:ascii="Arial" w:cs="Arial" w:eastAsia="Arial" w:hAnsi="Arial"/>
          <w:sz w:val="16"/>
          <w:szCs w:val="16"/>
          <w:color w:val="auto"/>
        </w:rPr>
        <w:t>. We seek to continually evaluate and improve our products, our customer support processes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to support those goals. Mid-course correction provides our customers with the option of requesting a treatment correction during active treatment if the case is not tracking to the original treatment plan or goals. Based on customer feedback, beginning June 15, 2013, we no longer charge a fee associated with our mid-course correction orders. We now include up to three free mid-course correction orders per case in our list prices for Invisalign Full and Invisalign Teen. As a result of this change, Invisalign Clear Aligner net revenues for the second quarter of 2013 were decreased by $1.2 million, which reflects the revenue deferred to provide free mid-course corrections for cases shipped between April 1 through June 15, 2013 that are now eligible for the new mid-course correction policy. Based on an historical usage rate, we will defer approximately $10 per case, which will be recognized when mid-course corrections orders are shipped. In addition, because we will no longer charge customers for mid-course correction orders, we anticipate lower quarterly net revenues of approximately $700,000.</w:t>
      </w:r>
    </w:p>
    <w:p>
      <w:pPr>
        <w:spacing w:after="0" w:line="112" w:lineRule="exact"/>
        <w:rPr>
          <w:rFonts w:ascii="Arial" w:cs="Arial" w:eastAsia="Arial" w:hAnsi="Arial"/>
          <w:sz w:val="16"/>
          <w:szCs w:val="16"/>
          <w:color w:val="auto"/>
        </w:rPr>
      </w:pPr>
    </w:p>
    <w:p>
      <w:pPr>
        <w:ind w:left="486" w:right="60" w:hanging="486"/>
        <w:spacing w:after="0" w:line="270" w:lineRule="auto"/>
        <w:tabs>
          <w:tab w:leader="none" w:pos="48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SCCS business. </w:t>
      </w:r>
      <w:r>
        <w:rPr>
          <w:rFonts w:ascii="Arial" w:cs="Arial" w:eastAsia="Arial" w:hAnsi="Arial"/>
          <w:sz w:val="17"/>
          <w:szCs w:val="17"/>
          <w:color w:val="auto"/>
        </w:rPr>
        <w:t>In October 2012, we reached a mutual agreement to terminate the exclusive distribution arrangement with Straumann for iTero</w:t>
      </w:r>
      <w:r>
        <w:rPr>
          <w:rFonts w:ascii="Arial" w:cs="Arial" w:eastAsia="Arial" w:hAnsi="Arial"/>
          <w:sz w:val="17"/>
          <w:szCs w:val="17"/>
          <w:i w:val="1"/>
          <w:iCs w:val="1"/>
          <w:color w:val="auto"/>
        </w:rPr>
        <w:t xml:space="preserve"> </w:t>
      </w:r>
      <w:r>
        <w:rPr>
          <w:rFonts w:ascii="Arial" w:cs="Arial" w:eastAsia="Arial" w:hAnsi="Arial"/>
          <w:sz w:val="17"/>
          <w:szCs w:val="17"/>
          <w:color w:val="auto"/>
        </w:rPr>
        <w:t>intra-oral scanners in Europe, as well as the non-exclusive distribution agreement for iTero intra-oral scanners in North America effective December 31, 2012. The global market for restorative dentistry is far more fragmented and complex than for orthodontics, involving hundreds of thousands of labs, suppliers, general dentists and specialists. In Europe, adoption of digital restorative technology has been slowed due to challenging economic conditions and reluctance to invest in capital equipment. In view of these conditions, we expect to have very few scanner sales internationally in the near term as we determine the most effective way to re-stage growth in this market. Our direct sales model remains unchanged in North America where most of the SCCS net revenues are generated. In North America, we expect revenue in the SCCS segment to be down sequentially in the third quarter of 2013 compared to the second quarter as a result of lower ASP due to the introduction of a lower sales price for our iTero intro-oral scanner and increased competition.</w:t>
      </w:r>
    </w:p>
    <w:p>
      <w:pPr>
        <w:spacing w:after="0" w:line="37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6"/>
          </w:cols>
          <w:pgMar w:left="734" w:top="368" w:right="279" w:bottom="1440" w:gutter="0" w:footer="0" w:header="0"/>
        </w:sectPr>
      </w:pPr>
    </w:p>
    <w:bookmarkStart w:id="25" w:name="page26"/>
    <w:bookmarkEnd w:id="25"/>
    <w:p>
      <w:pPr>
        <w:ind w:left="980" w:right="100" w:hanging="486"/>
        <w:spacing w:after="0" w:line="270"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Increase in Invisalign Selling Price</w:t>
      </w:r>
      <w:r>
        <w:rPr>
          <w:rFonts w:ascii="Arial" w:cs="Arial" w:eastAsia="Arial" w:hAnsi="Arial"/>
          <w:sz w:val="17"/>
          <w:szCs w:val="17"/>
          <w:color w:val="auto"/>
        </w:rPr>
        <w:t>. In recent years, we have significantly increased investment in research and development resulting in</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innovations, such as Invisalign G3, Invisalign G4 and SmartTrack clear aligner material. We have also continued to increase our consumer advertising spending to drive more patient demand. In addition, beginning January 1, 2013, the U.S. Federal Government imposed a new excise tax on medical device manufacturers enacted into law as part of the comprehensive healthcare reform legislation in March 2010, which Invisalign clear aligners are considered a taxable medical device. As a result of this new tax and our continued investments in research and development and consumer advertising, effective January 1, 2013, we increased our Invisalign pricing by adding $26.00 to $50.00 per case compared to 2012 prices. For 2013, we expect that the impact on our ASP from this price increase will be offset somewhat by an expected increase in our rebate program due to the anticipated increase in utilization by our customers, increased volume from our lower price products, including Invisalign Express 5 and Invisalign i7, as well as slightly higher material costs for the SmartTrack clear aligner material. The prices for Invisalign Teen, Invisalign retainers and Vivera retainers will remain unchanged.</w:t>
      </w:r>
    </w:p>
    <w:p>
      <w:pPr>
        <w:spacing w:after="0" w:line="123" w:lineRule="exact"/>
        <w:rPr>
          <w:rFonts w:ascii="Arial" w:cs="Arial" w:eastAsia="Arial" w:hAnsi="Arial"/>
          <w:sz w:val="17"/>
          <w:szCs w:val="17"/>
          <w:color w:val="auto"/>
        </w:rPr>
      </w:pPr>
    </w:p>
    <w:p>
      <w:pPr>
        <w:ind w:left="980" w:right="100" w:hanging="486"/>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2013 Operating expenses. </w:t>
      </w:r>
      <w:r>
        <w:rPr>
          <w:rFonts w:ascii="Arial" w:cs="Arial" w:eastAsia="Arial" w:hAnsi="Arial"/>
          <w:sz w:val="18"/>
          <w:szCs w:val="18"/>
          <w:color w:val="auto"/>
        </w:rPr>
        <w:t>We expect operating expenses to increase in 2013 compared to 2012 due to the increase in our North American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force coverage, the addition of the direct sales force in Asia-Pacific due to acquiring the distributor business and the inclusion of the medical device excise tax as a result of new tax regulations effective January 1, 2013.</w:t>
      </w:r>
    </w:p>
    <w:p>
      <w:pPr>
        <w:spacing w:after="0" w:line="127" w:lineRule="exact"/>
        <w:rPr>
          <w:rFonts w:ascii="Arial" w:cs="Arial" w:eastAsia="Arial" w:hAnsi="Arial"/>
          <w:sz w:val="18"/>
          <w:szCs w:val="18"/>
          <w:color w:val="auto"/>
        </w:rPr>
      </w:pPr>
    </w:p>
    <w:p>
      <w:pPr>
        <w:ind w:left="980" w:hanging="486"/>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Although the U.S. dollar is our reporting currency, a portion of our net revenues and income are generated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Net revenues and income generated by subsidiaries operating outside of the U.S.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 rates against the U.S. dollar will continue to affect the reported amount of net revenues and income in our condensed consolidated financial statements.</w:t>
      </w:r>
    </w:p>
    <w:p>
      <w:pPr>
        <w:spacing w:after="0" w:line="139" w:lineRule="exact"/>
        <w:rPr>
          <w:rFonts w:ascii="Arial" w:cs="Arial" w:eastAsia="Arial" w:hAnsi="Arial"/>
          <w:sz w:val="18"/>
          <w:szCs w:val="18"/>
          <w:color w:val="auto"/>
        </w:rPr>
      </w:pPr>
    </w:p>
    <w:p>
      <w:pPr>
        <w:ind w:left="980" w:right="140" w:hanging="486"/>
        <w:spacing w:after="0" w:line="27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Launch of Realine. </w:t>
      </w:r>
      <w:r>
        <w:rPr>
          <w:rFonts w:ascii="Arial" w:cs="Arial" w:eastAsia="Arial" w:hAnsi="Arial"/>
          <w:sz w:val="17"/>
          <w:szCs w:val="17"/>
          <w:color w:val="auto"/>
        </w:rPr>
        <w:t>In the second quarter of 2013, we announced the introduction of Realine™, an entry level, five-stage clear aligner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for very minor crowding and spacing issues that GP dentists see in their practices every day, including dental relapse. Realine offers non-Invisalign GP dentists a competitively-priced, easy to use product for patients with very limited treatment goals, especially adults whose teeth have shifted or "relapsed" after adolescent orthodontic treatment. Realine was available in the U.S. in mid-June 2013 exclusively through Henry Schein Dental. We do not expect Realine to have a material impact on our 2013 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operations into two reportable segments: Clear Aligner segment and SCCS segment.</w:t>
      </w:r>
    </w:p>
    <w:p>
      <w:pPr>
        <w:spacing w:after="0" w:line="225" w:lineRule="exact"/>
        <w:rPr>
          <w:sz w:val="20"/>
          <w:szCs w:val="20"/>
          <w:color w:val="auto"/>
        </w:rPr>
      </w:pPr>
    </w:p>
    <w:p>
      <w:pPr>
        <w:ind w:left="980" w:right="14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70" w:lineRule="exact"/>
        <w:rPr>
          <w:rFonts w:ascii="Arial" w:cs="Arial" w:eastAsia="Arial" w:hAnsi="Arial"/>
          <w:sz w:val="18"/>
          <w:szCs w:val="18"/>
          <w:color w:val="auto"/>
        </w:rPr>
      </w:pPr>
    </w:p>
    <w:p>
      <w:pPr>
        <w:ind w:left="980" w:right="380" w:hanging="486"/>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SCCS segment consists of intra-oral scanning systems and additional services available with the intra-oral scanners that provide digital alternatives to the traditional cast models. This segment includes our iTero scanners, iOC scanners, and OrthoCAD services.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68" w:right="2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below represents net revenues for our Clear Aligner segment by region, channel, and product and our SCCS segment by region and product for the three and six months ended June 30, 2013 and 2012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Three Months Ended 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Clear Aligner:</w:t>
            </w:r>
          </w:p>
        </w:tc>
        <w:tc>
          <w:tcPr>
            <w:tcW w:w="200" w:type="dxa"/>
            <w:vAlign w:val="bottom"/>
          </w:tcPr>
          <w:p>
            <w:pPr>
              <w:spacing w:after="0"/>
              <w:rPr>
                <w:sz w:val="13"/>
                <w:szCs w:val="13"/>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Net</w:t>
            </w:r>
          </w:p>
        </w:tc>
        <w:tc>
          <w:tcPr>
            <w:tcW w:w="1040" w:type="dxa"/>
            <w:vAlign w:val="bottom"/>
          </w:tcPr>
          <w:p>
            <w:pPr>
              <w:jc w:val="right"/>
              <w:ind w:right="372"/>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Net</w:t>
            </w:r>
          </w:p>
        </w:tc>
        <w:tc>
          <w:tcPr>
            <w:tcW w:w="104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1040" w:type="dxa"/>
            <w:vAlign w:val="bottom"/>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Region and Channel</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Ortho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43"/>
        </w:trPr>
        <w:tc>
          <w:tcPr>
            <w:tcW w:w="3200" w:type="dxa"/>
            <w:vAlign w:val="bottom"/>
          </w:tcPr>
          <w:p>
            <w:pPr>
              <w:ind w:left="720"/>
              <w:spacing w:after="0"/>
              <w:rPr>
                <w:sz w:val="20"/>
                <w:szCs w:val="20"/>
                <w:color w:val="auto"/>
              </w:rPr>
            </w:pPr>
            <w:r>
              <w:rPr>
                <w:rFonts w:ascii="Arial" w:cs="Arial" w:eastAsia="Arial" w:hAnsi="Arial"/>
                <w:sz w:val="18"/>
                <w:szCs w:val="18"/>
                <w:color w:val="auto"/>
              </w:rPr>
              <w:t>GP</w:t>
            </w: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North America</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non-case net revenues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61.0 %</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Clear Aligner net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Product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Invisalign Full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Express/Lite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39.0 %</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Invisalign Teen</w:t>
            </w: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Invisalign Assist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Invisalign non-case net revenues</w:t>
            </w: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Clear Aligner 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SCCS: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SCCS net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Product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Scanners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CAD/CAM Services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SCCS net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Total net revenues increased by $18.2 million and $36.7 million for the three and six months ended June 30, 2013, respectively, as compared to the same period in 2012 primarily as a result of Invisalign case volume growth across all regions and most products as well as increased Invisalign non-case revenue.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Channel and Product</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Case volume data which represents Invisalign case shipments by channel and product, for the three and six months ended June 30, 2013 and 2012 is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Three Months Ended 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9"/>
              </w:rPr>
              <w:t>Six Months Ended 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Region and Channel</w:t>
            </w:r>
          </w:p>
        </w:tc>
        <w:tc>
          <w:tcPr>
            <w:tcW w:w="9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9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0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9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Net</w:t>
            </w:r>
          </w:p>
        </w:tc>
        <w:tc>
          <w:tcPr>
            <w:tcW w:w="104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Change</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104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Ortho</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GP</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Total North American Invisalign</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Invisalign</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Total Invisalign case volume</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67"/>
        </w:trPr>
        <w:tc>
          <w:tcPr>
            <w:tcW w:w="32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Invisalign Full</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Express/Lite</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42.6 %</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Invisalign Teen</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16.8 %</w:t>
            </w: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Assist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Total Invisalign case volume</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the three months ended June 30, 2013, Clear Aligner North America net revenues increased by 9.9% compared to the same period in 2012 primarily due to Invisalign case volume growth of approximately $7.9 million across all channels and most products. Additionally, in the second quarter of 2013, higher ASP contributed $1.3 million to the increase in net revenues as a result of lower volume rebates during the period along with the impact from our price increases effective January 2013.</w:t>
      </w:r>
    </w:p>
    <w:p>
      <w:pPr>
        <w:spacing w:after="0" w:line="187" w:lineRule="exact"/>
        <w:rPr>
          <w:sz w:val="20"/>
          <w:szCs w:val="20"/>
          <w:color w:val="auto"/>
        </w:rPr>
      </w:pPr>
    </w:p>
    <w:p>
      <w:pPr>
        <w:jc w:val="both"/>
        <w:ind w:right="60" w:firstLine="405"/>
        <w:spacing w:after="0" w:line="312" w:lineRule="auto"/>
        <w:rPr>
          <w:sz w:val="20"/>
          <w:szCs w:val="20"/>
          <w:color w:val="auto"/>
        </w:rPr>
      </w:pPr>
      <w:r>
        <w:rPr>
          <w:rFonts w:ascii="Arial" w:cs="Arial" w:eastAsia="Arial" w:hAnsi="Arial"/>
          <w:sz w:val="16"/>
          <w:szCs w:val="16"/>
          <w:color w:val="auto"/>
        </w:rPr>
        <w:t>In the six months ended June 30, 2013, Clear Aligner North America net revenues increased by 10.8% compared to the same period in 2012 mainly due to Invisalign case volume growth of $20.4 million and, to a lesser extent, price increases which were effective January 2013. This revenue growth was partly offset by a decrease in net revenues due to a product mix shift towards lower priced Invisalign Express products which lowered the ASP.”</w:t>
      </w:r>
    </w:p>
    <w:p>
      <w:pPr>
        <w:spacing w:after="0" w:line="14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the three months ended June 30, 2013, Clear Aligner international net revenues increased by 22.5% compared to the same period in 2012 primarily driven by Invisalign case volume growth of $6.8 million along with higher ASP mainly due to the impact from acquiring our distributor in the APAC region on April 30, 2013. We began to recognize direct sales of Invisalign products sold in that region at our full ASP rather than the discounted ASP under the distributor agreement.</w:t>
      </w:r>
    </w:p>
    <w:p>
      <w:pPr>
        <w:spacing w:after="0" w:line="18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the six months ended June 30, 2013, Clear Aligner international net revenues increased 15.2% compared to the same period in 2012 primarily driven by Invisalign case volume growth of $12.0 million partially offset by lower ASP due to increased discounting and a product mix shift towards lower priced Invisalign Lite products.</w:t>
      </w:r>
    </w:p>
    <w:p>
      <w:pPr>
        <w:spacing w:after="0" w:line="181"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Invisalign non-case net revenues, consisting of training fees and ancillary product revenues, increased 38.5% and 61.0% for the three and six months ended June 30, 2013, respectively, compared to the same periods in 2012, primarily due to the consolidation of our Vivera product shipments in North America from four shipments per year to one shipment along with increased Vivera volume both in North America and international.</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SCCS</w:t>
      </w:r>
    </w:p>
    <w:p>
      <w:pPr>
        <w:spacing w:after="0" w:line="22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SCCS net revenues decreased 11.8% for the three month period ending June 30, 2013 mostly due to a decrease in the number of scanners recognized during the quarter compared to the same period in 2012. SCCS net revenues decreased 5.1% for the six month period ending June 30, 2013 compared to the same period in 2012 primarily due to the decrease in CAD/CAM services net revenues partially as a result of the discontinuation of the OrthoCAD iQ services during the fourth quarter of 2012, partially offset by a $1.4 million release of revenue which was previously reserved for the new iTero upgrade program which was completed in the first quarter of 2013.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80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Change</w:t>
            </w:r>
          </w:p>
        </w:tc>
      </w:tr>
      <w:tr>
        <w:trPr>
          <w:trHeight w:val="189"/>
        </w:trPr>
        <w:tc>
          <w:tcPr>
            <w:tcW w:w="4480" w:type="dxa"/>
            <w:vAlign w:val="bottom"/>
            <w:tcBorders>
              <w:top w:val="single" w:sz="8" w:color="CCEEFF"/>
            </w:tcBorders>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25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11.4</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of net 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26.5</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03"/>
        </w:trPr>
        <w:tc>
          <w:tcPr>
            <w:tcW w:w="44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SCCS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44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 of net segment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3"/>
        </w:trPr>
        <w:tc>
          <w:tcPr>
            <w:tcW w:w="44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9.7</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r>
      <w:tr>
        <w:trPr>
          <w:trHeight w:val="243"/>
        </w:trPr>
        <w:tc>
          <w:tcPr>
            <w:tcW w:w="448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29"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Cost of net revenues for our Clear Aligner and SCCS segments includes salaries for staff involved in the production process, cost of materials, packaging, shipping costs, depreciation on capital equipment used in the production process, amortization of acquired intangible assets, training costs and stock-based compensation expense.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Gross margin decreased slightly for the three months ended June 30, 2013 compared to the same period in 2012 due to higher depreciation costs, an increase in material costs related to our new SmartTrack material and additional freight costs as a result of increased international shipments. These increased costs were partially offset by higher ASP.</w:t>
      </w:r>
    </w:p>
    <w:p>
      <w:pPr>
        <w:spacing w:after="0" w:line="1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Gross margin decreased slightly for the six months ended June 30, 2013 compared to the same period in 2012 due to higher depreciation costs, an increase in material costs related to our new SmartTrack material and increased inventory reserves on our prior aligner material which is replaced by our new SmartTrack aligner material.</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SCCS</w:t>
      </w:r>
    </w:p>
    <w:p>
      <w:pPr>
        <w:spacing w:after="0" w:line="158"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Gross margin increased for the three months ended June 30, 2013 compared to the same period in 2012 largely due to lower costs as a result of the closure of our New Jersey facility which was completed by October 2012, along with lower excess and obsolete inventory reserves due to planned product transitions. These increases were partially offset by higher costs per unit from lower production volumes.</w:t>
      </w:r>
    </w:p>
    <w:p>
      <w:pPr>
        <w:spacing w:after="0" w:line="181" w:lineRule="exact"/>
        <w:rPr>
          <w:sz w:val="20"/>
          <w:szCs w:val="20"/>
          <w:color w:val="auto"/>
        </w:rPr>
      </w:pPr>
    </w:p>
    <w:p>
      <w:pPr>
        <w:jc w:val="both"/>
        <w:ind w:right="440" w:firstLine="405"/>
        <w:spacing w:after="0" w:line="279" w:lineRule="auto"/>
        <w:rPr>
          <w:sz w:val="20"/>
          <w:szCs w:val="20"/>
          <w:color w:val="auto"/>
        </w:rPr>
      </w:pPr>
      <w:r>
        <w:rPr>
          <w:rFonts w:ascii="Arial" w:cs="Arial" w:eastAsia="Arial" w:hAnsi="Arial"/>
          <w:sz w:val="17"/>
          <w:szCs w:val="17"/>
          <w:color w:val="auto"/>
        </w:rPr>
        <w:t>Gross margin increased for the six months ended June 30, 2013 compared to the same period in 2012 primarily due to lower costs as a result of the closure of our New Jersey facility which was completed by October 2012. In addition, we had higher scanner net revenues as a result of the $1.4 million release of revenue for amounts previously reserved for the new iTero scanner upgrade program which was completed in the first quarter of 2013. These increases were partially offset by higher costs per unit from lower production volumes.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and marketing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92"/>
              </w:rPr>
              <w:t>Three Months Ended 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left="459"/>
              <w:spacing w:after="0"/>
              <w:rPr>
                <w:sz w:val="20"/>
                <w:szCs w:val="20"/>
                <w:color w:val="auto"/>
              </w:rPr>
            </w:pPr>
            <w:r>
              <w:rPr>
                <w:rFonts w:ascii="Arial" w:cs="Arial" w:eastAsia="Arial" w:hAnsi="Arial"/>
                <w:sz w:val="14"/>
                <w:szCs w:val="14"/>
                <w:b w:val="1"/>
                <w:bCs w:val="1"/>
                <w:color w:val="auto"/>
                <w:w w:val="92"/>
              </w:rPr>
              <w:t>Six Months Ended June 30,</w:t>
            </w:r>
          </w:p>
        </w:tc>
        <w:tc>
          <w:tcPr>
            <w:tcW w:w="780" w:type="dxa"/>
            <w:vAlign w:val="bottom"/>
            <w:tcBorders>
              <w:bottom w:val="single" w:sz="8" w:color="auto"/>
            </w:tcBorders>
          </w:tcPr>
          <w:p>
            <w:pPr>
              <w:spacing w:after="0"/>
              <w:rPr>
                <w:sz w:val="16"/>
                <w:szCs w:val="16"/>
                <w:color w:val="auto"/>
              </w:rPr>
            </w:pPr>
          </w:p>
        </w:tc>
      </w:tr>
      <w:tr>
        <w:trPr>
          <w:trHeight w:val="264"/>
        </w:trPr>
        <w:tc>
          <w:tcPr>
            <w:tcW w:w="4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17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12.3</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Arial" w:cs="Arial" w:eastAsia="Arial" w:hAnsi="Arial"/>
                <w:sz w:val="18"/>
                <w:szCs w:val="18"/>
                <w:color w:val="auto"/>
                <w:w w:val="97"/>
              </w:rPr>
              <w:t>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27.7%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229"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Sales and marketing expense includes sales force and marketing compensation (including travel-related costs), media and advertising, clinical education, trade shows and industry events, product marketing and stock-based compensation expense.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Our sales and marketing expense for the three months ended June 30, 2013 increased compared to the same period in 2012 primarily due to higher compensation costs of $6.5 million largely related to increased headcount and higher sales commissions. In addition, we incurred higher clinical education costs of $1.4 million largely as a result of our bi-annual Invisalign European Summit which was held during the second quarter of 2013 along with higher media costs of approximately $1.0 million related to network and television media campaigns.</w:t>
      </w:r>
    </w:p>
    <w:p>
      <w:pPr>
        <w:spacing w:after="0" w:line="187"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Our sales and marketing expense for the six months ended June 30, 2013 increased compared to the same period in 2012 primarily due to higher compensation costs of $5.8 million largely related to increased headcount and higher sales commissions. In addition, we incurred higher clinical education costs of $1.5 million largely as a result of our bi-annual Invisalign European Summit which was held during the second quarter of 2013 along with higher advertising and media costs of approximately $3.1 million.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w w:val="94"/>
              </w:rPr>
              <w:t>Six Months Ended June 30,</w:t>
            </w:r>
          </w:p>
        </w:tc>
        <w:tc>
          <w:tcPr>
            <w:tcW w:w="800" w:type="dxa"/>
            <w:vAlign w:val="bottom"/>
            <w:tcBorders>
              <w:bottom w:val="single" w:sz="8" w:color="auto"/>
            </w:tcBorders>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10.9</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Arial" w:cs="Arial" w:eastAsia="Arial" w:hAnsi="Arial"/>
                <w:sz w:val="18"/>
                <w:szCs w:val="18"/>
                <w:color w:val="auto"/>
                <w:w w:val="97"/>
              </w:rPr>
              <w:t>16.5%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29"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General and administrative expense includes salaries for administrative personnel, outside consulting services, legal expenses and stock-based compensation expense.</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General and administrative expense increased for the three months ended June 30, 2013 compared to the same period in 2012 primarily due to higher compensation costs of $2.0 million as a result of higher stock-based compensation and increased headcount. Additionally, we incurred $2.1 million of medical device excise tax as a result of new tax regulations effective January 1, 2013.</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General and administrative expense increased for the six months ended June 30, 2013 primarily due to higher compensation costs of $4.9 million as a result of higher stock-based compensation and increased headcount along with $3.5 million of medical device excise tax. In addition, we also incurred higher legal fees of $1.8 million related to various litigation matters.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800" w:type="dxa"/>
            <w:vAlign w:val="bottom"/>
            <w:tcBorders>
              <w:bottom w:val="single" w:sz="8" w:color="auto"/>
            </w:tcBorders>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175" w:lineRule="exact"/>
        <w:rPr>
          <w:sz w:val="20"/>
          <w:szCs w:val="20"/>
          <w:color w:val="auto"/>
        </w:rPr>
      </w:pPr>
    </w:p>
    <w:p>
      <w:pPr>
        <w:jc w:val="both"/>
        <w:ind w:right="100" w:firstLine="432"/>
        <w:spacing w:after="0" w:line="381" w:lineRule="auto"/>
        <w:rPr>
          <w:sz w:val="20"/>
          <w:szCs w:val="20"/>
          <w:color w:val="auto"/>
        </w:rPr>
      </w:pPr>
      <w:r>
        <w:rPr>
          <w:rFonts w:ascii="Arial" w:cs="Arial" w:eastAsia="Arial" w:hAnsi="Arial"/>
          <w:sz w:val="15"/>
          <w:szCs w:val="15"/>
          <w:color w:val="auto"/>
        </w:rPr>
        <w:t>Research and development expense includes the personnel-related costs and outside consulting expenses associated with the research and development of new products and enhancements to existing products, corporate allocations, facility and facility related costs and stock-based compensation expense.</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Research and development expense during the three and six months ended June 30, 2013, compared to the same period in 2012, was consistent.</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w w:val="94"/>
              </w:rPr>
              <w:t>Six Months Ended June 30,</w:t>
            </w:r>
          </w:p>
        </w:tc>
        <w:tc>
          <w:tcPr>
            <w:tcW w:w="800" w:type="dxa"/>
            <w:vAlign w:val="bottom"/>
            <w:tcBorders>
              <w:bottom w:val="single" w:sz="8" w:color="auto"/>
            </w:tcBorders>
          </w:tcPr>
          <w:p>
            <w:pPr>
              <w:spacing w:after="0"/>
              <w:rPr>
                <w:sz w:val="16"/>
                <w:szCs w:val="16"/>
                <w:color w:val="auto"/>
              </w:rPr>
            </w:pPr>
          </w:p>
        </w:tc>
      </w:tr>
      <w:tr>
        <w:trPr>
          <w:trHeight w:val="264"/>
        </w:trPr>
        <w:tc>
          <w:tcPr>
            <w:tcW w:w="45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70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goodwill impairment charge recorded in the second quarter of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the six months ended June 30, 2013, we recorded $40.7 million for the impairment of goodwill. In first quarter of 2013, we determined that the goodwill for our SCCS reporting unit should be tested for impairment between annual tests since an event occurred or circumstances changed that would more likely than not reduce the fair value of our SCCS reporting unit below its carrying amount. As a result of our analysis, we recorded a goodwill impairment charge of $40.7 million in the first quarter of 2013, none of which was deductible for tax purposes. Refer to Note 5 for details of the impairment analysis.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long-lived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800" w:type="dxa"/>
            <w:vAlign w:val="bottom"/>
            <w:tcBorders>
              <w:bottom w:val="single" w:sz="8" w:color="auto"/>
            </w:tcBorders>
          </w:tcPr>
          <w:p>
            <w:pPr>
              <w:spacing w:after="0"/>
              <w:rPr>
                <w:sz w:val="16"/>
                <w:szCs w:val="16"/>
                <w:color w:val="auto"/>
              </w:rPr>
            </w:pPr>
          </w:p>
        </w:tc>
      </w:tr>
      <w:tr>
        <w:trPr>
          <w:trHeight w:val="264"/>
        </w:trPr>
        <w:tc>
          <w:tcPr>
            <w:tcW w:w="45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7"/>
              </w:rPr>
              <w:t>Change</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long-lived assets</w:t>
            </w:r>
          </w:p>
        </w:tc>
        <w:tc>
          <w:tcPr>
            <w:tcW w:w="7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26.3</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70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impairment of long-lived assets recorded in the second quarter of 2013.</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six months ended June 30, 2013, we recorded $26.3 million related to the impairment of long-lived assets. This impairment was recorded in first quarter of 2013 as a result of changes in the competitive environment of our intra-oral scanners, which included announcements of new low-priced scanners targeted at orthodontists and general practitioner dentists in North America, which caused us to lower our expectations for growth and profitability for our SCCS reporting unit. Therefore, we determined that the carrying value of the long-lived assets was not recoverable and recorded an impairment charge of $26.3 million. Refer to Note 5 for details of the impairment analysis.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right"/>
              <w:ind w:right="63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and other income (expense),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Interest and other income (expense), net, includes interest income earned on cash, cash equivalents and investment balances, foreign currency translation gains and losses and other miscellaneous charges.</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Interest income for the three and six months ended June 30, 2013 was relatively consistent compared to the same periods in 2012. Other expense for the three and six months ended June 30, 2013 compared to the same periods in 2012 increased reflecting higher foreign exchange losses primarily due to the weakening of the U.S. dollar to the Euro and the British Pound.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c>
          <w:tcPr>
            <w:tcW w:w="82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For the three and six months ended June 30, 2013, our income tax expense was $8.2 million and $11.2 million, representing effective tax rates of 22.0% and (745.9)%, respectively. For the three and six months ended June 30, 2012, our income tax expense was $8.1 million and $14.3 million, representing effective tax rates of 22.1% and 22.4%, respectively. The decrease in the tax provision when comparing the six months ended June 30, 2012 to the six months ended June 30, 2013 is primarily due to a jurisdictional shift in forecasted earnings from the U.S. to lower-tax non-U.S. jurisdictions, as well as the tax impact of the impairment of goodwill and long-lived assets which was recorded as a discrete item in the quarter ended March 31, 2013.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tax expense of $11.2 million for the six months ended June 30, 2013 is comprised primarily of a benefit related to a pre-tax loss for the period offset by income tax expense of $5.8 million related to the impairment of goodwill and long-lived assets. The $5.8 million, which was recorded as a discrete item in the quarter ended March 31, 2013, is comprised of a $9.7 million tax expense due to a non-deductible goodwill impairment charge offset by a $3.9 million tax benefit associated with the impairment of long-lived assets.</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January 2, 2013, the American Taxpayer Relief Act of 2012 (H.R. 8, as amended) was signed into law. This Act extends the federal research and development credit through December 31, 2013. The federal research and development credit was reinstated retroactively to January 1, 2012. The tax benefit of the federal research and development credit for the twelve months ended December 31, 2012 resulted in a discrete tax benefit of $0.5 million in the first quarter of fiscal year 2013, the period in which the reinstatement was enacted into law.</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June 30, 2013, we maintain a valuation allowance of $30.3 million against deferred tax assets primarily related to foreign net operating loss carryforwards and capital loss carryforwards. These net operating and capital loss carryovers would result in an income tax benefit if we were to conclude it is more likely than not that the related deferred tax assets will be realized.</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second quarter of 2013, the amount of gross unrecognized tax benefits increased by approximately $1.9 million due to current period exposures. The total amount of gross unrecognized tax benefits was $24.0 million as of June 30, 2013, all of which would impact our effective tax rate if realized. We have elected to recognize interest and penalties related to unrecognized tax benefits as a component of income taxes. The change in accrued interest and penalties during the second quarter of 2013 was not material. We do not expect any significant changes to the amount of unrecognized tax benefit within the next twelve months.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subject to taxation in the U.S., and various states and foreign jurisdictions. All of our tax years will be open to examination by the U.S. federal and most state tax authorities due to our net operating loss and overall credit carryforward position. With few exceptions, we are no longer subject to examination by foreign tax authorities for years before 2006. Our subsidiaries in Israel and Germany are under audit by the local tax authorities for calendar years 2006 through 2011 and 2007 through 2011,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June 30, 2013 and December 31, 2012, we had the following cash, cash equivalents, and short-term and long-term investments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164,497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306,386</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4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113,933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28,485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4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62,885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Total</w:t>
            </w:r>
          </w:p>
        </w:tc>
        <w:tc>
          <w:tcPr>
            <w:tcW w:w="43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341,315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356,123</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320" w:type="dxa"/>
            <w:vAlign w:val="bottom"/>
            <w:vMerge w:val="restart"/>
          </w:tcPr>
          <w:p>
            <w:pPr>
              <w:jc w:val="right"/>
              <w:ind w:right="2450"/>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3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 :</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63,726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42,755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(56,910)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36,283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Effects of exchange rate changes on cash and cash equivalents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(141,889)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22,124</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As of June 30, 2013, we had $341.3 million of cash, cash equivalents and short-term and long-term marketable securities. Cash equivalents and marketable securities are comprised of money market funds and debt instruments which include commercial paper, corporate bonds, U.S. government agency bonds, U.S. dollar dominated foreign corporate bonds, U.S. government treasury bonds, municipal securities and asset-backed securities.</w:t>
      </w:r>
    </w:p>
    <w:p>
      <w:pPr>
        <w:spacing w:after="0" w:line="16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of June 30, 2013, approximately $164.4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For the six months ended June 30, 2013, cash flows from operations of $63.7 million resulted primarily from our net loss of approximately $12.7 million along with the following reasons: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Non-cash activities</w:t>
      </w:r>
    </w:p>
    <w:p>
      <w:pPr>
        <w:spacing w:after="0" w:line="158"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goodwill of $40.7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long-lived assets of $26.3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Excess tax benefits from our share-based payments of $15.3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expense of $13.7 million related to equity incentive compensation awards granted to our employees.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and amortization of property, plant and equipment and amortization of intangibles of $8.8 million.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Release of deferred taxes of $6.3 million primarily due to the utilization of our deferred tax assets.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Recovery of allowances for doubtful accounts and returns of $1.1 million.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working capital</w:t>
      </w:r>
    </w:p>
    <w:p>
      <w:pPr>
        <w:spacing w:after="0" w:line="158" w:lineRule="exact"/>
        <w:rPr>
          <w:sz w:val="20"/>
          <w:szCs w:val="20"/>
          <w:color w:val="auto"/>
        </w:rPr>
      </w:pPr>
    </w:p>
    <w:p>
      <w:pPr>
        <w:ind w:left="980" w:right="26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increased by $7.6 million due to the increase in net revenues during the first half of 2013, reducing our cash inflow from operations.</w:t>
      </w:r>
    </w:p>
    <w:p>
      <w:pPr>
        <w:spacing w:after="0" w:line="116" w:lineRule="exact"/>
        <w:rPr>
          <w:rFonts w:ascii="Arial" w:cs="Arial" w:eastAsia="Arial" w:hAnsi="Arial"/>
          <w:sz w:val="18"/>
          <w:szCs w:val="18"/>
          <w:color w:val="auto"/>
        </w:rPr>
      </w:pPr>
    </w:p>
    <w:p>
      <w:pPr>
        <w:ind w:left="980" w:right="10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Accrued and other long-term liabilities increased by $3.3 million primarily due to the increase in our long-term income tax payables, increasing our cash inflow from operating activities.</w:t>
      </w:r>
    </w:p>
    <w:p>
      <w:pPr>
        <w:spacing w:after="0" w:line="116"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Deferred revenues increased by $2.1 million primarily due to higher product sales during the first half of 2013, increasing our cash inflow from operating activities.</w:t>
      </w:r>
    </w:p>
    <w:p>
      <w:pPr>
        <w:spacing w:after="0" w:line="116"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the six months ended June 30, 2012, cash flows from operations of $42.8 million resulted primarily from our net profit of approximately $49.5 million along with the following reasons: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Non-cash activities</w:t>
      </w:r>
    </w:p>
    <w:p>
      <w:pPr>
        <w:spacing w:after="0" w:line="158"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Deferred taxes of $9.2 million primarily due to the utilization of our deferred tax assets.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Excess tax benefit from our share-based payments of $16.7 million.</w:t>
      </w:r>
    </w:p>
    <w:p>
      <w:pPr>
        <w:spacing w:after="0" w:line="171" w:lineRule="exact"/>
        <w:rPr>
          <w:rFonts w:ascii="Arial" w:cs="Arial" w:eastAsia="Arial" w:hAnsi="Arial"/>
          <w:sz w:val="18"/>
          <w:szCs w:val="18"/>
          <w:color w:val="auto"/>
        </w:rPr>
      </w:pPr>
    </w:p>
    <w:p>
      <w:pPr>
        <w:ind w:left="980" w:right="460" w:hanging="486"/>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and amortization of property, plant and equipment and amortization of intangibles of $8.2 million including the impact of the acquired assets and intangible assets resulting from the Cadent acquisition as well as additional plant and equipment that were placed into service in our new Juarez, Mexico facility during the first half of 2012.</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expense of $10.1 million related to equity incentive compensation awards granted to employees.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working capital</w:t>
      </w:r>
    </w:p>
    <w:p>
      <w:pPr>
        <w:spacing w:after="0" w:line="320" w:lineRule="exact"/>
        <w:rPr>
          <w:sz w:val="20"/>
          <w:szCs w:val="20"/>
          <w:color w:val="auto"/>
        </w:rPr>
      </w:pPr>
    </w:p>
    <w:p>
      <w:pPr>
        <w:ind w:left="980" w:right="18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receivable increased by $11.8 million due to the increase in net revenues during the first half of 2012, reducing our cash inflow from operating activities.</w:t>
      </w:r>
    </w:p>
    <w:p>
      <w:pPr>
        <w:spacing w:after="0" w:line="116" w:lineRule="exact"/>
        <w:rPr>
          <w:rFonts w:ascii="Arial" w:cs="Arial" w:eastAsia="Arial" w:hAnsi="Arial"/>
          <w:sz w:val="18"/>
          <w:szCs w:val="18"/>
          <w:color w:val="auto"/>
        </w:rPr>
      </w:pPr>
    </w:p>
    <w:p>
      <w:pPr>
        <w:ind w:left="980" w:right="84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Inventories increased by $5.2 million which was primarily due to increased production volumes for our intra-oral scanner products in preparation for the move into our new facility in Israel, reducing our cash inflow from operating activities.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payable decreased by $2.0 million during the first half of 2012, reducing our cash inflow from operating activities.</w:t>
      </w:r>
    </w:p>
    <w:p>
      <w:pPr>
        <w:spacing w:after="0" w:line="171"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Prepaid expenses and other assets increased $2.0 million primarily due to the timing of software license and insurance policy renewals, reducing our cash inflow from operations.</w:t>
      </w:r>
    </w:p>
    <w:p>
      <w:pPr>
        <w:spacing w:after="0" w:line="116" w:lineRule="exact"/>
        <w:rPr>
          <w:rFonts w:ascii="Arial" w:cs="Arial" w:eastAsia="Arial" w:hAnsi="Arial"/>
          <w:sz w:val="18"/>
          <w:szCs w:val="18"/>
          <w:color w:val="auto"/>
        </w:rPr>
      </w:pPr>
    </w:p>
    <w:p>
      <w:pPr>
        <w:ind w:left="980" w:right="180" w:hanging="486"/>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Accrued and other long-term liabilities decreased by $3.9 million primarily due to the payments of our incentive compensation during the first quarter of 2012 partially offset by the increase of our long-term income tax payable, reducing our cash inflow from operating activities.</w:t>
      </w:r>
    </w:p>
    <w:p>
      <w:pPr>
        <w:spacing w:after="0" w:line="69" w:lineRule="exact"/>
        <w:rPr>
          <w:rFonts w:ascii="Arial" w:cs="Arial" w:eastAsia="Arial" w:hAnsi="Arial"/>
          <w:sz w:val="16"/>
          <w:szCs w:val="16"/>
          <w:color w:val="auto"/>
        </w:rPr>
      </w:pPr>
    </w:p>
    <w:p>
      <w:pPr>
        <w:ind w:left="980" w:right="12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Deferred revenues increased by $7.0 million primarily due to higher product sales during the first half of 2012, increasing our cash inflow from operating activities.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cash used in investing activities was $143.8 million for the six months ended June 30, 2013 primarily consisted of</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purchases of marketable securities of $150.8 million, property, plant and equipment purchases of $9.4 million and the acquisition of ICA for $7.7 million, net of cash acquired. These uses were partially offset by $23.2 million of maturities and sales of our marketable securities and the release of $1.1 million of funds we held related to unclaimed merger consideration related to the acquisition of Cadent in April 2011.</w:t>
      </w:r>
    </w:p>
    <w:p>
      <w:pPr>
        <w:spacing w:after="0" w:line="1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cash used in investing activities was $56.9 million for the six months ended June 30, 2012 primarily consisted of the purchase of marketable securities of $43.9 million and property, plant and equipment purchases of $25.8 million. These uses were partially offset by $10.0 million of maturities of our marketable securities and the release of $2.8 million of funds we held related to unclaimed merger consideration related to the acquisition of Cadent in April 2011.</w:t>
      </w:r>
    </w:p>
    <w:p>
      <w:pPr>
        <w:spacing w:after="0" w:line="18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Although we believe our current investment portfolio has little risk of impairment, we cannot predict future market conditions or market liquidity and can provide no assurance that our investment portfolio will remain unimpaired.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Net cash used by financing activities was $61.9 million for the six months ended June 30, 2013 primarily resulting from $95.1 million of common stock repurchases and $3.2 million of taxes paid for our employees' vesting of restricted stock units. These costs were partially offset by $21.1 million in proceeds from the issuance of our common stock and $15.3 million from excess tax benefit from our share-based payment arrangements.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300" w:firstLine="432"/>
        <w:spacing w:after="0" w:line="286" w:lineRule="auto"/>
        <w:rPr>
          <w:sz w:val="20"/>
          <w:szCs w:val="20"/>
          <w:color w:val="auto"/>
        </w:rPr>
      </w:pPr>
      <w:r>
        <w:rPr>
          <w:rFonts w:ascii="Arial" w:cs="Arial" w:eastAsia="Arial" w:hAnsi="Arial"/>
          <w:sz w:val="17"/>
          <w:szCs w:val="17"/>
          <w:color w:val="auto"/>
        </w:rPr>
        <w:t>Net cash provided by financing activities was $36.3 million for the six months ended June 30, 2012 primarily resulting in $23.7 million in proceeds from the issuance of our common stock and $16.7 million from excess tax benefit from our share-based arrangements. These costs were partially offset by $2.5 million of common stock repurchases and $1.6 million of taxes paid for our employees' vesting of restricted stock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contractual obligations have not significantly changed since December 31, 2012.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those available under our credit facility,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of June 30, 2013,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Provisions</w:t>
      </w:r>
    </w:p>
    <w:p>
      <w:pPr>
        <w:spacing w:after="0" w:line="9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1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June 30, 2013,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our management to make estimates and judgments that affect the reported amounts of assets and liabilities, net revenues and expenses and disclosures at the date of the financial statements. We evaluate our estimates on an on-going basis, including those related to revenue recognition, accounts receivable, intangible assets, legal contingencies, impairment of goodwill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2012:</w:t>
      </w:r>
    </w:p>
    <w:p>
      <w:pPr>
        <w:spacing w:after="0" w:line="114"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Long-lived assets, including finite-lived purchased intangible assets;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Deferred tax valuation allowance;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Goodwill;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200" w:lineRule="exact"/>
        <w:rPr>
          <w:sz w:val="20"/>
          <w:szCs w:val="20"/>
          <w:color w:val="auto"/>
        </w:rPr>
      </w:pPr>
    </w:p>
    <w:p>
      <w:pPr>
        <w:spacing w:after="0" w:line="21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Item 7A, “Quantitative and Qualitative Disclosures About Market Risk,” in our Annual Report on Form 10-K for the year ended December 31, 2012, which is incorporated herein by reference. Our exposure to market risk has not changed materially since December 31, 2012.</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June 30, 2013,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names the same defendants, on behalf of a purported class of purchasers of our common stock between January 31, 2012 and October 17, 2012. The amended complaint alleges that Align, Mr. Prescott and Mr. Arola violated Section 10(b) of the Securities Exchange Act of 1934 and Rule 10b-5 promulgated thereunder, and that Mr. Prescott and Mr. Arola violated Section 20(a) of the Securities Exchange Act of 1934. Specifically, the amended complaint alleges that during the purported class period defendants failed to take an appropriate goodwill impairment charge related to the April 29, 2011 acquisition of Cadent Holdings, Inc. in fourth quarter of 2011, the first quarter of 2012 or the second quarter of 2012, which rendered our financial statements and projections of future earnings materially false and misleading and in violation of GAAP. The amended complaint seeks monetary damages in an unspecified amount, costs and attorney's fees. Align intends to file a motion to dismiss the amended complaint. That motion is due no later than August 22, 2013. Align intends to vigorously defend itself against these allegations. Align is currently unable to predict the outcome of this amended complaint and therefore cannot determine the likelihood of loss nor estimate a range of possible loss.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Align is currently unable to predict the outcome of this complaint and therefore cannot determine the likelihood of loss nor estimate a range of possible losses.</w:t>
      </w:r>
    </w:p>
    <w:p>
      <w:pPr>
        <w:spacing w:after="0" w:line="1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16"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ind w:right="300" w:firstLine="216"/>
        <w:spacing w:after="0" w:line="264"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a continued weakness in general economic conditions, or a decline in average selling prices would adversely affect net revenues, gross margin and net income.</w:t>
      </w:r>
    </w:p>
    <w:p>
      <w:pPr>
        <w:spacing w:after="0" w:line="11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216"/>
        <w:spacing w:after="0" w:line="277" w:lineRule="auto"/>
        <w:rPr>
          <w:sz w:val="20"/>
          <w:szCs w:val="20"/>
          <w:color w:val="auto"/>
        </w:rPr>
      </w:pPr>
      <w:r>
        <w:rPr>
          <w:rFonts w:ascii="Arial" w:cs="Arial" w:eastAsia="Arial" w:hAnsi="Arial"/>
          <w:sz w:val="18"/>
          <w:szCs w:val="18"/>
          <w:b w:val="1"/>
          <w:bCs w:val="1"/>
          <w:i w:val="1"/>
          <w:iCs w:val="1"/>
          <w:color w:val="auto"/>
        </w:rPr>
        <w:t>Demand for our products may not increase as rapidly as we anticipate due to a variety of factors including a continued weakness in general economic conditions.</w:t>
      </w:r>
    </w:p>
    <w:p>
      <w:pPr>
        <w:spacing w:after="0" w:line="10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the patient traffic in dentists’ offices, reduction in consumer spending on higher value procedures or a reduction in the demand for dental services generally, each of which would have a material adverse effect on our sales and operating results. Continued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treatment of malocclusion, but a number of dental professionals believe that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w:t>
      </w:r>
    </w:p>
    <w:p>
      <w:pPr>
        <w:spacing w:after="0" w:line="158"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In response to challenges in our business, including increased competition, we have in the past reduced the list price of our products. We also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or if sales by our distributors grows at a faster pace than our direct sales, our average selling price would be adversely affected and our net revenues, gross margin and net income may be reduced. Furthermore, although the U.S. dollar is our reporting currency, a portion of our net revenues and income are generated in foreign currencies. Net revenues and income generated by subsidiaries operating outside of the United States are translated into U.S. dollars using exchange rates effective during the respective period and are affected by changes in exchange rates. As a result, negative movements in currency exchange rates against the U.S. dollar will adversely affect our average selling price and consequently the amount of net revenues and income in our consolidated financial statements.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As we continue to grow, we are subject to growth related risks, including risks related to capacity constraints at our existing facilities.</w:t>
      </w:r>
    </w:p>
    <w:p>
      <w:pPr>
        <w:spacing w:after="0" w:line="16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are subject to growth related risks, including capacity constraints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In addition, in order to meet the demands from expected volumes and continued international expansion, we opened a new manufacturing facility in Juarez, Mexico at the end of 2011. We completed the transition of virtually all our scanner distribution, repair and CAD/CAM services from our New Jersey facility to this facility in Juarez, Mexico in the third quarter of 2012. In addition, in October 2012, we transitioned our intra-oral scanner research and development and manufacturing operations in Or Yehuda, Israel into a new, larger facility in the same city. Expansion can inherently include additional costs and start-up inefficiencies, as well as the inability to successfully integrate additional facilities or incremental capacity and to realize anticipated synergies, economies of scale or other value. Periods of contraction or reduced net sales, or other factors affecting particular sites, create other challenges.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477"/>
        <w:spacing w:after="0" w:line="302" w:lineRule="auto"/>
        <w:rPr>
          <w:sz w:val="20"/>
          <w:szCs w:val="20"/>
          <w:color w:val="auto"/>
        </w:rPr>
      </w:pPr>
      <w:r>
        <w:rPr>
          <w:rFonts w:ascii="Arial" w:cs="Arial" w:eastAsia="Arial" w:hAnsi="Arial"/>
          <w:sz w:val="16"/>
          <w:szCs w:val="16"/>
          <w:color w:val="auto"/>
        </w:rPr>
        <w:t>Because we cannot always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 gain market acceptance and otherwise harm our business and financial results.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never achieve the anticipated benefits from our acquisitions which may have an adverse effect on our business.</w:t>
      </w:r>
    </w:p>
    <w:p>
      <w:pPr>
        <w:spacing w:after="0" w:line="158"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acquired Cadent Holdings, Inc. in April 2011. We acquired Cadent for their people, their technology and their existing revenue streams such as, OrthoCAD iRecord and OrthoCAD iCast in addition to their intra-oral scanning technology. This acquisition is expected to strengthen our ability to drive adoption of the Invisalign system by integrating Invisalign treatment more fully with mainstream tools and procedures in doctors’ practices. In addition, we believe that the combination of the two companies will help accelerate the use of intra-oral scanning in the dental industry by leveraging Align’s global sales reach, extensive professional and consumer marketing capabilities and large customer base. We completed the acquisition of our Asia-Pacific distributor on April 30, 2013. We may experience difficulties in achieving the anticipated financial or strategic benefits of these acquisitions. Potential risks include:</w:t>
      </w:r>
    </w:p>
    <w:p>
      <w:pPr>
        <w:spacing w:after="0" w:line="165"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adoption or lack of acceptance for intra-oral scanning products in general or our chairside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increase utilization by integrating Invisalign treatment more fully with intra-oral scanners;</w:t>
      </w:r>
    </w:p>
    <w:p>
      <w:pPr>
        <w:spacing w:after="0" w:line="171" w:lineRule="exact"/>
        <w:rPr>
          <w:rFonts w:ascii="Arial" w:cs="Arial" w:eastAsia="Arial" w:hAnsi="Arial"/>
          <w:sz w:val="18"/>
          <w:szCs w:val="18"/>
          <w:color w:val="auto"/>
        </w:rPr>
      </w:pPr>
    </w:p>
    <w:p>
      <w:pPr>
        <w:ind w:left="980" w:right="62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integrating the technology, operations, internal accounting controls or work force of the acquired business with our existing business;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resources and focus from ongoing business matters;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retention of key employees following the acquisition;</w:t>
      </w:r>
    </w:p>
    <w:p>
      <w:pPr>
        <w:spacing w:after="0" w:line="171"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changes in the competitive environment, including recent announcements from competitors of new lower-priced scanners which we expect will lengthen the customer evaluation process and may result in price reductions and/or loss of sales;</w:t>
      </w:r>
    </w:p>
    <w:p>
      <w:pPr>
        <w:spacing w:after="0" w:line="116" w:lineRule="exact"/>
        <w:rPr>
          <w:rFonts w:ascii="Arial" w:cs="Arial" w:eastAsia="Arial" w:hAnsi="Arial"/>
          <w:sz w:val="18"/>
          <w:szCs w:val="18"/>
          <w:color w:val="auto"/>
        </w:rPr>
      </w:pPr>
    </w:p>
    <w:p>
      <w:pPr>
        <w:ind w:left="980" w:right="4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dealing with tax, employment, logistics, and other related issues unique to international operations in Israel and the Asia-Pacific region;</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possible impairment of relationships with employees and customers as a result of the integration;</w:t>
      </w:r>
    </w:p>
    <w:p>
      <w:pPr>
        <w:spacing w:after="0" w:line="171" w:lineRule="exact"/>
        <w:rPr>
          <w:rFonts w:ascii="Arial" w:cs="Arial" w:eastAsia="Arial" w:hAnsi="Arial"/>
          <w:sz w:val="18"/>
          <w:szCs w:val="18"/>
          <w:color w:val="auto"/>
        </w:rPr>
      </w:pPr>
    </w:p>
    <w:p>
      <w:pPr>
        <w:ind w:left="980" w:right="400" w:hanging="486"/>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possible inconsistencies in standards, controls, procedures and policies among the acquired businesses and Align, which may make it more difficult to implement and harmonize worldwide financial reporting, accounting, billing, information technology and other systems;</w:t>
      </w:r>
    </w:p>
    <w:p>
      <w:pPr>
        <w:spacing w:after="0" w:line="69" w:lineRule="exact"/>
        <w:rPr>
          <w:rFonts w:ascii="Arial" w:cs="Arial" w:eastAsia="Arial" w:hAnsi="Arial"/>
          <w:sz w:val="16"/>
          <w:szCs w:val="16"/>
          <w:color w:val="auto"/>
        </w:rPr>
      </w:pPr>
    </w:p>
    <w:p>
      <w:pPr>
        <w:ind w:left="980" w:right="4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large portion of Cadent’s operations are located in Israel, accordingly, any increase in hostilities in the Middle East involving Israel may cause interruption or suspension of business operations without warning; and</w:t>
      </w:r>
    </w:p>
    <w:p>
      <w:pPr>
        <w:spacing w:after="0" w:line="116" w:lineRule="exact"/>
        <w:rPr>
          <w:rFonts w:ascii="Arial" w:cs="Arial" w:eastAsia="Arial" w:hAnsi="Arial"/>
          <w:sz w:val="18"/>
          <w:szCs w:val="18"/>
          <w:color w:val="auto"/>
        </w:rPr>
      </w:pPr>
    </w:p>
    <w:p>
      <w:pPr>
        <w:ind w:left="980" w:right="78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impact on our results of operations and financial condition from acquisition-related charges, further impairment of goodwill, impairment of intangible assets and/or asset impairment charges.</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If we cannot successfully integrate the acquired business with our existing business, our results of operations and financial condition could be adversely affected.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United States economy and global economies;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timing of receipt of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980" w:right="56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predict from period to period the number of trainers or the availability of doctors required to complete intra-oral scanner installations, which may impact the timing of when revenue is recognized;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participation in our customer rebate program increases our average selling price will be adversely affected;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980" w:right="22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timing of when revenue is recognized, including as a result of the introduction of new products or promotions or as a result of changes to critical accounting estimates or new accounting pronouncements;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980" w:right="14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jc w:val="both"/>
        <w:ind w:left="980" w:right="300" w:hanging="486"/>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Our future success may depend on our ability to develop, successfully introduce and achieve market acceptance of new products.</w:t>
      </w:r>
    </w:p>
    <w:p>
      <w:pPr>
        <w:spacing w:after="0" w:line="16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the Invisalign system.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ability to market and sell new products may also be subject to government regulation, including approval or clearance by the United States Food and Drug Administration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87"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key production steps are performed in operations located outside of the U.S. At our facility in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San Jose, California facility, we also carry out research and development at locations in San Jose, Costa Rica and Moscow, Russia. In addition, our customer-care, accounts receivable, credit and collections and customer event registration organizations are located at our facility in Costa Rica. We also have operations in Israel where the design and wand assembly, intra-oral scanner manufacturing and digital modeling of our intra-oral scanners occurs. Our reliance on international operations exposes us to risks and uncertainties that may affect our business or results of operation, including:</w:t>
      </w:r>
    </w:p>
    <w:p>
      <w:pPr>
        <w:spacing w:after="0" w:line="179" w:lineRule="exact"/>
        <w:rPr>
          <w:sz w:val="20"/>
          <w:szCs w:val="20"/>
          <w:color w:val="auto"/>
        </w:rPr>
      </w:pPr>
    </w:p>
    <w:p>
      <w:pPr>
        <w:ind w:left="980" w:right="44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managing international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980" w:right="20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health epidemics restricting travel to and from our international locations or as a result of natural disasters, such as earthquakes or volcanic eruptions;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it is our intention to permanently reinvest earnings outside the U.S., restrictions on the transfer of funds held by our foreign subsidiaries, including with respect to restrictions on our ability to repatriate foreign cash to the U.S at favorable tax rates;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these factors, either individually or in combination, could materially impact our international operations and adversely affect our business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211" w:lineRule="exact"/>
        <w:rPr>
          <w:sz w:val="20"/>
          <w:szCs w:val="20"/>
          <w:color w:val="auto"/>
        </w:rPr>
      </w:pPr>
    </w:p>
    <w:p>
      <w:pPr>
        <w:jc w:val="both"/>
        <w:ind w:right="580" w:firstLine="216"/>
        <w:spacing w:after="0" w:line="312" w:lineRule="auto"/>
        <w:rPr>
          <w:sz w:val="20"/>
          <w:szCs w:val="20"/>
          <w:color w:val="auto"/>
        </w:rPr>
      </w:pPr>
      <w:r>
        <w:rPr>
          <w:rFonts w:ascii="Arial" w:cs="Arial" w:eastAsia="Arial" w:hAnsi="Arial"/>
          <w:sz w:val="16"/>
          <w:szCs w:val="16"/>
          <w:b w:val="1"/>
          <w:bCs w:val="1"/>
          <w:i w:val="1"/>
          <w:i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7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7" w:lineRule="exact"/>
        <w:rPr>
          <w:sz w:val="20"/>
          <w:szCs w:val="20"/>
          <w:color w:val="auto"/>
        </w:rPr>
      </w:pPr>
    </w:p>
    <w:p>
      <w:pPr>
        <w:ind w:right="740" w:firstLine="216"/>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79"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Currently, our products compete directly against products manufactured and distributed by various companies, both within and outside the United States.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key certain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(losses)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69"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2"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We are currently focused on adding more functionality into our business enterprise systems to more efficiently integrate these systems with our other system applications, such as customer facing and manufacturing tools, and intend to continue this effort for the foreseeable future. 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54" w:lineRule="exact"/>
        <w:rPr>
          <w:sz w:val="20"/>
          <w:szCs w:val="20"/>
          <w:color w:val="auto"/>
        </w:rPr>
      </w:pPr>
    </w:p>
    <w:p>
      <w:pPr>
        <w:ind w:right="320" w:firstLine="432"/>
        <w:spacing w:after="0" w:line="297" w:lineRule="auto"/>
        <w:rPr>
          <w:sz w:val="20"/>
          <w:szCs w:val="20"/>
          <w:color w:val="auto"/>
        </w:rPr>
      </w:pPr>
      <w:r>
        <w:rPr>
          <w:rFonts w:ascii="Arial" w:cs="Arial" w:eastAsia="Arial" w:hAnsi="Arial"/>
          <w:sz w:val="16"/>
          <w:szCs w:val="16"/>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ind w:right="100"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93" w:lineRule="exact"/>
        <w:rPr>
          <w:sz w:val="20"/>
          <w:szCs w:val="20"/>
          <w:color w:val="auto"/>
        </w:rPr>
      </w:pPr>
    </w:p>
    <w:p>
      <w:pPr>
        <w:ind w:right="500"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June 30, 2013, we had issued 298 U.S. patents, 137 pending U.S. patent applications, and 233 foreign issued patents, and 126 pending foreign patent applications.</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right="280"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to future periods is subject to the risk that our controls may become inadequate because of changes in conditions, and, as a result, the degree of compliance of our internal control over financial reporting with the policies or procedures may deteriorate.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52" w:lineRule="exact"/>
        <w:rPr>
          <w:sz w:val="20"/>
          <w:szCs w:val="20"/>
          <w:color w:val="auto"/>
        </w:rPr>
      </w:pPr>
    </w:p>
    <w:p>
      <w:pPr>
        <w:ind w:firstLine="243"/>
        <w:spacing w:after="0" w:line="255" w:lineRule="auto"/>
        <w:rPr>
          <w:sz w:val="20"/>
          <w:szCs w:val="20"/>
          <w:color w:val="auto"/>
        </w:rPr>
      </w:pPr>
      <w:r>
        <w:rPr>
          <w:rFonts w:ascii="Arial" w:cs="Arial" w:eastAsia="Arial" w:hAnsi="Arial"/>
          <w:sz w:val="18"/>
          <w:szCs w:val="18"/>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valuations used to determine the fair values used to test goodwill and the undiscounted cash flows used to evaluate the recoverability of the asset group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Recent changes in the competitive environment, including announcements in March 2013 of new lower-priced scanners targeted at Orthodontists and GPs in North America caused us to lower our expectations for growth and profitability for SCCS business. As a result, we conducted an impairment analysis of long-lived assets and goodwill related to the SCCS reporting unit. Based on these analyses, we recorded a $26.3 million impairment of our long-lived assets and $40.7 million impairment of goodwill in the first quarter of 2013.</w:t>
      </w:r>
    </w:p>
    <w:p>
      <w:pPr>
        <w:spacing w:after="0" w:line="214" w:lineRule="exact"/>
        <w:rPr>
          <w:sz w:val="20"/>
          <w:szCs w:val="20"/>
          <w:color w:val="auto"/>
        </w:rPr>
      </w:pPr>
    </w:p>
    <w:p>
      <w:pPr>
        <w:ind w:right="480"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9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We recently announced the appointment of two executive officers, including a new Chief Financial Officer whose appointment will be effective August 5, 2013. With these new appointments, there is the risk of uncertainty and instability relating to transition the duties and responsibilities to new key executives in an orderly, effective and efficient manner.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w:t>
      </w:r>
    </w:p>
    <w:p>
      <w:pPr>
        <w:spacing w:after="0" w:line="212" w:lineRule="exact"/>
        <w:rPr>
          <w:sz w:val="20"/>
          <w:szCs w:val="20"/>
          <w:color w:val="auto"/>
        </w:rPr>
      </w:pPr>
    </w:p>
    <w:p>
      <w:pPr>
        <w:ind w:right="260" w:firstLine="203"/>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14" w:lineRule="exact"/>
        <w:rPr>
          <w:sz w:val="20"/>
          <w:szCs w:val="20"/>
          <w:color w:val="auto"/>
        </w:rPr>
      </w:pPr>
    </w:p>
    <w:p>
      <w:pPr>
        <w:ind w:right="18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all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88"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rely on a third party manufacturer in Israel to assemble our iTero scanner. As a result, if this third party manufacturer fails to deliver its components or if we lose its services,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our North American and international markets. As of June 30, 2013, our North American sales organization consisted of approximately 245 people. Internationally, we had approximately 95 people engaged in sales and sales support as of June 30, 2013.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82" w:lineRule="exact"/>
        <w:rPr>
          <w:sz w:val="20"/>
          <w:szCs w:val="20"/>
          <w:color w:val="auto"/>
        </w:rPr>
      </w:pPr>
    </w:p>
    <w:p>
      <w:pPr>
        <w:ind w:right="140"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right="360"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0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products are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recently passed health care reform legislation that President Obama signed into law in March 2010. The enacted legislation contains many provisions designed to generate the revenues necessary to fund the coverage expansions. The most relevant of these provisions are those that impose fees or taxes on certain health-related industries, including medical device manufacturers. Beginning in 2013, each medical device manufacturer will have to pay an excise tax in an amount equal to 2.3 percent of the price for which such manufacturer sells its medical devices in the U.S. This tax applies to all medical devices, including our products, which could have a material, negative impact on our results of operations and our cash flows.</w:t>
      </w:r>
    </w:p>
    <w:p>
      <w:pPr>
        <w:spacing w:after="0" w:line="16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67" w:lineRule="exact"/>
        <w:rPr>
          <w:sz w:val="20"/>
          <w:szCs w:val="20"/>
          <w:color w:val="auto"/>
        </w:rPr>
      </w:pPr>
    </w:p>
    <w:p>
      <w:pPr>
        <w:ind w:right="24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Outside of North America, we currently sell our products in Europe, Asia-Pacific,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158"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Securities and Exchange Commission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187"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short-term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an current unstable credit environment, we might incur significant realized, unrealized or impairment losses associated with these investments.</w:t>
      </w:r>
    </w:p>
    <w:p>
      <w:pPr>
        <w:spacing w:after="0" w:line="193" w:lineRule="exact"/>
        <w:rPr>
          <w:sz w:val="20"/>
          <w:szCs w:val="20"/>
          <w:color w:val="auto"/>
        </w:rPr>
      </w:pPr>
    </w:p>
    <w:p>
      <w:pPr>
        <w:ind w:right="180" w:firstLine="216"/>
        <w:spacing w:after="0" w:line="277" w:lineRule="auto"/>
        <w:rPr>
          <w:sz w:val="20"/>
          <w:szCs w:val="20"/>
          <w:color w:val="auto"/>
        </w:rPr>
      </w:pPr>
      <w:r>
        <w:rPr>
          <w:rFonts w:ascii="Arial" w:cs="Arial" w:eastAsia="Arial" w:hAnsi="Arial"/>
          <w:sz w:val="18"/>
          <w:szCs w:val="18"/>
          <w:b w:val="1"/>
          <w:bCs w:val="1"/>
          <w:i w:val="1"/>
          <w:iCs w:val="1"/>
          <w:color w:val="auto"/>
        </w:rPr>
        <w:t>We have adopted a shareholders rights’ plan to limit the possibility that we are acquired, which may mean that a transaction that shareholders are in favor of or are benefited by may be prevented.</w:t>
      </w:r>
    </w:p>
    <w:p>
      <w:pPr>
        <w:spacing w:after="0" w:line="10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of directors has designated 200,000 shares as Series A participating preferred stock in connection with our shareholder rights’ plan. The issuance of preferred stock under certain circumstances could have the effect of delaying or preventing an acquisition of Align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 During the first quarter of 2013, we incurred a $40.7 million impairment of goodwill which was not deductible for tax purposes.</w:t>
      </w:r>
    </w:p>
    <w:p>
      <w:pPr>
        <w:spacing w:after="0" w:line="193"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the tax incentives which were previously granted in 2002. Under these incentives, all of the income we earn in Costa Rica during these twelve year incentive periods is subject to reduced rates of Costa Rica income tax. The incentive tax rates will expire in various years beginning in 2017. The Costa Rica corporate income tax rate that would apply, absent the incentives, is 30% for 2013. As a result of these incentives, income taxes were reduced by $12.0 million through the second quarter of 2013. In order to receive the benefit of the incentives, we must hire specified numbers of employees and maintain minimum levels of fixed asset investment in Costa Rica. If we do not fulfill these conditions for any reason, our incentive could lapse and our income in Costa Rica would be subject to taxation at higher rates, which could have a negative impact on our operating results. Our subsidiaries in Israel and Germany are under audit by the local tax authorities for calendar years 2006 through 2011 and 2007 through 2011, respectively.</w:t>
      </w:r>
    </w:p>
    <w:p>
      <w:pPr>
        <w:spacing w:after="0" w:line="20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Following is a summary of stock repurchases for the three months ended June 30, 2013 </w:t>
      </w:r>
      <w:r>
        <w:rPr>
          <w:rFonts w:ascii="Arial" w:cs="Arial" w:eastAsia="Arial" w:hAnsi="Arial"/>
          <w:sz w:val="25"/>
          <w:szCs w:val="25"/>
          <w:b w:val="1"/>
          <w:bCs w:val="1"/>
          <w:color w:val="auto"/>
          <w:vertAlign w:val="superscript"/>
        </w:rPr>
        <w:t>(1)</w:t>
      </w:r>
      <w:r>
        <w:rPr>
          <w:rFonts w:ascii="Arial" w:cs="Arial" w:eastAsia="Arial" w:hAnsi="Arial"/>
          <w:sz w:val="18"/>
          <w:szCs w:val="18"/>
          <w:color w:val="auto"/>
        </w:rPr>
        <w: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 Shares</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Average Price Paid per</w:t>
            </w:r>
          </w:p>
        </w:tc>
        <w:tc>
          <w:tcPr>
            <w:tcW w:w="2040" w:type="dxa"/>
            <w:vAlign w:val="bottom"/>
            <w:gridSpan w:val="2"/>
            <w:vMerge w:val="continue"/>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Repurchased as Part of</w:t>
            </w:r>
          </w:p>
        </w:tc>
        <w:tc>
          <w:tcPr>
            <w:tcW w:w="140" w:type="dxa"/>
            <w:vAlign w:val="bottom"/>
          </w:tcPr>
          <w:p>
            <w:pPr>
              <w:spacing w:after="0"/>
              <w:rPr>
                <w:sz w:val="12"/>
                <w:szCs w:val="12"/>
                <w:color w:val="auto"/>
              </w:rPr>
            </w:pPr>
          </w:p>
        </w:tc>
        <w:tc>
          <w:tcPr>
            <w:tcW w:w="16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7"/>
              </w:rPr>
              <w:t>Shares Repurchased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Publicly Announced Program</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April 1, 2013 through June 30, 2013</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2,646,543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2,646,543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On October 27, 2011, we announced that our Board of Directors approved a stock repurchase program pursuant to which we may repurchase up to $150.0 million of common stock subject to market conditions, share price and other considerations. Purchases under the stock repurchase program may be made from time to time in the open market. During the second quarter of 2013, we repurchased approximately 2.6 million shares of common stock at an average price of $35.02 per share for an aggregate purchase price of approximately $92.7 million including commissions. All repurchased shares were retired. The common stock retirements reduced additional paid-in capital by approximately $23.9 million and increased accumulated deficit by $68.8 million. No shares are available for repurchase as we completed the repurchases under this program as of June 30, 2013.</w:t>
      </w:r>
    </w:p>
    <w:p>
      <w:pPr>
        <w:spacing w:after="0" w:line="67" w:lineRule="exact"/>
        <w:rPr>
          <w:sz w:val="20"/>
          <w:szCs w:val="20"/>
          <w:color w:val="auto"/>
        </w:rPr>
      </w:pPr>
    </w:p>
    <w:p>
      <w:pPr>
        <w:ind w:left="460" w:hanging="438"/>
        <w:spacing w:after="0"/>
        <w:tabs>
          <w:tab w:leader="none" w:pos="460" w:val="left"/>
        </w:tabs>
        <w:numPr>
          <w:ilvl w:val="0"/>
          <w:numId w:val="29"/>
        </w:numPr>
        <w:rPr>
          <w:rFonts w:ascii="Arial" w:cs="Arial" w:eastAsia="Arial" w:hAnsi="Arial"/>
          <w:sz w:val="25"/>
          <w:szCs w:val="25"/>
          <w:b w:val="1"/>
          <w:bCs w:val="1"/>
          <w:color w:val="auto"/>
          <w:vertAlign w:val="superscript"/>
        </w:rPr>
      </w:pPr>
      <w:r>
        <w:rPr>
          <w:rFonts w:ascii="Arial" w:cs="Arial" w:eastAsia="Arial" w:hAnsi="Arial"/>
          <w:sz w:val="18"/>
          <w:szCs w:val="18"/>
          <w:color w:val="auto"/>
        </w:rPr>
        <w:t>All shares were repurchased pursuant to the publicly announced repurchase program described above.</w:t>
      </w:r>
    </w:p>
    <w:p>
      <w:pPr>
        <w:spacing w:after="0" w:line="22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ectPr>
          <w:pgSz w:w="11900" w:h="16838" w:orient="portrait"/>
          <w:cols w:equalWidth="0" w:num="1">
            <w:col w:w="11420"/>
          </w:cols>
          <w:pgMar w:left="240" w:top="125" w:right="23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80" w:type="dxa"/>
            <w:vAlign w:val="bottom"/>
            <w:gridSpan w:val="3"/>
          </w:tcPr>
          <w:p>
            <w:pPr>
              <w:ind w:left="2720"/>
              <w:spacing w:after="0"/>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rPr>
                <w:sz w:val="20"/>
                <w:szCs w:val="20"/>
                <w:color w:val="auto"/>
              </w:rPr>
            </w:pPr>
            <w:r>
              <w:rPr>
                <w:rFonts w:ascii="Arial" w:cs="Arial" w:eastAsia="Arial" w:hAnsi="Arial"/>
                <w:sz w:val="14"/>
                <w:szCs w:val="14"/>
                <w:b w:val="1"/>
                <w:bCs w:val="1"/>
                <w:color w:val="auto"/>
              </w:rPr>
              <w:t>Filing</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Exhibit</w:t>
            </w:r>
          </w:p>
        </w:tc>
        <w:tc>
          <w:tcPr>
            <w:tcW w:w="11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Filed here with</w:t>
            </w: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27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r>
      <w:tr>
        <w:trPr>
          <w:trHeight w:val="249"/>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70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gridSpan w:val="3"/>
          </w:tcPr>
          <w:p>
            <w:pPr>
              <w:ind w:left="466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20"/>
          </w:cols>
          <w:pgMar w:left="280" w:top="114" w:right="29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4400" w:type="dxa"/>
            <w:vAlign w:val="bottom"/>
            <w:gridSpan w:val="2"/>
          </w:tcPr>
          <w:p>
            <w:pPr>
              <w:jc w:val="right"/>
              <w:ind w:right="36"/>
              <w:spacing w:after="0"/>
              <w:rPr>
                <w:sz w:val="20"/>
                <w:szCs w:val="20"/>
                <w:color w:val="auto"/>
              </w:rPr>
            </w:pPr>
            <w:r>
              <w:rPr>
                <w:rFonts w:ascii="Arial" w:cs="Arial" w:eastAsia="Arial" w:hAnsi="Arial"/>
                <w:sz w:val="18"/>
                <w:szCs w:val="18"/>
                <w:color w:val="auto"/>
              </w:rPr>
              <w:t>ALIGN TECHNOLOGY, INC.</w:t>
            </w:r>
          </w:p>
        </w:tc>
        <w:tc>
          <w:tcPr>
            <w:tcW w:w="3400" w:type="dxa"/>
            <w:vAlign w:val="bottom"/>
          </w:tcPr>
          <w:p>
            <w:pPr>
              <w:spacing w:after="0"/>
              <w:rPr>
                <w:sz w:val="20"/>
                <w:szCs w:val="20"/>
                <w:color w:val="auto"/>
              </w:rPr>
            </w:pPr>
          </w:p>
        </w:tc>
      </w:tr>
      <w:tr>
        <w:trPr>
          <w:trHeight w:val="594"/>
        </w:trPr>
        <w:tc>
          <w:tcPr>
            <w:tcW w:w="3580" w:type="dxa"/>
            <w:vAlign w:val="bottom"/>
          </w:tcPr>
          <w:p>
            <w:pPr>
              <w:spacing w:after="0"/>
              <w:rPr>
                <w:sz w:val="20"/>
                <w:szCs w:val="20"/>
                <w:color w:val="auto"/>
              </w:rPr>
            </w:pPr>
            <w:r>
              <w:rPr>
                <w:rFonts w:ascii="Arial" w:cs="Arial" w:eastAsia="Arial" w:hAnsi="Arial"/>
                <w:sz w:val="18"/>
                <w:szCs w:val="18"/>
                <w:color w:val="auto"/>
              </w:rPr>
              <w:t>Date: August 2, 2013</w:t>
            </w:r>
          </w:p>
        </w:tc>
        <w:tc>
          <w:tcPr>
            <w:tcW w:w="2440" w:type="dxa"/>
            <w:vAlign w:val="bottom"/>
          </w:tcPr>
          <w:p>
            <w:pPr>
              <w:ind w:left="2160"/>
              <w:spacing w:after="0"/>
              <w:rPr>
                <w:sz w:val="20"/>
                <w:szCs w:val="20"/>
                <w:color w:val="auto"/>
              </w:rPr>
            </w:pPr>
            <w:r>
              <w:rPr>
                <w:rFonts w:ascii="Arial" w:cs="Arial" w:eastAsia="Arial" w:hAnsi="Arial"/>
                <w:sz w:val="18"/>
                <w:szCs w:val="18"/>
                <w:color w:val="auto"/>
                <w:w w:val="99"/>
              </w:rPr>
              <w:t>By:</w:t>
            </w:r>
          </w:p>
        </w:tc>
        <w:tc>
          <w:tcPr>
            <w:tcW w:w="1960" w:type="dxa"/>
            <w:vAlign w:val="bottom"/>
          </w:tcPr>
          <w:p>
            <w:pPr>
              <w:jc w:val="right"/>
              <w:ind w:right="36"/>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00" w:type="dxa"/>
            <w:vAlign w:val="bottom"/>
          </w:tcPr>
          <w:p>
            <w:pPr>
              <w:ind w:left="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M. P</w:t>
            </w:r>
            <w:r>
              <w:rPr>
                <w:rFonts w:ascii="Arial" w:cs="Arial" w:eastAsia="Arial" w:hAnsi="Arial"/>
                <w:sz w:val="14"/>
                <w:szCs w:val="14"/>
                <w:color w:val="auto"/>
              </w:rPr>
              <w:t>RESCOTT</w:t>
            </w:r>
          </w:p>
        </w:tc>
      </w:tr>
      <w:tr>
        <w:trPr>
          <w:trHeight w:val="27"/>
        </w:trPr>
        <w:tc>
          <w:tcPr>
            <w:tcW w:w="3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146"/>
        </w:trPr>
        <w:tc>
          <w:tcPr>
            <w:tcW w:w="3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400" w:type="dxa"/>
            <w:vAlign w:val="bottom"/>
          </w:tcPr>
          <w:p>
            <w:pPr>
              <w:ind w:left="100"/>
              <w:spacing w:after="0" w:line="147" w:lineRule="exact"/>
              <w:rPr>
                <w:sz w:val="20"/>
                <w:szCs w:val="20"/>
                <w:color w:val="auto"/>
              </w:rPr>
            </w:pPr>
            <w:r>
              <w:rPr>
                <w:rFonts w:ascii="Arial" w:cs="Arial" w:eastAsia="Arial" w:hAnsi="Arial"/>
                <w:sz w:val="14"/>
                <w:szCs w:val="14"/>
                <w:b w:val="1"/>
                <w:bCs w:val="1"/>
                <w:color w:val="auto"/>
              </w:rPr>
              <w:t>Thomas M. Prescott</w:t>
            </w:r>
          </w:p>
        </w:tc>
      </w:tr>
      <w:tr>
        <w:trPr>
          <w:trHeight w:val="186"/>
        </w:trPr>
        <w:tc>
          <w:tcPr>
            <w:tcW w:w="3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60" w:type="dxa"/>
            <w:vAlign w:val="bottom"/>
            <w:gridSpan w:val="2"/>
          </w:tcPr>
          <w:p>
            <w:pPr>
              <w:ind w:left="15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579"/>
        </w:trPr>
        <w:tc>
          <w:tcPr>
            <w:tcW w:w="3580" w:type="dxa"/>
            <w:vAlign w:val="bottom"/>
          </w:tcPr>
          <w:p>
            <w:pPr>
              <w:spacing w:after="0"/>
              <w:rPr>
                <w:sz w:val="24"/>
                <w:szCs w:val="24"/>
                <w:color w:val="auto"/>
              </w:rPr>
            </w:pPr>
          </w:p>
        </w:tc>
        <w:tc>
          <w:tcPr>
            <w:tcW w:w="2440" w:type="dxa"/>
            <w:vAlign w:val="bottom"/>
          </w:tcPr>
          <w:p>
            <w:pPr>
              <w:ind w:left="2160"/>
              <w:spacing w:after="0"/>
              <w:rPr>
                <w:sz w:val="20"/>
                <w:szCs w:val="20"/>
                <w:color w:val="auto"/>
              </w:rPr>
            </w:pPr>
            <w:r>
              <w:rPr>
                <w:rFonts w:ascii="Arial" w:cs="Arial" w:eastAsia="Arial" w:hAnsi="Arial"/>
                <w:sz w:val="18"/>
                <w:szCs w:val="18"/>
                <w:color w:val="auto"/>
                <w:w w:val="99"/>
              </w:rPr>
              <w:t>By:</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00" w:type="dxa"/>
            <w:vAlign w:val="bottom"/>
          </w:tcPr>
          <w:p>
            <w:pPr>
              <w:ind w:left="100"/>
              <w:spacing w:after="0"/>
              <w:rPr>
                <w:sz w:val="20"/>
                <w:szCs w:val="20"/>
                <w:color w:val="auto"/>
              </w:rPr>
            </w:pPr>
            <w:r>
              <w:rPr>
                <w:rFonts w:ascii="Arial" w:cs="Arial" w:eastAsia="Arial" w:hAnsi="Arial"/>
                <w:sz w:val="18"/>
                <w:szCs w:val="18"/>
                <w:color w:val="auto"/>
              </w:rPr>
              <w:t>ROGER E. GEORGE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5"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Roger E. George</w:t>
      </w:r>
    </w:p>
    <w:p>
      <w:pPr>
        <w:jc w:val="center"/>
        <w:ind w:left="6060"/>
        <w:spacing w:after="0" w:line="226" w:lineRule="auto"/>
        <w:rPr>
          <w:sz w:val="20"/>
          <w:szCs w:val="20"/>
          <w:color w:val="auto"/>
        </w:rPr>
      </w:pPr>
      <w:r>
        <w:rPr>
          <w:rFonts w:ascii="Arial" w:cs="Arial" w:eastAsia="Arial" w:hAnsi="Arial"/>
          <w:sz w:val="14"/>
          <w:szCs w:val="14"/>
          <w:b w:val="1"/>
          <w:bCs w:val="1"/>
          <w:color w:val="auto"/>
        </w:rPr>
        <w:t>Vice President, Corporate and Legal Affairs, General Counsel and Interim Chief</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Financial Officer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2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20" w:type="dxa"/>
            <w:vAlign w:val="bottom"/>
          </w:tcPr>
          <w:p>
            <w:pPr>
              <w:spacing w:after="0"/>
              <w:rPr>
                <w:sz w:val="11"/>
                <w:szCs w:val="11"/>
                <w:color w:val="auto"/>
              </w:rPr>
            </w:pPr>
          </w:p>
        </w:tc>
        <w:tc>
          <w:tcPr>
            <w:tcW w:w="112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2"/>
                <w:szCs w:val="22"/>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5"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38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M. Prescott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Roger E. George, certify that:</w:t>
      </w:r>
    </w:p>
    <w:p>
      <w:pPr>
        <w:spacing w:after="0" w:line="38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ROGER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Roger E. George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Corporate and Legal Affairs, General Counsel 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2002, that the Quarterly Report of Align Technology, Inc. on Form 10-Q for the quarter ended June 30, 2013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1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/S/  THOMAS M. PRESCOTT</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1"/>
              </w:rPr>
              <w:t>Thomas M. Prescott</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2013</w:t>
      </w:r>
    </w:p>
    <w:p>
      <w:pPr>
        <w:spacing w:after="0" w:line="200" w:lineRule="exact"/>
        <w:rPr>
          <w:sz w:val="20"/>
          <w:szCs w:val="20"/>
          <w:color w:val="auto"/>
        </w:rPr>
      </w:pPr>
    </w:p>
    <w:p>
      <w:pPr>
        <w:spacing w:after="0" w:line="34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 Roger E. George, certify, pursuant to 18 U.S.C. Section 1350, as adopted pursuant to Section 906 of the Sarbanes-Oxley Act of 2002, that the Quarterly Report of Align Technology, Inc. on Form 10-Q for the quarter ended June 30, 2013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1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/S/  ROGER E. GEORGE</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Roger E. George</w:t>
            </w:r>
          </w:p>
        </w:tc>
        <w:tc>
          <w:tcPr>
            <w:tcW w:w="0" w:type="dxa"/>
            <w:vAlign w:val="bottom"/>
          </w:tcPr>
          <w:p>
            <w:pPr>
              <w:spacing w:after="0"/>
              <w:rPr>
                <w:sz w:val="1"/>
                <w:szCs w:val="1"/>
                <w:color w:val="auto"/>
              </w:rPr>
            </w:pPr>
          </w:p>
        </w:tc>
      </w:tr>
      <w:tr>
        <w:trPr>
          <w:trHeight w:val="252"/>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1"/>
              </w:rPr>
              <w:t>Vice President, Corporate and Legal Affairs, General</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2"/>
              </w:rPr>
              <w:t>Counsel and Interim Chief Financial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2019-12-06T22:55:53Z</dcterms:created>
  <dcterms:modified xsi:type="dcterms:W3CDTF">2019-12-06T22:55:53Z</dcterms:modified>
</cp:coreProperties>
</file>