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5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10-Q</w:t>
      </w:r>
    </w:p>
    <w:p>
      <w:pPr>
        <w:spacing w:after="0" w:line="42"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 the quarterly period ended September 30, 2013</w:t>
      </w:r>
    </w:p>
    <w:p>
      <w:pPr>
        <w:spacing w:after="0" w:line="11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OR</w:t>
      </w:r>
    </w:p>
    <w:p>
      <w:pPr>
        <w:spacing w:after="0" w:line="34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60"/>
          </w:cols>
          <w:pgMar w:left="240" w:top="233" w:right="399" w:bottom="1440" w:gutter="0" w:footer="0" w:header="0"/>
        </w:sectPr>
      </w:pPr>
    </w:p>
    <w:p>
      <w:pPr>
        <w:spacing w:after="0" w:line="234"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90" w:lineRule="exact"/>
        <w:rPr>
          <w:sz w:val="24"/>
          <w:szCs w:val="24"/>
          <w:color w:val="auto"/>
        </w:rPr>
      </w:pPr>
    </w:p>
    <w:p>
      <w:pPr>
        <w:sectPr>
          <w:pgSz w:w="11900" w:h="16838" w:orient="portrait"/>
          <w:cols w:equalWidth="0" w:num="2">
            <w:col w:w="6400" w:space="720"/>
            <w:col w:w="4140"/>
          </w:cols>
          <w:pgMar w:left="240" w:top="233" w:right="399" w:bottom="1440" w:gutter="0" w:footer="0" w:header="0"/>
          <w:type w:val="continuous"/>
        </w:sectPr>
      </w:pPr>
    </w:p>
    <w:p>
      <w:pPr>
        <w:ind w:left="4520"/>
        <w:spacing w:after="0"/>
        <w:rPr>
          <w:sz w:val="20"/>
          <w:szCs w:val="20"/>
          <w:color w:val="auto"/>
        </w:rPr>
      </w:pPr>
      <w:r>
        <w:rPr>
          <w:rFonts w:ascii="Arial" w:cs="Arial" w:eastAsia="Arial" w:hAnsi="Arial"/>
          <w:sz w:val="14"/>
          <w:szCs w:val="14"/>
          <w:b w:val="1"/>
          <w:bCs w:val="1"/>
          <w:color w:val="auto"/>
        </w:rPr>
        <w:t>Commission file number: 0-32259</w:t>
      </w:r>
    </w:p>
    <w:p>
      <w:pPr>
        <w:spacing w:after="0" w:line="46"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40"/>
          <w:szCs w:val="40"/>
          <w:b w:val="1"/>
          <w:bCs w:val="1"/>
          <w:color w:val="auto"/>
        </w:rPr>
        <w:t>ALIGN TECHNOLOGY, INC.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14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94-3267295</w:t>
      </w:r>
    </w:p>
    <w:p>
      <w:pPr>
        <w:spacing w:after="0" w:line="95" w:lineRule="exact"/>
        <w:rPr>
          <w:sz w:val="24"/>
          <w:szCs w:val="24"/>
          <w:color w:val="auto"/>
        </w:rPr>
      </w:pPr>
    </w:p>
    <w:p>
      <w:pPr>
        <w:sectPr>
          <w:pgSz w:w="11900" w:h="16838" w:orient="portrait"/>
          <w:cols w:equalWidth="0" w:num="2">
            <w:col w:w="7460" w:space="720"/>
            <w:col w:w="3080"/>
          </w:cols>
          <w:pgMar w:left="240" w:top="233" w:right="399" w:bottom="1440" w:gutter="0" w:footer="0" w:header="0"/>
          <w:type w:val="continuous"/>
        </w:sectPr>
      </w:pPr>
    </w:p>
    <w:p>
      <w:pPr>
        <w:ind w:left="1860"/>
        <w:spacing w:after="0"/>
        <w:rPr>
          <w:sz w:val="20"/>
          <w:szCs w:val="20"/>
          <w:color w:val="auto"/>
        </w:rPr>
      </w:pPr>
      <w:r>
        <w:rPr>
          <w:rFonts w:ascii="Arial" w:cs="Arial" w:eastAsia="Arial" w:hAnsi="Arial"/>
          <w:sz w:val="15"/>
          <w:szCs w:val="15"/>
          <w:b w:val="1"/>
          <w:bCs w:val="1"/>
          <w:color w:val="auto"/>
        </w:rPr>
        <w:t>(State or other jurisdiction of</w:t>
      </w:r>
    </w:p>
    <w:p>
      <w:pPr>
        <w:spacing w:after="0" w:line="38" w:lineRule="exact"/>
        <w:rPr>
          <w:sz w:val="24"/>
          <w:szCs w:val="24"/>
          <w:color w:val="auto"/>
        </w:rPr>
      </w:pPr>
    </w:p>
    <w:p>
      <w:pPr>
        <w:ind w:left="180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6"/>
          <w:szCs w:val="16"/>
          <w:b w:val="1"/>
          <w:bCs w:val="1"/>
          <w:color w:val="auto"/>
        </w:rPr>
        <w:t>(I.R.S. Employer</w:t>
      </w:r>
    </w:p>
    <w:p>
      <w:pPr>
        <w:spacing w:after="0" w:line="26" w:lineRule="exact"/>
        <w:rPr>
          <w:sz w:val="24"/>
          <w:szCs w:val="24"/>
          <w:color w:val="auto"/>
        </w:rPr>
      </w:pPr>
    </w:p>
    <w:p>
      <w:pPr>
        <w:jc w:val="center"/>
        <w:ind w:right="1880"/>
        <w:spacing w:after="0"/>
        <w:rPr>
          <w:sz w:val="20"/>
          <w:szCs w:val="20"/>
          <w:color w:val="auto"/>
        </w:rPr>
      </w:pPr>
      <w:r>
        <w:rPr>
          <w:rFonts w:ascii="Arial" w:cs="Arial" w:eastAsia="Arial" w:hAnsi="Arial"/>
          <w:sz w:val="15"/>
          <w:szCs w:val="15"/>
          <w:b w:val="1"/>
          <w:bCs w:val="1"/>
          <w:color w:val="auto"/>
        </w:rPr>
        <w:t>Identification Number)</w:t>
      </w:r>
    </w:p>
    <w:p>
      <w:pPr>
        <w:spacing w:after="0" w:line="130" w:lineRule="exact"/>
        <w:rPr>
          <w:sz w:val="24"/>
          <w:szCs w:val="24"/>
          <w:color w:val="auto"/>
        </w:rPr>
      </w:pPr>
    </w:p>
    <w:p>
      <w:pPr>
        <w:sectPr>
          <w:pgSz w:w="11900" w:h="16838" w:orient="portrait"/>
          <w:cols w:equalWidth="0" w:num="2">
            <w:col w:w="7040" w:space="720"/>
            <w:col w:w="3500"/>
          </w:cols>
          <w:pgMar w:left="240" w:top="233" w:right="399" w:bottom="1440" w:gutter="0" w:footer="0" w:header="0"/>
          <w:type w:val="continuous"/>
        </w:sectPr>
      </w:pPr>
    </w:p>
    <w:p>
      <w:pPr>
        <w:jc w:val="center"/>
        <w:ind w:right="-159"/>
        <w:spacing w:after="0"/>
        <w:rPr>
          <w:sz w:val="20"/>
          <w:szCs w:val="20"/>
          <w:color w:val="auto"/>
        </w:rPr>
      </w:pPr>
      <w:r>
        <w:rPr>
          <w:rFonts w:ascii="Arial" w:cs="Arial" w:eastAsia="Arial" w:hAnsi="Arial"/>
          <w:sz w:val="16"/>
          <w:szCs w:val="16"/>
          <w:b w:val="1"/>
          <w:bCs w:val="1"/>
          <w:color w:val="auto"/>
        </w:rPr>
        <w:t>2560 Orchard Parkway</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San Jose, California 95131</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14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(408) 470-1000</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2" w:lineRule="exact"/>
        <w:rPr>
          <w:sz w:val="24"/>
          <w:szCs w:val="24"/>
          <w:color w:val="auto"/>
        </w:rPr>
      </w:pPr>
    </w:p>
    <w:p>
      <w:pPr>
        <w:ind w:left="460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86" w:lineRule="exact"/>
        <w:rPr>
          <w:sz w:val="24"/>
          <w:szCs w:val="24"/>
          <w:color w:val="auto"/>
        </w:rPr>
      </w:pPr>
    </w:p>
    <w:p>
      <w:pPr>
        <w:ind w:right="260"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240"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firstLine="432"/>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260"/>
          </w:cols>
          <w:pgMar w:left="240" w:top="233" w:right="399" w:bottom="1440" w:gutter="0" w:footer="0" w:header="0"/>
          <w:type w:val="continuous"/>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480" w:space="500"/>
            <w:col w:w="3680" w:space="720"/>
            <w:col w:w="3360" w:space="720"/>
            <w:col w:w="800"/>
          </w:cols>
          <w:pgMar w:left="240" w:top="233" w:right="39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ectPr>
          <w:pgSz w:w="11900" w:h="16838" w:orient="portrait"/>
          <w:cols w:equalWidth="0" w:num="4">
            <w:col w:w="1400" w:space="580"/>
            <w:col w:w="3680" w:space="720"/>
            <w:col w:w="3360" w:space="720"/>
            <w:col w:w="800"/>
          </w:cols>
          <w:pgMar w:left="240" w:top="233" w:right="399" w:bottom="1440" w:gutter="0" w:footer="0" w:header="0"/>
          <w:type w:val="continuous"/>
        </w:sectPr>
      </w:pPr>
    </w:p>
    <w:p>
      <w:pPr>
        <w:spacing w:after="0" w:line="30" w:lineRule="exact"/>
        <w:rPr>
          <w:sz w:val="24"/>
          <w:szCs w:val="24"/>
          <w:color w:val="auto"/>
        </w:rPr>
      </w:pPr>
    </w:p>
    <w:p>
      <w:pPr>
        <w:ind w:left="4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167" w:lineRule="exact"/>
        <w:rPr>
          <w:sz w:val="24"/>
          <w:szCs w:val="24"/>
          <w:color w:val="auto"/>
        </w:rPr>
      </w:pPr>
    </w:p>
    <w:p>
      <w:pPr>
        <w:sectPr>
          <w:pgSz w:w="11900" w:h="16838" w:orient="portrait"/>
          <w:cols w:equalWidth="0" w:num="4">
            <w:col w:w="7800" w:space="160"/>
            <w:col w:w="240" w:space="80"/>
            <w:col w:w="140" w:space="160"/>
            <w:col w:w="2680"/>
          </w:cols>
          <w:pgMar w:left="240" w:top="233" w:right="39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The number of shares outstanding of the registrant’s Common Stock, $0.0001 par value, as of October 25, 2013 was 80,318,743.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920" w:type="dxa"/>
            <w:vAlign w:val="bottom"/>
            <w:gridSpan w:val="2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80" w:type="dxa"/>
            <w:vAlign w:val="bottom"/>
            <w:gridSpan w:val="2"/>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FINANCIAL STATEMENTS (UNAUDITED):</w:t>
              </w:r>
            </w:hyperlink>
          </w:p>
        </w:tc>
        <w:tc>
          <w:tcPr>
            <w:tcW w:w="650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80" w:type="dxa"/>
            <w:vAlign w:val="bottom"/>
            <w:tcBorders>
              <w:bottom w:val="single" w:sz="8" w:color="0000FF"/>
            </w:tcBorders>
            <w:gridSpan w:val="17"/>
          </w:tcPr>
          <w:p>
            <w:pPr>
              <w:spacing w:after="0"/>
              <w:rPr>
                <w:rFonts w:ascii="Arial" w:cs="Arial" w:eastAsia="Arial" w:hAnsi="Arial"/>
                <w:sz w:val="18"/>
                <w:szCs w:val="18"/>
                <w:color w:val="0000FF"/>
                <w:w w:val="94"/>
              </w:rPr>
            </w:pPr>
            <w:hyperlink w:anchor="page3">
              <w:r>
                <w:rPr>
                  <w:rFonts w:ascii="Arial" w:cs="Arial" w:eastAsia="Arial" w:hAnsi="Arial"/>
                  <w:sz w:val="18"/>
                  <w:szCs w:val="18"/>
                  <w:color w:val="0000FF"/>
                  <w:w w:val="94"/>
                </w:rPr>
                <w:t>CONDENSED CONSOLIDATED STATEMENTS OF COMPREHENSIVE INCOME (LOSS)</w:t>
              </w:r>
            </w:hyperlink>
          </w:p>
        </w:tc>
        <w:tc>
          <w:tcPr>
            <w:tcW w:w="27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21">
              <w:r>
                <w:rPr>
                  <w:rFonts w:ascii="Arial" w:cs="Arial" w:eastAsia="Arial" w:hAnsi="Arial"/>
                  <w:sz w:val="18"/>
                  <w:szCs w:val="18"/>
                  <w:color w:val="0000FF"/>
                  <w:w w:val="91"/>
                </w:rPr>
                <w:t>OPERATIONS</w:t>
              </w:r>
            </w:hyperlink>
          </w:p>
        </w:tc>
        <w:tc>
          <w:tcPr>
            <w:tcW w:w="6660" w:type="dxa"/>
            <w:vAlign w:val="bottom"/>
            <w:tcBorders>
              <w:top w:val="single" w:sz="8" w:color="0000FF"/>
            </w:tcBorders>
            <w:gridSpan w:val="16"/>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rFonts w:ascii="Arial" w:cs="Arial" w:eastAsia="Arial" w:hAnsi="Arial"/>
                <w:sz w:val="18"/>
                <w:szCs w:val="18"/>
                <w:color w:val="0000FF"/>
                <w:w w:val="79"/>
              </w:rPr>
            </w:pPr>
            <w:hyperlink w:anchor="page21">
              <w:r>
                <w:rPr>
                  <w:rFonts w:ascii="Arial" w:cs="Arial" w:eastAsia="Arial" w:hAnsi="Arial"/>
                  <w:sz w:val="18"/>
                  <w:szCs w:val="18"/>
                  <w:color w:val="0000FF"/>
                  <w:w w:val="79"/>
                </w:rPr>
                <w:t>21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36">
              <w:r>
                <w:rPr>
                  <w:rFonts w:ascii="Arial" w:cs="Arial" w:eastAsia="Arial" w:hAnsi="Arial"/>
                  <w:sz w:val="18"/>
                  <w:szCs w:val="18"/>
                  <w:color w:val="0000FF"/>
                  <w:w w:val="98"/>
                </w:rPr>
                <w:t>QUANTITATIVE AND QUALITATIVE DISCLOSURES ABOUT MARKET RISK</w:t>
              </w:r>
            </w:hyperlink>
          </w:p>
        </w:tc>
        <w:tc>
          <w:tcPr>
            <w:tcW w:w="3780" w:type="dxa"/>
            <w:vAlign w:val="bottom"/>
            <w:gridSpan w:val="3"/>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36">
              <w:r>
                <w:rPr>
                  <w:rFonts w:ascii="Arial" w:cs="Arial" w:eastAsia="Arial" w:hAnsi="Arial"/>
                  <w:sz w:val="18"/>
                  <w:szCs w:val="18"/>
                  <w:color w:val="0000FF"/>
                  <w:w w:val="93"/>
                </w:rPr>
                <w:t>CONTROLS AND PROCEDURES</w:t>
              </w:r>
            </w:hyperlink>
          </w:p>
        </w:tc>
        <w:tc>
          <w:tcPr>
            <w:tcW w:w="7320" w:type="dxa"/>
            <w:vAlign w:val="bottom"/>
            <w:gridSpan w:val="11"/>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36">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20"/>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2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RISK FACTORS</w:t>
              </w:r>
            </w:hyperlink>
          </w:p>
        </w:tc>
        <w:tc>
          <w:tcPr>
            <w:tcW w:w="620" w:type="dxa"/>
            <w:vAlign w:val="bottom"/>
            <w:tcBorders>
              <w:top w:val="single" w:sz="8" w:color="0000FF"/>
            </w:tcBorders>
          </w:tcPr>
          <w:p>
            <w:pPr>
              <w:spacing w:after="0"/>
              <w:rPr>
                <w:sz w:val="21"/>
                <w:szCs w:val="21"/>
                <w:color w:val="auto"/>
              </w:rPr>
            </w:pPr>
          </w:p>
        </w:tc>
        <w:tc>
          <w:tcPr>
            <w:tcW w:w="8060" w:type="dxa"/>
            <w:vAlign w:val="bottom"/>
            <w:gridSpan w:val="15"/>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1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3"/>
              </w:rPr>
            </w:pPr>
            <w:hyperlink w:anchor="page51">
              <w:r>
                <w:rPr>
                  <w:rFonts w:ascii="Arial" w:cs="Arial" w:eastAsia="Arial" w:hAnsi="Arial"/>
                  <w:sz w:val="18"/>
                  <w:szCs w:val="18"/>
                  <w:color w:val="0000FF"/>
                  <w:w w:val="93"/>
                </w:rPr>
                <w:t>DEFAULTS UPON SENIOR SECURITIES</w:t>
              </w:r>
            </w:hyperlink>
          </w:p>
        </w:tc>
        <w:tc>
          <w:tcPr>
            <w:tcW w:w="2880" w:type="dxa"/>
            <w:vAlign w:val="bottom"/>
            <w:tcBorders>
              <w:top w:val="single" w:sz="8" w:color="0000FF"/>
            </w:tcBorders>
            <w:gridSpan w:val="6"/>
          </w:tcPr>
          <w:p>
            <w:pPr>
              <w:spacing w:after="0"/>
              <w:rPr>
                <w:sz w:val="21"/>
                <w:szCs w:val="21"/>
                <w:color w:val="auto"/>
              </w:rPr>
            </w:pPr>
          </w:p>
        </w:tc>
        <w:tc>
          <w:tcPr>
            <w:tcW w:w="3860" w:type="dxa"/>
            <w:vAlign w:val="bottom"/>
            <w:gridSpan w:val="4"/>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51">
              <w:r>
                <w:rPr>
                  <w:rFonts w:ascii="Arial" w:cs="Arial" w:eastAsia="Arial" w:hAnsi="Arial"/>
                  <w:sz w:val="18"/>
                  <w:szCs w:val="18"/>
                  <w:color w:val="0000FF"/>
                  <w:w w:val="95"/>
                </w:rPr>
                <w:t>MINE SAFETY DISCLOSURES</w:t>
              </w:r>
            </w:hyperlink>
          </w:p>
        </w:tc>
        <w:tc>
          <w:tcPr>
            <w:tcW w:w="748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51">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52</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20"/>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52</w:t>
              </w:r>
            </w:hyperlink>
          </w:p>
        </w:tc>
      </w:tr>
      <w:tr>
        <w:trPr>
          <w:trHeight w:val="250"/>
        </w:trPr>
        <w:tc>
          <w:tcPr>
            <w:tcW w:w="1100" w:type="dxa"/>
            <w:vAlign w:val="bottom"/>
            <w:tcBorders>
              <w:bottom w:val="single" w:sz="8" w:color="0000FF"/>
            </w:tcBorders>
          </w:tcPr>
          <w:p>
            <w:pPr>
              <w:spacing w:after="0"/>
              <w:rPr>
                <w:rFonts w:ascii="Arial" w:cs="Arial" w:eastAsia="Arial" w:hAnsi="Arial"/>
                <w:sz w:val="18"/>
                <w:szCs w:val="18"/>
                <w:color w:val="0000FF"/>
                <w:w w:val="92"/>
              </w:rPr>
            </w:pPr>
            <w:hyperlink w:anchor="page52">
              <w:r>
                <w:rPr>
                  <w:rFonts w:ascii="Arial" w:cs="Arial" w:eastAsia="Arial" w:hAnsi="Arial"/>
                  <w:sz w:val="18"/>
                  <w:szCs w:val="18"/>
                  <w:color w:val="0000FF"/>
                  <w:w w:val="92"/>
                </w:rPr>
                <w:t>SIGNATURES</w:t>
              </w:r>
            </w:hyperlink>
          </w:p>
        </w:tc>
        <w:tc>
          <w:tcPr>
            <w:tcW w:w="160" w:type="dxa"/>
            <w:vAlign w:val="bottom"/>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53</w:t>
              </w:r>
            </w:hyperlink>
          </w:p>
        </w:tc>
      </w:tr>
    </w:tbl>
    <w:p>
      <w:pPr>
        <w:spacing w:after="0" w:line="20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Invisalign, Align, ClinCheck, Invisalign Assist, Invisalign Teen, Invisalign Express, Invisalign Lite, Vivera, SmartForce, SmartTrack, Power Ridges, iTero, Orthocad iCast and Orthocad iRecord amongst others, are trademarks belonging to Align Technology, Inc., and/or its subsidiaries and are pending or registered in the United States and other countries.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2012</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164,506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481,914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417,201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net revenues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39,416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120,284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107,291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125,090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361,630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309,910</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45,224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135,352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114,272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27,487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24,762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84,862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71,294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10,915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33,113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31,158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Impairment of goodwill</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24,665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40,693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24,665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26,320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83,626</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95,847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320,340</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241,389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41,464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41,290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68,521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income (expenses), net</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41,913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40,416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67,897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7,376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4,494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18,542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18,765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34,537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21,874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49,132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income (loss)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79,967</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80,592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80,356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81,848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81,437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82,549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83,016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03"/>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2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r>
      <w:tr>
        <w:trPr>
          <w:trHeight w:val="80"/>
        </w:trPr>
        <w:tc>
          <w:tcPr>
            <w:tcW w:w="51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58"/>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2012</w:t>
            </w: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34,537</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21,874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49,132</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Net change in cumulative translation adjustment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Change in unrealized gains on available-for-sale securities, net of</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34,911</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22,003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49,067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6"/>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76"/>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175,839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306,386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Marketable securities, short-term</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147,740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28,485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Accounts receivable, net of allowances for doubtful accounts, credit reserves and returns of $1,724 and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$3,167,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109,179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98,992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14,662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15,122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36,808</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482,259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485,793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21,252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76,552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79,191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99,236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24,362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45,777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21,609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759,206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756,312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19,157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19,549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74,247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70,397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61,975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155,771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20,254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19,224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183,522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174,995</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8)</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Common stock, $0.0001 par value (200,000 shares authorized; 80,114 and 80,611 issued and outstanding at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2013 and 2012,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713,676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670,732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(138,332)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(89,626)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575,684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581,317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759,206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756,312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3"/>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9"/>
              </w:rPr>
              <w:t>2012</w:t>
            </w: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49,132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13,165</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12,647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12,544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21,265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15,504</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 from share-based compensation arrangements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(21,849)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(18,140)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goodwill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40,693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24,665</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26,320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 credit reserves and returns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non-cash income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effects of acquisition:</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3"/>
        </w:trPr>
        <w:tc>
          <w:tcPr>
            <w:tcW w:w="8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(5,936)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(17,352)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(5,735)</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Accrued and other long-term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8,415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12,674</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118,864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83,020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Acquisition, net of cash acquired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(31,485)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(213,990)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(53,862)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maturities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32,229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16,067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sales of marketable securities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6,943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1,296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(199,989)</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(65,648)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28,291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40,194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Excess tax benefit from share-based compensation arrangements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21,849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18,140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Employees’ taxes paid upon the vesting of restricted stock units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payments for financing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(48,902)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46,819</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64,232</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Cash and cash equivalents, beginning of the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306,386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240,675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Cash and cash equivalents, end of the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175,839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304,907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by Align Technology, Inc. (“we”, “our”, or “Align”) in accordance with the rules and regulations of the Securities and Exchange Commission ("SEC") and contain all adjustments, including normal recurring adjustments, necessary to present fairly our results of operations for the three and nine months ended September 30, 2013 and 2012, our comprehensive income (loss) for the three and nine months ended September 30, 2013 and 2012, our financial position as of September 30, 2013 and our cash flows for the nine months ended September 30, 2013 and 2012. The Condensed Consolidated Balance Sheet as of December 31, 2012 was derived from the December 31, 2012 audited financial statements. Net revenues by geographic area for prior period amounts in Note 13 have been reclassified to conform with the current period presentation. These reclassifications had no impact on our financial position for the three and nine months ended September 30, 2013 and 2012.</w:t>
      </w:r>
    </w:p>
    <w:p>
      <w:pPr>
        <w:spacing w:after="0" w:line="167"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The results of operations for the three and nine months ended September 30, 2013 are not necessarily indicative of the results that may be expected for the year ending December 31, 2013 or any other future period, and we make no representations related thereto. The information included in this Quarterly Report on Form 10-Q should be read in conjunction with “Management’s Discussion and Analysis of Financial Condition and Results of Operations,” “Quantitative and Qualitative Disclosures About Market Risk” and the Consolidated Financial Statements and notes thereto included in Items 7, 7A and 8, respectively, in our Annual Report on Form 10-K for the year ended December 31, 2012.</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("GAAP") in the United States of America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long-lived assets and goodwill, useful lives of intangible assets and property and equipment, stock-based compensation,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February 2013, the Financial Accounting Standards Board ("FASB") issued Accounting Standards Update ("ASU") 2013-02, “Reporting of Amounts Reclassified Out of Accumulated Other Comprehensive Income ("AOCI")”. This standard requires reporting, in one place, information about reclassifications out of AOCI by component. An entity is required to present, either on the face of the financial statements or in the notes, significant amounts reclassified out of AOCI by the respective line items of net income, but only if the amount is reclassified in its entirety in the same reporting period. For amounts that are not required to be reclassified to net income in their entirety, an entity is required to cross-reference to other currently required disclosures that provide additional detail about those amounts. The information required by this standard must be presented in one place, either parenthetically on the face of the financial statements by income statement line item or in a note. The adoption of this guidance during our first quarter of 2013 did not have a material impact to our condensed consolidated financial statements.</w:t>
      </w:r>
    </w:p>
    <w:p>
      <w:pPr>
        <w:spacing w:after="0" w:line="17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July 2013, FASB issued ASU 2013-11, "Presentation of an Unrecognized Tax Benefit when a Net Operating Loss Carryforward, a Similar Tax Loss, or a Tax Credit Carryforward Exists (a consensus of the FASB Emerging Issues Task Force)." The amendments in this ASU provide guidance on the financial statements presentation of an unrecognized tax benefit when a 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and are effective for fiscal years, and interim periods within those years, beginning after December 15, 2013. We are currently assessing the impact of this ASU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short-term and long-term marketable securities as of September 30, 2013 and December 31, 2012 are as follows (in thousands):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left="301"/>
              <w:spacing w:after="0"/>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September 30, 2013</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01"/>
              <w:spacing w:after="0" w:line="158" w:lineRule="exact"/>
              <w:rPr>
                <w:sz w:val="20"/>
                <w:szCs w:val="20"/>
                <w:color w:val="auto"/>
              </w:rPr>
            </w:pPr>
            <w:r>
              <w:rPr>
                <w:rFonts w:ascii="Arial" w:cs="Arial" w:eastAsia="Arial" w:hAnsi="Arial"/>
                <w:sz w:val="14"/>
                <w:szCs w:val="14"/>
                <w:b w:val="1"/>
                <w:bCs w:val="1"/>
                <w:color w:val="auto"/>
                <w:w w:val="82"/>
              </w:rPr>
              <w:t>Losses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32,439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32,449</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15,728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15,730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57,906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57,921</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37,474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37,487</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3,005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Marketable Securities, Short-Term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147,702</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147,740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3"/>
            <w:vMerge w:val="restart"/>
          </w:tcPr>
          <w:p>
            <w:pPr>
              <w:ind w:left="400"/>
              <w:spacing w:after="0"/>
              <w:rPr>
                <w:sz w:val="20"/>
                <w:szCs w:val="20"/>
                <w:color w:val="auto"/>
              </w:rPr>
            </w:pPr>
            <w:r>
              <w:rPr>
                <w:rFonts w:ascii="Arial" w:cs="Arial" w:eastAsia="Arial" w:hAnsi="Arial"/>
                <w:sz w:val="18"/>
                <w:szCs w:val="18"/>
                <w:b w:val="1"/>
                <w:bCs w:val="1"/>
                <w:i w:val="1"/>
                <w:iCs w:val="1"/>
                <w:color w:val="auto"/>
              </w:rPr>
              <w:t>Long-term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left="301"/>
              <w:spacing w:after="0"/>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September 30, 2013</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01"/>
              <w:spacing w:after="0" w:line="158" w:lineRule="exact"/>
              <w:rPr>
                <w:sz w:val="20"/>
                <w:szCs w:val="20"/>
                <w:color w:val="auto"/>
              </w:rPr>
            </w:pPr>
            <w:r>
              <w:rPr>
                <w:rFonts w:ascii="Arial" w:cs="Arial" w:eastAsia="Arial" w:hAnsi="Arial"/>
                <w:sz w:val="14"/>
                <w:szCs w:val="14"/>
                <w:b w:val="1"/>
                <w:bCs w:val="1"/>
                <w:color w:val="auto"/>
                <w:w w:val="82"/>
              </w:rPr>
              <w:t>Losses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19,836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19,822</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6,148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6,153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16,169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16,179</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11,278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14,252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14,257</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9,150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9,147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76,829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76,836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3"/>
            <w:vMerge w:val="restart"/>
          </w:tcPr>
          <w:p>
            <w:pPr>
              <w:ind w:left="400"/>
              <w:spacing w:after="0"/>
              <w:rPr>
                <w:sz w:val="20"/>
                <w:szCs w:val="20"/>
                <w:color w:val="auto"/>
              </w:rPr>
            </w:pPr>
            <w:r>
              <w:rPr>
                <w:rFonts w:ascii="Arial" w:cs="Arial" w:eastAsia="Arial" w:hAnsi="Arial"/>
                <w:sz w:val="18"/>
                <w:szCs w:val="18"/>
                <w:b w:val="1"/>
                <w:bCs w:val="1"/>
                <w:i w:val="1"/>
                <w:iCs w:val="1"/>
                <w:color w:val="auto"/>
              </w:rPr>
              <w:t>Short-term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left="301"/>
              <w:spacing w:after="0"/>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December 31, 2012</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01"/>
              <w:spacing w:after="0" w:line="158" w:lineRule="exact"/>
              <w:rPr>
                <w:sz w:val="20"/>
                <w:szCs w:val="20"/>
                <w:color w:val="auto"/>
              </w:rPr>
            </w:pPr>
            <w:r>
              <w:rPr>
                <w:rFonts w:ascii="Arial" w:cs="Arial" w:eastAsia="Arial" w:hAnsi="Arial"/>
                <w:sz w:val="14"/>
                <w:szCs w:val="14"/>
                <w:b w:val="1"/>
                <w:bCs w:val="1"/>
                <w:color w:val="auto"/>
                <w:w w:val="82"/>
              </w:rPr>
              <w:t>Losses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18,767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18,770</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4,646</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5,060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25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 Marketable Securities, Short-Term</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28,473</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28,485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3"/>
            <w:vMerge w:val="restart"/>
          </w:tcPr>
          <w:p>
            <w:pPr>
              <w:ind w:left="400"/>
              <w:spacing w:after="0"/>
              <w:rPr>
                <w:sz w:val="20"/>
                <w:szCs w:val="20"/>
                <w:color w:val="auto"/>
              </w:rPr>
            </w:pPr>
            <w:r>
              <w:rPr>
                <w:rFonts w:ascii="Arial" w:cs="Arial" w:eastAsia="Arial" w:hAnsi="Arial"/>
                <w:sz w:val="18"/>
                <w:szCs w:val="18"/>
                <w:b w:val="1"/>
                <w:bCs w:val="1"/>
                <w:i w:val="1"/>
                <w:iCs w:val="1"/>
                <w:color w:val="auto"/>
              </w:rPr>
              <w:t>Long-term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51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left="301"/>
              <w:spacing w:after="0"/>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December 31, 2012</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01"/>
              <w:spacing w:after="0" w:line="158" w:lineRule="exact"/>
              <w:rPr>
                <w:sz w:val="20"/>
                <w:szCs w:val="20"/>
                <w:color w:val="auto"/>
              </w:rPr>
            </w:pPr>
            <w:r>
              <w:rPr>
                <w:rFonts w:ascii="Arial" w:cs="Arial" w:eastAsia="Arial" w:hAnsi="Arial"/>
                <w:sz w:val="14"/>
                <w:szCs w:val="14"/>
                <w:b w:val="1"/>
                <w:bCs w:val="1"/>
                <w:color w:val="auto"/>
                <w:w w:val="82"/>
              </w:rPr>
              <w:t>Losses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16,132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16,141</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2,069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3,038</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5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 Marketable Securities, Long-Term</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21,239</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21,252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0" w:firstLine="450"/>
        <w:spacing w:after="0" w:line="302" w:lineRule="auto"/>
        <w:rPr>
          <w:sz w:val="20"/>
          <w:szCs w:val="20"/>
          <w:color w:val="auto"/>
        </w:rPr>
      </w:pPr>
      <w:r>
        <w:rPr>
          <w:rFonts w:ascii="Arial" w:cs="Arial" w:eastAsia="Arial" w:hAnsi="Arial"/>
          <w:sz w:val="16"/>
          <w:szCs w:val="16"/>
          <w:color w:val="auto"/>
        </w:rPr>
        <w:t>For the three and nine months ended September 30, 2013 and 2012, realized losses were immaterial. Unrealized gains and losses for our available for sale securities as of September 30, 2013 and December 31, 2012 were also immaterial. Cash and cash equivalents are not included in the table above as the gross unrealized gains and losses are not material. We have no material short-term or long-term investments that have been in a continuous unrealized loss position for greater than twelve months as of September 30, 2013 and December 31, 2012. Amounts reclassified to earnings from accumulated other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comprehensive income related to unrealized gain or losses were immaterial for the three and nine months ended September 30, 2013 and 2012.</w:t>
      </w:r>
    </w:p>
    <w:p>
      <w:pPr>
        <w:spacing w:after="0" w:line="237"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Our fixed-income securities investment portfolio consists of corporate bonds, U.S. dollar dominated foreign corporate bonds, commercial paper, municipal securities, U.S. government agency bonds and asset-backed securities that have a maximum maturity of two years.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all these investments upon maturity or sale. The weighted average remaining duration of these securities was approximately 8 months and 10 months as of September 30, 2013 and December 31, 2012, respectively.</w:t>
      </w:r>
    </w:p>
    <w:p>
      <w:pPr>
        <w:spacing w:after="0" w:line="178"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As the carrying value approximates the fair value for our short-term and long-term marketable securities shown in the tables above, the following table summarizes the fair value of our short-term and long-term marketable securities classified by maturity as of September 30, 2013 and December 31, 2012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December 31,</w:t>
            </w:r>
          </w:p>
        </w:tc>
      </w:tr>
      <w:tr>
        <w:trPr>
          <w:trHeight w:val="276"/>
        </w:trPr>
        <w:tc>
          <w:tcPr>
            <w:tcW w:w="85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147,740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28,485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Due in one to two years</w:t>
            </w: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76,836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21,252</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 for sale short-term and long-term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224,576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49,737</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We measure the fair value of our cash equivalents and marketable securities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(unadjusted) prices in active markets for identical assets or liabilities.</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Our Level 1 assets consist of money market funds, commercial paper and U.S. government treasury bonds. We did not hold any Level 1 liabilities as of September 30, 2013 or December 31, 2012.</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18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Our Level 2 assets consist of commercial paper, corporate bonds, U.S. dollar dominated foreign corporate bonds, U.S. government agency bonds, municipal securities, asset-backed securities and our Israeli severance funds that are mainly invested in insurance policies. We obtain fair values for level 2 investments from our asset manager for each of our portfolios.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hold any Level 2 liabilities as of September 30, 2013 or December 31, 2012.</w:t>
      </w:r>
    </w:p>
    <w:p>
      <w:pPr>
        <w:spacing w:after="0" w:line="225" w:lineRule="exact"/>
        <w:rPr>
          <w:sz w:val="20"/>
          <w:szCs w:val="20"/>
          <w:color w:val="auto"/>
        </w:rPr>
      </w:pPr>
    </w:p>
    <w:p>
      <w:pPr>
        <w:ind w:right="440" w:firstLine="432"/>
        <w:spacing w:after="0" w:line="312"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to the valuation methodology that are supported by little or no market activity and that are significant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of the fair value of the assets or liabilities. Level 3 assets and liabilities include those whose fair value measurements are determined using pricing models, discounted cash flow methodologies or similar valuation techniques, as well as significant management judgment or estimation.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hold any Level 3 assets or liabilities as of September 30, 2013 or December 31, 2012.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6"/>
          <w:szCs w:val="16"/>
          <w:color w:val="auto"/>
        </w:rPr>
        <w:t>During the three months ended March 31, 2013, we recorded an impairment charge to our long-lived assets and goodwill of $26.3 million and $40.7 million, respectively, related to our Scanner and CAD/CAM Services ("SCCS") reporting unit as an event occurred and circumstances changed that led us to perform an impairment analysis prior to our annual test which required us to determine the fair value of the SCCS reporting unit (Refer to Note 5). These fair value measurements were calculated using unobservable inputs, using the income approach which is classified as Level 3 within the fair value hierarchy.</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Inputs for the income approach includes the amount and timing of future cash flows based on our most recent operational budgets, strategic plans, terminal growth rates assumptions and other estimates.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Recurring Fair Value Measurements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financial assets measured at fair value on a recurring basis as of September 30, 2013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2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Balance as of</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0" w:type="dxa"/>
            <w:vAlign w:val="bottom"/>
          </w:tcPr>
          <w:p>
            <w:pPr>
              <w:spacing w:after="0"/>
              <w:rPr>
                <w:sz w:val="1"/>
                <w:szCs w:val="1"/>
                <w:color w:val="auto"/>
              </w:rPr>
            </w:pPr>
          </w:p>
        </w:tc>
      </w:tr>
      <w:tr>
        <w:trPr>
          <w:trHeight w:val="158"/>
        </w:trPr>
        <w:tc>
          <w:tcPr>
            <w:tcW w:w="4680" w:type="dxa"/>
            <w:vAlign w:val="bottom"/>
            <w:gridSpan w:val="3"/>
            <w:vMerge w:val="continue"/>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September 30, 2013</w:t>
            </w:r>
          </w:p>
        </w:tc>
        <w:tc>
          <w:tcPr>
            <w:tcW w:w="200" w:type="dxa"/>
            <w:vAlign w:val="bottom"/>
          </w:tcPr>
          <w:p>
            <w:pPr>
              <w:spacing w:after="0"/>
              <w:rPr>
                <w:sz w:val="13"/>
                <w:szCs w:val="13"/>
                <w:color w:val="auto"/>
              </w:rPr>
            </w:pPr>
          </w:p>
        </w:tc>
        <w:tc>
          <w:tcPr>
            <w:tcW w:w="16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3"/>
                <w:szCs w:val="13"/>
                <w:color w:val="auto"/>
              </w:rPr>
            </w:pPr>
          </w:p>
        </w:tc>
        <w:tc>
          <w:tcPr>
            <w:tcW w:w="1520" w:type="dxa"/>
            <w:vAlign w:val="bottom"/>
          </w:tcPr>
          <w:p>
            <w:pPr>
              <w:jc w:val="center"/>
              <w:ind w:right="93"/>
              <w:spacing w:after="0" w:line="158" w:lineRule="exact"/>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Money market funds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77,484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77,484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13,247</w:t>
            </w: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57,921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57,921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32,449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32,449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dollar dominated foreign corporate bonds</w:t>
            </w: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Municipal securities</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37,487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Asset-backed securities</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19,822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19,822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U.S. dollar dominated foreign corporate bonds</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16,179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16,179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treasury bonds</w:t>
            </w: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Municipal securities</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14,257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14,257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9,147</w:t>
            </w: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assets:</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Israeli severance funds</w:t>
            </w:r>
          </w:p>
        </w:tc>
        <w:tc>
          <w:tcPr>
            <w:tcW w:w="13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317,729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88,762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228,967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vMerge w:val="restart"/>
          </w:tcPr>
          <w:p>
            <w:pPr>
              <w:jc w:val="right"/>
              <w:ind w:right="17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financial assets measured at fair value on a recurring basis as of December 31, 2012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Quoted Prices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right"/>
              <w:ind w:right="233"/>
              <w:spacing w:after="0"/>
              <w:rPr>
                <w:sz w:val="20"/>
                <w:szCs w:val="20"/>
                <w:color w:val="auto"/>
              </w:rPr>
            </w:pPr>
            <w:r>
              <w:rPr>
                <w:rFonts w:ascii="Arial" w:cs="Arial" w:eastAsia="Arial" w:hAnsi="Arial"/>
                <w:sz w:val="14"/>
                <w:szCs w:val="14"/>
                <w:b w:val="1"/>
                <w:bCs w:val="1"/>
                <w:color w:val="auto"/>
              </w:rPr>
              <w:t>Significant 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Balance as of</w:t>
            </w:r>
          </w:p>
        </w:tc>
        <w:tc>
          <w:tcPr>
            <w:tcW w:w="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Observable Inputs</w:t>
            </w:r>
          </w:p>
        </w:tc>
        <w:tc>
          <w:tcPr>
            <w:tcW w:w="0" w:type="dxa"/>
            <w:vAlign w:val="bottom"/>
          </w:tcPr>
          <w:p>
            <w:pPr>
              <w:spacing w:after="0"/>
              <w:rPr>
                <w:sz w:val="1"/>
                <w:szCs w:val="1"/>
                <w:color w:val="auto"/>
              </w:rPr>
            </w:pPr>
          </w:p>
        </w:tc>
      </w:tr>
      <w:tr>
        <w:trPr>
          <w:trHeight w:val="158"/>
        </w:trPr>
        <w:tc>
          <w:tcPr>
            <w:tcW w:w="60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December 31, 2012</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3"/>
          </w:tcPr>
          <w:p>
            <w:pPr>
              <w:jc w:val="center"/>
              <w:ind w:right="720"/>
              <w:spacing w:after="0" w:line="158" w:lineRule="exact"/>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493"/>
              <w:spacing w:after="0" w:line="158" w:lineRule="exact"/>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86,166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86,166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18,770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18,770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2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16,141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16,141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U.S. dollar denominated foreign 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Israeli severance funds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139,071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86,166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52,905</w:t>
            </w:r>
          </w:p>
        </w:tc>
        <w:tc>
          <w:tcPr>
            <w:tcW w:w="0" w:type="dxa"/>
            <w:vAlign w:val="bottom"/>
          </w:tcPr>
          <w:p>
            <w:pPr>
              <w:spacing w:after="0"/>
              <w:rPr>
                <w:sz w:val="1"/>
                <w:szCs w:val="1"/>
                <w:color w:val="auto"/>
              </w:rPr>
            </w:pPr>
          </w:p>
        </w:tc>
      </w:tr>
      <w:tr>
        <w:trPr>
          <w:trHeight w:val="27"/>
        </w:trPr>
        <w:tc>
          <w:tcPr>
            <w:tcW w:w="6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3. Balance Sheet Components</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0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6020" w:type="dxa"/>
            <w:vAlign w:val="bottom"/>
            <w:gridSpan w:val="2"/>
          </w:tcPr>
          <w:p>
            <w:pPr>
              <w:ind w:left="400"/>
              <w:spacing w:after="0"/>
              <w:rPr>
                <w:sz w:val="20"/>
                <w:szCs w:val="20"/>
                <w:color w:val="auto"/>
              </w:rPr>
            </w:pPr>
            <w:r>
              <w:rPr>
                <w:rFonts w:ascii="Arial" w:cs="Arial" w:eastAsia="Arial" w:hAnsi="Arial"/>
                <w:sz w:val="18"/>
                <w:szCs w:val="18"/>
                <w:b w:val="1"/>
                <w:bCs w:val="1"/>
                <w:i w:val="1"/>
                <w:iCs w:val="1"/>
                <w:color w:val="auto"/>
              </w:rPr>
              <w:t>Inventories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6020" w:type="dxa"/>
            <w:vAlign w:val="bottom"/>
            <w:gridSpan w:val="2"/>
          </w:tcPr>
          <w:p>
            <w:pPr>
              <w:ind w:left="400"/>
              <w:spacing w:after="0"/>
              <w:rPr>
                <w:sz w:val="20"/>
                <w:szCs w:val="20"/>
                <w:color w:val="auto"/>
              </w:rPr>
            </w:pPr>
            <w:r>
              <w:rPr>
                <w:rFonts w:ascii="Arial" w:cs="Arial" w:eastAsia="Arial" w:hAnsi="Arial"/>
                <w:sz w:val="18"/>
                <w:szCs w:val="18"/>
                <w:color w:val="auto"/>
              </w:rPr>
              <w:t>Inventories are comprised of (in thousands):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ind w:left="1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53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w w:val="88"/>
              </w:rPr>
              <w:t>6,779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7,629</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ind w:left="840"/>
              <w:spacing w:after="0"/>
              <w:rPr>
                <w:sz w:val="20"/>
                <w:szCs w:val="20"/>
                <w:color w:val="auto"/>
              </w:rPr>
            </w:pPr>
            <w:r>
              <w:rPr>
                <w:rFonts w:ascii="Arial" w:cs="Arial" w:eastAsia="Arial" w:hAnsi="Arial"/>
                <w:sz w:val="18"/>
                <w:szCs w:val="18"/>
                <w:color w:val="auto"/>
                <w:w w:val="88"/>
              </w:rPr>
              <w:t>3,474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w w:val="88"/>
              </w:rPr>
              <w:t>4,409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Total Inventories</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3"/>
          </w:tcPr>
          <w:p>
            <w:pPr>
              <w:ind w:left="760"/>
              <w:spacing w:after="0"/>
              <w:rPr>
                <w:sz w:val="20"/>
                <w:szCs w:val="20"/>
                <w:color w:val="auto"/>
              </w:rPr>
            </w:pPr>
            <w:r>
              <w:rPr>
                <w:rFonts w:ascii="Arial" w:cs="Arial" w:eastAsia="Arial" w:hAnsi="Arial"/>
                <w:sz w:val="18"/>
                <w:szCs w:val="18"/>
                <w:color w:val="auto"/>
                <w:w w:val="87"/>
              </w:rPr>
              <w:t>14,662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15,122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Work in process includes costs to produce our clear aligner and intra-oral products. Finished goods primarily represent our intra-oral scanners and ancillary products that support our clear aligner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rebates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9,383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8,333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tax and value added tax</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and marketing expenses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4,088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accounts payable</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3,915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2,866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income taxes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572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7,115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73,714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74,247</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Warranty</w:t>
      </w:r>
    </w:p>
    <w:p>
      <w:pPr>
        <w:spacing w:after="0" w:line="158" w:lineRule="exact"/>
        <w:rPr>
          <w:sz w:val="20"/>
          <w:szCs w:val="20"/>
          <w:color w:val="auto"/>
        </w:rPr>
      </w:pPr>
    </w:p>
    <w:p>
      <w:pPr>
        <w:ind w:right="340" w:firstLine="432"/>
        <w:spacing w:after="0" w:line="342" w:lineRule="auto"/>
        <w:rPr>
          <w:sz w:val="20"/>
          <w:szCs w:val="20"/>
          <w:color w:val="auto"/>
        </w:rPr>
      </w:pPr>
      <w:r>
        <w:rPr>
          <w:rFonts w:ascii="Arial" w:cs="Arial" w:eastAsia="Arial" w:hAnsi="Arial"/>
          <w:sz w:val="16"/>
          <w:szCs w:val="16"/>
          <w:color w:val="auto"/>
        </w:rPr>
        <w:t>We regularly review and update the accrued warranty balances and update these balances based on historical warranty trends. Actual warranty costs incurred have not materially differed from those accrued; however, future actual warranty costs could differ from the estimated amounts.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158"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We warrant our Invisalign products against material defects until the Invisalign case is complete. We accrue for warranty costs in cost of net revenues upon shipment of products. The amount of accrued estimated warranty costs is primarily based on historical experience as to product failures as well as current information on replacement costs.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Scanners</w:t>
      </w:r>
    </w:p>
    <w:p>
      <w:pPr>
        <w:spacing w:after="0" w:line="158"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warrant our scanners for a period of one year from the date of training and installation. We accrue for these warranty costs which includes materials and labor based on estimated historical repair costs. Extended service packages may be purchased for additional fees.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reflects the change in our warranty accrual during the nine months ended September 30, 2013 and 2012 (in thousands):</w:t>
      </w:r>
    </w:p>
    <w:p>
      <w:pPr>
        <w:spacing w:after="0" w:line="3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Charged to cost of net revenues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3,647</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Actual warranty expenditures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(3,057)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4,130</w:t>
            </w:r>
          </w:p>
        </w:tc>
      </w:tr>
      <w:tr>
        <w:trPr>
          <w:trHeight w:val="27"/>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22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On April 30, 2013, we completed the acquisition of ICA Holdings Pty Limited ("ICA") upon the expiration of the distribution agreement between certain subsidiaries of ICA and Align Technology B.V., for a total cash consideration of approximately $8.6 million, of which $7.4 million was attributed to assets acquired, $2.3 million in liabilities assumed and $3.5 million to goodwill. Goodwill as a result of this acquisition represents the excess of the purchase price over the fair value of the underlying net assets acquired and represents the knowledge and experience of the workforce in place. None of this goodwill will be deductible for tax purposes. Under the applicable accounting guidance, goodwill will not be amortized but will be tested for impairment on an annual basis or more frequently if certain indicators are present.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We believe that the transition from our distributor arrangement to a direct sales model as a result of the acquisition of ICA will increase our net revenues in the region as we will experience higher average selling price(s) (“ASP”) as compared to our discounted ASP under the prior distribution agreement.</w:t>
      </w:r>
    </w:p>
    <w:p>
      <w:pPr>
        <w:spacing w:after="0" w:line="124"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Pro forma results of operations for this acquisition have not been presented as it is not material to our results of operations, either individually or in aggregate, for the three and nine months ended September 30, 2013 and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Long-lived Assets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change in the carrying value of goodwill for the nine months ended September 30, 2013 by our reportable segments, which are also our reporting units, is as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Clear Aligner</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SCCS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2012</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99,236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Goodwill from ICA acquisition</w:t>
            </w:r>
          </w:p>
        </w:tc>
        <w:tc>
          <w:tcPr>
            <w:tcW w:w="30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3,509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3,509</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(40,693)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(40,693)</w:t>
            </w:r>
          </w:p>
        </w:tc>
      </w:tr>
      <w:tr>
        <w:trPr>
          <w:trHeight w:val="270"/>
        </w:trPr>
        <w:tc>
          <w:tcPr>
            <w:tcW w:w="57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61,745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61,745</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80" w:hanging="72"/>
        <w:spacing w:after="0"/>
        <w:tabs>
          <w:tab w:leader="none" w:pos="80" w:val="left"/>
        </w:tabs>
        <w:numPr>
          <w:ilvl w:val="0"/>
          <w:numId w:val="3"/>
        </w:numPr>
        <w:rPr>
          <w:rFonts w:ascii="Arial" w:cs="Arial" w:eastAsia="Arial" w:hAnsi="Arial"/>
          <w:sz w:val="9"/>
          <w:szCs w:val="9"/>
          <w:color w:val="auto"/>
        </w:rPr>
      </w:pPr>
      <w:r>
        <w:rPr>
          <w:rFonts w:ascii="Arial" w:cs="Arial" w:eastAsia="Arial" w:hAnsi="Arial"/>
          <w:sz w:val="14"/>
          <w:szCs w:val="14"/>
          <w:color w:val="auto"/>
        </w:rPr>
        <w:t>The adjustments to goodwill during the nine months ended September 30, 2013 were due to foreign currency translation.</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Impairment of Goodwill</w:t>
      </w:r>
    </w:p>
    <w:p>
      <w:pPr>
        <w:spacing w:after="0" w:line="171" w:lineRule="exact"/>
        <w:rPr>
          <w:sz w:val="20"/>
          <w:szCs w:val="20"/>
          <w:color w:val="auto"/>
        </w:rPr>
      </w:pPr>
    </w:p>
    <w:p>
      <w:pPr>
        <w:ind w:right="260" w:firstLine="432"/>
        <w:spacing w:after="0" w:line="273" w:lineRule="auto"/>
        <w:rPr>
          <w:sz w:val="20"/>
          <w:szCs w:val="20"/>
          <w:color w:val="auto"/>
        </w:rPr>
      </w:pPr>
      <w:r>
        <w:rPr>
          <w:rFonts w:ascii="Arial" w:cs="Arial" w:eastAsia="Arial" w:hAnsi="Arial"/>
          <w:sz w:val="17"/>
          <w:szCs w:val="17"/>
          <w:color w:val="auto"/>
        </w:rPr>
        <w:t>We test our goodwill balances for impairment annually on November 30th or more frequently if indicators are present or circumstances change that suggest it is more likely than not that the fair value of the reporting unit is less than the carrying amount. During March 2013, changes in the competitive environment for intra-oral scanners, including announcements from our competitors of new low-priced scanners targeted at orthodontists and general practitioner dentists in North America, that caused us to lower our expectations for growth and profitability for our SCCS reporting unit. As a result, we determined that goodwill for our SCCS reporting unit should be tested for impairment as of March 2013 due to these facts and circumstances which would more likely than not reduce the fair value of our SCCS reporting unit below its carrying amount.</w:t>
      </w:r>
    </w:p>
    <w:p>
      <w:pPr>
        <w:spacing w:after="0" w:line="12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performed a step one analysis for our SCCS reporting unit which consists of a comparison of the fair value of the SCCS reporting unit against its carrying amount, including the goodwill allocated to it. In deriving the fair value of the SCCS reporting unit, we utilized the income approach which is classified as Level 3 within the fair value hierarchy. This approach provides an estimated fair value based on discounted expected future cash flows, which are based on management's estimates of revenue growth rates and operating margins, taking into consideration industry and market conditions. The discount rate used is based on a weighted average cost of capital adjusted for the relevant risk associated with the characteristics of the business and the projected cash flows.</w:t>
      </w:r>
    </w:p>
    <w:p>
      <w:pPr>
        <w:spacing w:after="0" w:line="139"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As a result of our step one analysis, we concluded that the fair value of the SCCS reporting unit was less than its carrying value; therefore, we proceeded to step two of the goodwill impairment analysis. Step two of the goodwill impairment analysis measures the impairment charge by allocating the reporting unit's fair value to all of the assets and liabilities of the reporting unit in a hypothetical analysis that calculates the implied fair value of goodwill in the same manner as if the reporting unit was being acquired in a business combination. This allocation process was performed only for the purposes of measuring the goodwill impairment and not to adjust the carrying values of the recognized tangible assets and liabilities. Any excess of the carrying value of the reporting unit's goodwill over the implied fair value of the reporting unit's goodwill is recorded as an impairment loss. Based on our analysis, there was no implied goodwill for the SCCS reporting unit; therefore, we recorded a goodwill impairment charge of $40.7 million in the three months ended March 31, 2013, which represents the remaining goodwill balance in the SCCS reporting unit. None of the goodwill impairment charge was deductible for tax purposes.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We amortize our intangible assets over their estimated useful lives. We evaluate long-lived assets, which includes property, plant and equipment and intangible assets, for impairment whenever events or changes in circumstances indicate the carrying value of an asset may not be recoverable. The carrying value is not recoverable if it exceeds the undiscounted cash flows resulting from the use of the asset and its eventual disposition. Our estimates of future cash flows attributable to our long-lived assets require significant judgment based on our historical and anticipated results and are subject to many factors. Factors we consider important which could trigger an impairment review include significant negative industry or economic trends, significant loss of customers and changes in the competitive environment of our intra-oral scanning business.</w:t>
      </w:r>
    </w:p>
    <w:p>
      <w:pPr>
        <w:spacing w:after="0" w:line="178"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During March 2013, changes in the competitive environment for intra-oral scanners, including announcements from our competitors of new low-priced scanners targeted at orthodontists and general practitioner dentists in North America, that caused us to lower our expectations for growth and profitability for our SCCS reporting unit. As a result, we determined that the carrying value of the SCCS long-lived assets was not recoverable as compared to the value of the undiscounted cash flows of our revised projections for the asset group. In order to determine the impairment amount of our long-lived assets, we fair valued each key component of our long-lived assets within the asset group, which involved the use of significant estimates and assumptions including replacement costs, revenue growth rates, operating margins, and plant and equipment cost trends. We determined our long-lived asset group within the SCCS reporting unit to be primarily finite-lived intangible assets, plant and equipment. Upon completion of this analysis, we recorded a total impairment charge of $26.3 million of which $19.3 million represented the impairment related to our SCCS intangible assets and $7.0 million related to plant and equipment.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Intangible assets arising either as a direct result from the Cadent acquisition or individually acquired are being amortized as follows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4"/>
                <w:szCs w:val="14"/>
                <w:color w:val="auto"/>
              </w:rPr>
            </w:pPr>
          </w:p>
        </w:tc>
        <w:tc>
          <w:tcPr>
            <w:tcW w:w="1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3"/>
              </w:rPr>
              <w:t>Gross Carrying Amount as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12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Period (in years)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2013</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4"/>
              </w:rPr>
              <w:t>Impairment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1"/>
              </w:rPr>
              <w:t>September 30, 2013</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200" w:type="dxa"/>
            <w:vAlign w:val="bottom"/>
            <w:tcBorders>
              <w:bottom w:val="single" w:sz="8" w:color="CCEEFF"/>
            </w:tcBorders>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7,100</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(1,069)</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200" w:type="dxa"/>
            <w:vAlign w:val="bottom"/>
            <w:gridSpan w:val="2"/>
          </w:tcPr>
          <w:p>
            <w:pPr>
              <w:jc w:val="center"/>
              <w:ind w:left="174"/>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12,600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6,163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00" w:type="dxa"/>
            <w:vAlign w:val="bottom"/>
            <w:tcBorders>
              <w:bottom w:val="single" w:sz="8" w:color="CCEEFF"/>
            </w:tcBorders>
            <w:gridSpan w:val="2"/>
            <w:shd w:val="clear" w:color="auto" w:fill="CCEEFF"/>
          </w:tcPr>
          <w:p>
            <w:pPr>
              <w:jc w:val="center"/>
              <w:ind w:left="194"/>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33,500</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16,092</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Other</w:t>
            </w:r>
          </w:p>
        </w:tc>
        <w:tc>
          <w:tcPr>
            <w:tcW w:w="1200" w:type="dxa"/>
            <w:vAlign w:val="bottom"/>
            <w:gridSpan w:val="2"/>
          </w:tcPr>
          <w:p>
            <w:pPr>
              <w:jc w:val="center"/>
              <w:ind w:left="194"/>
              <w:spacing w:after="0"/>
              <w:rPr>
                <w:sz w:val="20"/>
                <w:szCs w:val="20"/>
                <w:color w:val="auto"/>
              </w:rPr>
            </w:pPr>
            <w:r>
              <w:rPr>
                <w:rFonts w:ascii="Arial" w:cs="Arial" w:eastAsia="Arial" w:hAnsi="Arial"/>
                <w:sz w:val="18"/>
                <w:szCs w:val="18"/>
                <w:color w:val="auto"/>
                <w:w w:val="79"/>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53,485</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(9,865)</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24,362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3840" w:type="dxa"/>
            <w:vAlign w:val="bottom"/>
          </w:tcPr>
          <w:p>
            <w:pPr>
              <w:spacing w:after="0"/>
              <w:rPr>
                <w:sz w:val="24"/>
                <w:szCs w:val="24"/>
                <w:color w:val="auto"/>
              </w:rPr>
            </w:pPr>
          </w:p>
        </w:tc>
        <w:tc>
          <w:tcPr>
            <w:tcW w:w="1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Net Carrying</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Value as of</w:t>
            </w: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Period (in 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3"/>
              </w:rPr>
              <w:t>December 31, 2012</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1"/>
              </w:rPr>
              <w:t>December 31, 2012</w:t>
            </w:r>
          </w:p>
        </w:tc>
        <w:tc>
          <w:tcPr>
            <w:tcW w:w="14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2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7,100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6,205</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12,600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8"/>
                <w:szCs w:val="18"/>
                <w:color w:val="auto"/>
              </w:rPr>
              <w:t>10,958</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33,500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28,498</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Other</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8"/>
                <w:szCs w:val="18"/>
                <w:color w:val="auto"/>
              </w:rPr>
              <w:t>116</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53,325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45,777</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ind w:right="956"/>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total estimated annual future amortization expense for these acquired intangible assets as of September 30, 2013 is as follows (in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Remainder of 2013</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r>
      <w:tr>
        <w:trPr>
          <w:trHeight w:val="243"/>
        </w:trPr>
        <w:tc>
          <w:tcPr>
            <w:tcW w:w="2080" w:type="dxa"/>
            <w:vAlign w:val="bottom"/>
            <w:gridSpan w:val="2"/>
          </w:tcPr>
          <w:p>
            <w:pPr>
              <w:jc w:val="right"/>
              <w:ind w:right="1270"/>
              <w:spacing w:after="0"/>
              <w:rPr>
                <w:sz w:val="20"/>
                <w:szCs w:val="20"/>
                <w:color w:val="auto"/>
              </w:rPr>
            </w:pPr>
            <w:r>
              <w:rPr>
                <w:rFonts w:ascii="Arial" w:cs="Arial" w:eastAsia="Arial" w:hAnsi="Arial"/>
                <w:sz w:val="18"/>
                <w:szCs w:val="18"/>
                <w:color w:val="auto"/>
              </w:rPr>
              <w:t>2014</w:t>
            </w:r>
          </w:p>
        </w:tc>
        <w:tc>
          <w:tcPr>
            <w:tcW w:w="7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2,635</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2015</w:t>
            </w:r>
          </w:p>
        </w:tc>
        <w:tc>
          <w:tcPr>
            <w:tcW w:w="7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w:t>
            </w:r>
          </w:p>
        </w:tc>
      </w:tr>
      <w:tr>
        <w:trPr>
          <w:trHeight w:val="243"/>
        </w:trPr>
        <w:tc>
          <w:tcPr>
            <w:tcW w:w="2080" w:type="dxa"/>
            <w:vAlign w:val="bottom"/>
            <w:gridSpan w:val="2"/>
          </w:tcPr>
          <w:p>
            <w:pPr>
              <w:jc w:val="right"/>
              <w:ind w:right="1270"/>
              <w:spacing w:after="0"/>
              <w:rPr>
                <w:sz w:val="20"/>
                <w:szCs w:val="20"/>
                <w:color w:val="auto"/>
              </w:rPr>
            </w:pPr>
            <w:r>
              <w:rPr>
                <w:rFonts w:ascii="Arial" w:cs="Arial" w:eastAsia="Arial" w:hAnsi="Arial"/>
                <w:sz w:val="18"/>
                <w:szCs w:val="18"/>
                <w:color w:val="auto"/>
              </w:rPr>
              <w:t>2016</w:t>
            </w:r>
          </w:p>
        </w:tc>
        <w:tc>
          <w:tcPr>
            <w:tcW w:w="7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2,629</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2017</w:t>
            </w:r>
          </w:p>
        </w:tc>
        <w:tc>
          <w:tcPr>
            <w:tcW w:w="7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w:t>
            </w:r>
          </w:p>
        </w:tc>
      </w:tr>
      <w:tr>
        <w:trPr>
          <w:trHeight w:val="243"/>
        </w:trPr>
        <w:tc>
          <w:tcPr>
            <w:tcW w:w="40" w:type="dxa"/>
            <w:vAlign w:val="bottom"/>
          </w:tcPr>
          <w:p>
            <w:pPr>
              <w:spacing w:after="0"/>
              <w:rPr>
                <w:sz w:val="21"/>
                <w:szCs w:val="21"/>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13,178</w:t>
            </w: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24,362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Credit Facilities</w:t>
      </w:r>
    </w:p>
    <w:p>
      <w:pPr>
        <w:spacing w:after="0" w:line="16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March 22, 2013, we entered into a credit facility with Wells Fargo Bank. The credit facility provides for a $50.0 million revolving line of credit, with a $10.0 million letter of credit sublimit, and has a maturity date on March 22, 2016. The credit facility also requires us to maintain a minimum unrestricted cash balance of $50.0 million and comply with specific financial conditions and performance requirements. The loans bear interest, at our option, at a fluctuating rate per annum equal to the daily one-month adjusted LIBOR rate plus a spread of 1.75% or an adjusted LIBOR rate (based on one, three, six or twelve-month interest periods) plus a spread of 1.75%. As of September 30, 2013, we had no outstanding borrowings under this credit facility and were in compliance with the conditions and performance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November 28, 2012, plaintiff City of Dearborn Heights Act 345 Police &amp; Fire Retirement System filed a lawsuit against Align, Thomas M. Prescott (“Mr. Prescott”), Align's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names the same defendants, on behalf of a purported class of purchasers of our common stock between January 31, 2012 and October 17, 2012. The amended complaint alleges that Align, Mr. Prescott and Mr. Arola violated Section 10(b) of the Securities Exchange Act of 1934 and Rule 10b-5 promulgated thereunder, and that Mr. Prescott and Mr. Arola violated Section 20(a) of the Securities Exchange Act of 1934. Specifically, the amended complaint alleges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GAAP. The amended complaint seeks monetary damages in an unspecified amount, costs and attorney's fees. Align filed a motion to dismiss the amended complaint on August 22, 2013. The hearing on this motion has been scheduled for November 20, 2013. Align intends to vigorously defend itself against these allegations. Align is currently unable to predict the outcome of this amended complaint and therefore cannot determine the likelihood of loss nor estimate a range of possible loss.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there is an initial ruling on our first motion to dismiss the Securities Action. Align is currently unable to predict the outcome of this complaint and therefore cannot determine the likelihood of loss nor estimate a range of possible losses.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to the foregoing matters,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2013, minimum future lease payments for non-cancelable operating leases are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260" w:type="dxa"/>
            <w:vAlign w:val="bottom"/>
          </w:tcPr>
          <w:p>
            <w:pPr>
              <w:spacing w:after="0"/>
              <w:rPr>
                <w:sz w:val="14"/>
                <w:szCs w:val="14"/>
                <w:color w:val="auto"/>
              </w:rPr>
            </w:pPr>
          </w:p>
        </w:tc>
        <w:tc>
          <w:tcPr>
            <w:tcW w:w="1560" w:type="dxa"/>
            <w:vAlign w:val="bottom"/>
          </w:tcPr>
          <w:p>
            <w:pPr>
              <w:jc w:val="right"/>
              <w:ind w:right="312"/>
              <w:spacing w:after="0"/>
              <w:rPr>
                <w:sz w:val="20"/>
                <w:szCs w:val="20"/>
                <w:color w:val="auto"/>
              </w:rPr>
            </w:pPr>
            <w:r>
              <w:rPr>
                <w:rFonts w:ascii="Arial" w:cs="Arial" w:eastAsia="Arial" w:hAnsi="Arial"/>
                <w:sz w:val="14"/>
                <w:szCs w:val="14"/>
                <w:b w:val="1"/>
                <w:bCs w:val="1"/>
                <w:color w:val="auto"/>
              </w:rPr>
              <w:t>Operating leases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40" w:type="dxa"/>
            <w:vAlign w:val="bottom"/>
            <w:tcBorders>
              <w:top w:val="single" w:sz="8" w:color="auto"/>
              <w:bottom w:val="single" w:sz="8" w:color="CCEEFF"/>
            </w:tcBorders>
          </w:tcPr>
          <w:p>
            <w:pPr>
              <w:spacing w:after="0" w:line="20" w:lineRule="exact"/>
              <w:rPr>
                <w:sz w:val="1"/>
                <w:szCs w:val="1"/>
                <w:color w:val="auto"/>
              </w:rPr>
            </w:pPr>
          </w:p>
        </w:tc>
        <w:tc>
          <w:tcPr>
            <w:tcW w:w="7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9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Remainder of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2,289</w:t>
            </w:r>
          </w:p>
        </w:tc>
      </w:tr>
      <w:tr>
        <w:trPr>
          <w:trHeight w:val="243"/>
        </w:trPr>
        <w:tc>
          <w:tcPr>
            <w:tcW w:w="2080" w:type="dxa"/>
            <w:vAlign w:val="bottom"/>
            <w:gridSpan w:val="2"/>
          </w:tcPr>
          <w:p>
            <w:pPr>
              <w:ind w:left="380"/>
              <w:spacing w:after="0"/>
              <w:rPr>
                <w:sz w:val="20"/>
                <w:szCs w:val="20"/>
                <w:color w:val="auto"/>
              </w:rPr>
            </w:pPr>
            <w:r>
              <w:rPr>
                <w:rFonts w:ascii="Arial" w:cs="Arial" w:eastAsia="Arial" w:hAnsi="Arial"/>
                <w:sz w:val="18"/>
                <w:szCs w:val="18"/>
                <w:color w:val="auto"/>
              </w:rPr>
              <w:t>2014</w:t>
            </w:r>
          </w:p>
        </w:tc>
        <w:tc>
          <w:tcPr>
            <w:tcW w:w="7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8,239</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2015</w:t>
            </w:r>
          </w:p>
        </w:tc>
        <w:tc>
          <w:tcPr>
            <w:tcW w:w="7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7,451</w:t>
            </w:r>
          </w:p>
        </w:tc>
      </w:tr>
      <w:tr>
        <w:trPr>
          <w:trHeight w:val="243"/>
        </w:trPr>
        <w:tc>
          <w:tcPr>
            <w:tcW w:w="2080" w:type="dxa"/>
            <w:vAlign w:val="bottom"/>
            <w:gridSpan w:val="2"/>
          </w:tcPr>
          <w:p>
            <w:pPr>
              <w:ind w:left="380"/>
              <w:spacing w:after="0"/>
              <w:rPr>
                <w:sz w:val="20"/>
                <w:szCs w:val="20"/>
                <w:color w:val="auto"/>
              </w:rPr>
            </w:pPr>
            <w:r>
              <w:rPr>
                <w:rFonts w:ascii="Arial" w:cs="Arial" w:eastAsia="Arial" w:hAnsi="Arial"/>
                <w:sz w:val="18"/>
                <w:szCs w:val="18"/>
                <w:color w:val="auto"/>
              </w:rPr>
              <w:t>2016</w:t>
            </w:r>
          </w:p>
        </w:tc>
        <w:tc>
          <w:tcPr>
            <w:tcW w:w="7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6,870</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7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3,948</w:t>
            </w:r>
          </w:p>
        </w:tc>
      </w:tr>
      <w:tr>
        <w:trPr>
          <w:trHeight w:val="243"/>
        </w:trPr>
        <w:tc>
          <w:tcPr>
            <w:tcW w:w="40" w:type="dxa"/>
            <w:vAlign w:val="bottom"/>
          </w:tcPr>
          <w:p>
            <w:pPr>
              <w:spacing w:after="0"/>
              <w:rPr>
                <w:sz w:val="21"/>
                <w:szCs w:val="21"/>
                <w:color w:val="auto"/>
              </w:rPr>
            </w:pPr>
          </w:p>
        </w:tc>
        <w:tc>
          <w:tcPr>
            <w:tcW w:w="9560" w:type="dxa"/>
            <w:vAlign w:val="bottom"/>
            <w:gridSpan w:val="2"/>
          </w:tcPr>
          <w:p>
            <w:pPr>
              <w:ind w:left="3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1,755</w:t>
            </w: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minimum future lease payments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30,552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120" w:firstLine="243"/>
        <w:spacing w:after="0" w:line="277" w:lineRule="auto"/>
        <w:rPr>
          <w:sz w:val="20"/>
          <w:szCs w:val="20"/>
          <w:color w:val="auto"/>
        </w:rPr>
      </w:pPr>
      <w:r>
        <w:rPr>
          <w:rFonts w:ascii="Arial" w:cs="Arial" w:eastAsia="Arial" w:hAnsi="Arial"/>
          <w:sz w:val="18"/>
          <w:szCs w:val="18"/>
          <w:color w:val="auto"/>
        </w:rPr>
        <w:t>As of September 30, 2013, we had no off-balance sheet arrangements that have, or are reasonably likely to have, a current or future material effect on our consolidated financial condition, results of operations, liquidity, capital expenditures or capital resources.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2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19"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September 30, 2013,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Summary of stock-based compensation expense</w:t>
      </w:r>
    </w:p>
    <w:p>
      <w:pPr>
        <w:spacing w:after="0" w:line="158"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On May 16, 2013, the Stockholders approved an increase of 7,000,000 shares to the 2005 Incentive Plan (as amended) for a total reserve of 23,283,379 shares for issuance, plus up to an aggregate of 5,000,000 shares that would have been returned to our 2001 Stock Incentive Plan as a result of termination of options on or after March 28, 2005.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Stock-based compensation expense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expense related to all of our stock-based awards and employee stock purchases for the three and nine months ended September 30, 2013 and 2012 is as follows (in thousands):</w:t>
      </w:r>
    </w:p>
    <w:p>
      <w:pPr>
        <w:sectPr>
          <w:pgSz w:w="11900" w:h="16838" w:orient="portrait"/>
          <w:cols w:equalWidth="0" w:num="1">
            <w:col w:w="11420"/>
          </w:cols>
          <w:pgMar w:left="240" w:top="125" w:right="239" w:bottom="1440" w:gutter="0" w:footer="0" w:header="0"/>
        </w:sectPr>
      </w:pPr>
    </w:p>
    <w:p>
      <w:pPr>
        <w:spacing w:after="0" w:line="314" w:lineRule="exact"/>
        <w:rPr>
          <w:sz w:val="20"/>
          <w:szCs w:val="20"/>
          <w:color w:val="auto"/>
        </w:rPr>
      </w:pPr>
    </w:p>
    <w:p>
      <w:pPr>
        <w:jc w:val="center"/>
        <w:ind w:left="774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13335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87" w:lineRule="exact"/>
        <w:rPr>
          <w:sz w:val="20"/>
          <w:szCs w:val="20"/>
          <w:color w:val="auto"/>
        </w:rPr>
      </w:pPr>
    </w:p>
    <w:p>
      <w:pPr>
        <w:ind w:left="7740"/>
        <w:spacing w:after="0"/>
        <w:tabs>
          <w:tab w:leader="none" w:pos="8760" w:val="left"/>
        </w:tabs>
        <w:rPr>
          <w:sz w:val="20"/>
          <w:szCs w:val="20"/>
          <w:color w:val="auto"/>
        </w:rPr>
      </w:pPr>
      <w:r>
        <w:rPr>
          <w:rFonts w:ascii="Arial" w:cs="Arial" w:eastAsia="Arial" w:hAnsi="Arial"/>
          <w:sz w:val="12"/>
          <w:szCs w:val="12"/>
          <w:b w:val="1"/>
          <w:bCs w:val="1"/>
          <w:color w:val="auto"/>
        </w:rPr>
        <w:t>2013</w:t>
      </w:r>
      <w:r>
        <w:rPr>
          <w:sz w:val="20"/>
          <w:szCs w:val="20"/>
          <w:color w:val="auto"/>
        </w:rPr>
        <w:tab/>
      </w:r>
      <w:r>
        <w:rPr>
          <w:rFonts w:ascii="Arial" w:cs="Arial" w:eastAsia="Arial" w:hAnsi="Arial"/>
          <w:sz w:val="12"/>
          <w:szCs w:val="12"/>
          <w:b w:val="1"/>
          <w:bCs w:val="1"/>
          <w:color w:val="auto"/>
        </w:rPr>
        <w:t>2012</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center"/>
        <w:ind w:right="300"/>
        <w:spacing w:after="0"/>
        <w:rPr>
          <w:sz w:val="20"/>
          <w:szCs w:val="20"/>
          <w:color w:val="auto"/>
        </w:rPr>
      </w:pPr>
      <w:r>
        <w:rPr>
          <w:rFonts w:ascii="Arial" w:cs="Arial" w:eastAsia="Arial" w:hAnsi="Arial"/>
          <w:sz w:val="13"/>
          <w:szCs w:val="13"/>
          <w:b w:val="1"/>
          <w:bCs w:val="1"/>
          <w:color w:val="auto"/>
        </w:rPr>
        <w:t>Nine Months Ended</w:t>
      </w:r>
    </w:p>
    <w:p>
      <w:pPr>
        <w:spacing w:after="0" w:line="15"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13335</wp:posOffset>
            </wp:positionV>
            <wp:extent cx="12179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87"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2013</w:t>
      </w:r>
      <w:r>
        <w:rPr>
          <w:sz w:val="20"/>
          <w:szCs w:val="20"/>
          <w:color w:val="auto"/>
        </w:rPr>
        <w:tab/>
      </w:r>
      <w:r>
        <w:rPr>
          <w:rFonts w:ascii="Arial" w:cs="Arial" w:eastAsia="Arial" w:hAnsi="Arial"/>
          <w:sz w:val="12"/>
          <w:szCs w:val="12"/>
          <w:b w:val="1"/>
          <w:bCs w:val="1"/>
          <w:color w:val="auto"/>
        </w:rPr>
        <w:t>2012</w:t>
      </w:r>
    </w:p>
    <w:p>
      <w:pPr>
        <w:spacing w:after="0" w:line="48" w:lineRule="exact"/>
        <w:rPr>
          <w:sz w:val="20"/>
          <w:szCs w:val="20"/>
          <w:color w:val="auto"/>
        </w:rPr>
      </w:pPr>
    </w:p>
    <w:p>
      <w:pPr>
        <w:sectPr>
          <w:pgSz w:w="11900" w:h="16838" w:orient="portrait"/>
          <w:cols w:equalWidth="0" w:num="2">
            <w:col w:w="9060" w:space="720"/>
            <w:col w:w="16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1,881</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1,365</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5,238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4,066</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7,579</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2,494</w:t>
            </w:r>
          </w:p>
        </w:tc>
      </w:tr>
      <w:tr>
        <w:trPr>
          <w:trHeight w:val="27"/>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15,504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Options</w:t>
      </w:r>
    </w:p>
    <w:p>
      <w:pPr>
        <w:spacing w:after="0" w:line="15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Activity for the nine month period ended September 30, 2013 under the stock option plans is set forth below (in thousands, except years and per share amounts):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Stock Options</w:t>
            </w:r>
          </w:p>
        </w:tc>
        <w:tc>
          <w:tcPr>
            <w:tcW w:w="220" w:type="dxa"/>
            <w:vAlign w:val="bottom"/>
          </w:tcPr>
          <w:p>
            <w:pPr>
              <w:spacing w:after="0"/>
              <w:rPr>
                <w:sz w:val="14"/>
                <w:szCs w:val="14"/>
                <w:color w:val="auto"/>
              </w:rPr>
            </w:pPr>
          </w:p>
        </w:tc>
        <w:tc>
          <w:tcPr>
            <w:tcW w:w="14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Weighted</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vMerge w:val="restart"/>
          </w:tcPr>
          <w:p>
            <w:pPr>
              <w:jc w:val="center"/>
              <w:ind w:right="21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000" w:type="dxa"/>
            <w:vAlign w:val="bottom"/>
          </w:tcPr>
          <w:p>
            <w:pPr>
              <w:jc w:val="center"/>
              <w:ind w:left="508"/>
              <w:spacing w:after="0" w:line="149" w:lineRule="exact"/>
              <w:rPr>
                <w:sz w:val="20"/>
                <w:szCs w:val="20"/>
                <w:color w:val="auto"/>
              </w:rPr>
            </w:pPr>
            <w:r>
              <w:rPr>
                <w:rFonts w:ascii="Arial" w:cs="Arial" w:eastAsia="Arial" w:hAnsi="Arial"/>
                <w:sz w:val="14"/>
                <w:szCs w:val="14"/>
                <w:b w:val="1"/>
                <w:bCs w:val="1"/>
                <w:color w:val="auto"/>
                <w:w w:val="89"/>
              </w:rPr>
              <w:t>Shares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300" w:type="dxa"/>
            <w:vAlign w:val="bottom"/>
          </w:tcPr>
          <w:p>
            <w:pPr>
              <w:spacing w:after="0"/>
              <w:rPr>
                <w:sz w:val="12"/>
                <w:szCs w:val="12"/>
                <w:color w:val="auto"/>
              </w:rPr>
            </w:pPr>
          </w:p>
        </w:tc>
        <w:tc>
          <w:tcPr>
            <w:tcW w:w="12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Stock Options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Price per Share</w:t>
            </w:r>
          </w:p>
        </w:tc>
        <w:tc>
          <w:tcPr>
            <w:tcW w:w="1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 )</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2012</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3,276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ind w:left="380"/>
              <w:spacing w:after="0"/>
              <w:rPr>
                <w:sz w:val="20"/>
                <w:szCs w:val="20"/>
                <w:color w:val="auto"/>
              </w:rPr>
            </w:pPr>
            <w:r>
              <w:rPr>
                <w:rFonts w:ascii="Arial" w:cs="Arial" w:eastAsia="Arial" w:hAnsi="Arial"/>
                <w:sz w:val="18"/>
                <w:szCs w:val="18"/>
                <w:color w:val="auto"/>
              </w:rPr>
              <w:t>Cancelled or expired</w:t>
            </w: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September 30, 2013</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1,767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15.53</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57,550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Vested and expected to vest at September 30, 2013</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1,760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20"/>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57,368</w:t>
            </w:r>
          </w:p>
        </w:tc>
        <w:tc>
          <w:tcPr>
            <w:tcW w:w="0" w:type="dxa"/>
            <w:vAlign w:val="bottom"/>
          </w:tcPr>
          <w:p>
            <w:pPr>
              <w:spacing w:after="0"/>
              <w:rPr>
                <w:sz w:val="1"/>
                <w:szCs w:val="1"/>
                <w:color w:val="auto"/>
              </w:rPr>
            </w:pPr>
          </w:p>
        </w:tc>
      </w:tr>
      <w:tr>
        <w:trPr>
          <w:trHeight w:val="67"/>
        </w:trPr>
        <w:tc>
          <w:tcPr>
            <w:tcW w:w="466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September 30, 2013</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1,561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51,635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were no stock options granted during the three and nine months ended September 30, 2013 and 2012.</w:t>
      </w:r>
    </w:p>
    <w:p>
      <w:pPr>
        <w:spacing w:after="0" w:line="225"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As of September 30, 2013, the total unamortized compensation cost related to stock options, net of estimated forfeitures, is $2.1 million, which we expect to recognize over a weighted average period of 1.0 year.</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Restricted Stock Units (“RSU”)</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RSU activity for the nine months ended September 30, 2013 is as follows (in thousands, except years):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94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 of Shares</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 Remaining</w:t>
            </w:r>
          </w:p>
        </w:tc>
        <w:tc>
          <w:tcPr>
            <w:tcW w:w="280" w:type="dxa"/>
            <w:vAlign w:val="bottom"/>
          </w:tcPr>
          <w:p>
            <w:pPr>
              <w:spacing w:after="0"/>
              <w:rPr>
                <w:sz w:val="14"/>
                <w:szCs w:val="14"/>
                <w:color w:val="auto"/>
              </w:rPr>
            </w:pPr>
          </w:p>
        </w:tc>
        <w:tc>
          <w:tcPr>
            <w:tcW w:w="1540" w:type="dxa"/>
            <w:vAlign w:val="bottom"/>
          </w:tcPr>
          <w:p>
            <w:pPr>
              <w:jc w:val="center"/>
              <w:ind w:right="202"/>
              <w:spacing w:after="0"/>
              <w:rPr>
                <w:sz w:val="20"/>
                <w:szCs w:val="20"/>
                <w:color w:val="auto"/>
              </w:rPr>
            </w:pPr>
            <w:r>
              <w:rPr>
                <w:rFonts w:ascii="Arial" w:cs="Arial" w:eastAsia="Arial" w:hAnsi="Arial"/>
                <w:sz w:val="14"/>
                <w:szCs w:val="14"/>
                <w:b w:val="1"/>
                <w:bCs w:val="1"/>
                <w:color w:val="auto"/>
                <w:w w:val="89"/>
              </w:rPr>
              <w:t>Aggregate</w:t>
            </w:r>
          </w:p>
        </w:tc>
      </w:tr>
      <w:tr>
        <w:trPr>
          <w:trHeight w:val="192"/>
        </w:trPr>
        <w:tc>
          <w:tcPr>
            <w:tcW w:w="5720" w:type="dxa"/>
            <w:vAlign w:val="bottom"/>
          </w:tcPr>
          <w:p>
            <w:pPr>
              <w:spacing w:after="0"/>
              <w:rPr>
                <w:sz w:val="16"/>
                <w:szCs w:val="16"/>
                <w:color w:val="auto"/>
              </w:rPr>
            </w:pPr>
          </w:p>
        </w:tc>
        <w:tc>
          <w:tcPr>
            <w:tcW w:w="18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Underlying RSU</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Vesting Period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3"/>
              </w:rPr>
              <w:t>Intrinsic Value</w:t>
            </w:r>
          </w:p>
        </w:tc>
      </w:tr>
      <w:tr>
        <w:trPr>
          <w:trHeight w:val="250"/>
        </w:trPr>
        <w:tc>
          <w:tcPr>
            <w:tcW w:w="57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2012</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5"/>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September 30, 2013</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96,335</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As of September 30, 2013, the total unamortized compensation cost related to RSU, net of estimated forfeitures, was $44.3 million, which we expect to recognize over a weighted average period of 2.7 years.</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On February 20, 2013 and 2012, we granted market-performance based restricted stock units (“MSU”) to our executive officers. Each MSU represents the right to one share of Align’s common stock and will be issued through our amended 2005 Incentive Plan. The actual number of MSU which will be eligible to vest will be based on the performance of Align’s stock price relative to the performance of the NASDAQ Composite Index over the vesting period, generally two to three years, up to 150% of the MSU initially granted.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MSU activity for the nine months ended September 30, 2013 (in thousands, except years):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80" w:type="dxa"/>
            <w:vAlign w:val="bottom"/>
          </w:tcPr>
          <w:p>
            <w:pPr>
              <w:spacing w:after="0"/>
              <w:rPr>
                <w:sz w:val="14"/>
                <w:szCs w:val="14"/>
                <w:color w:val="auto"/>
              </w:rPr>
            </w:pPr>
          </w:p>
        </w:tc>
        <w:tc>
          <w:tcPr>
            <w:tcW w:w="1540" w:type="dxa"/>
            <w:vAlign w:val="bottom"/>
            <w:vMerge w:val="restart"/>
          </w:tcPr>
          <w:p>
            <w:pPr>
              <w:jc w:val="center"/>
              <w:ind w:right="20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4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6"/>
              </w:rPr>
              <w:t>Underlying MSU</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Vesting Period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64"/>
        </w:trPr>
        <w:tc>
          <w:tcPr>
            <w:tcW w:w="57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 )</w:t>
            </w:r>
          </w:p>
        </w:tc>
        <w:tc>
          <w:tcPr>
            <w:tcW w:w="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2012</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225</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(43)</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September 30, 2013</w:t>
            </w:r>
          </w:p>
        </w:tc>
        <w:tc>
          <w:tcPr>
            <w:tcW w:w="1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352</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16,950</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As of September 30, 2013, the total unamortized compensation costs related to the MSU, net of estimated forfeitures, was $6.8 million, which we expect to recognize over a weighted average period of 1.8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5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May 2010, our stockholders approved the 2010 Employee Stock Purchase Plan which will continue until terminated by either the Board of Directors or its administrator. The maximum number of shares available for purchase under the 2010 Purchase Plan is 2,400,000 shares. As of September 30, 2013, there remains 1,611,170 shares available for purchase under the 2010 Purchase Plan.</w:t>
      </w:r>
    </w:p>
    <w:p>
      <w:pPr>
        <w:spacing w:after="0" w:line="18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fair value of the option component of the Purchase Plan shares was estimated at the grant date using the Black-Scholes option pricing model with the following weighted average assumptions: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2400" w:type="dxa"/>
            <w:vAlign w:val="bottom"/>
            <w:gridSpan w:val="6"/>
          </w:tcPr>
          <w:p>
            <w:pPr>
              <w:ind w:left="40"/>
              <w:spacing w:after="0"/>
              <w:rPr>
                <w:sz w:val="20"/>
                <w:szCs w:val="20"/>
                <w:color w:val="auto"/>
              </w:rPr>
            </w:pPr>
            <w:r>
              <w:rPr>
                <w:rFonts w:ascii="Arial" w:cs="Arial" w:eastAsia="Arial" w:hAnsi="Arial"/>
                <w:sz w:val="14"/>
                <w:szCs w:val="14"/>
                <w:b w:val="1"/>
                <w:bCs w:val="1"/>
                <w:color w:val="auto"/>
                <w:w w:val="98"/>
              </w:rPr>
              <w:t>Three Months Ended September 30,</w:t>
            </w:r>
          </w:p>
        </w:tc>
        <w:tc>
          <w:tcPr>
            <w:tcW w:w="230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4"/>
        </w:trPr>
        <w:tc>
          <w:tcPr>
            <w:tcW w:w="67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2012</w:t>
            </w: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Purchase Plan:</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26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1.2</w:t>
            </w: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Weighted average fair value at grant date</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11.10</w:t>
            </w:r>
          </w:p>
        </w:tc>
      </w:tr>
    </w:tbl>
    <w:p>
      <w:pPr>
        <w:spacing w:after="0" w:line="229"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As of September 30, 2013, the total unamortized compensation cost related to employee purchases we expect to recognize was $1.8 million over a weighted average period of 0.9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Common Stock Repurchase Program</w:t>
      </w:r>
    </w:p>
    <w:p>
      <w:pPr>
        <w:spacing w:after="0" w:line="229" w:lineRule="exact"/>
        <w:rPr>
          <w:sz w:val="20"/>
          <w:szCs w:val="20"/>
          <w:color w:val="auto"/>
        </w:rPr>
      </w:pPr>
    </w:p>
    <w:p>
      <w:pPr>
        <w:ind w:right="260" w:firstLine="432"/>
        <w:spacing w:after="0" w:line="273" w:lineRule="auto"/>
        <w:rPr>
          <w:sz w:val="20"/>
          <w:szCs w:val="20"/>
          <w:color w:val="auto"/>
        </w:rPr>
      </w:pPr>
      <w:r>
        <w:rPr>
          <w:rFonts w:ascii="Arial" w:cs="Arial" w:eastAsia="Arial" w:hAnsi="Arial"/>
          <w:sz w:val="17"/>
          <w:szCs w:val="17"/>
          <w:color w:val="auto"/>
        </w:rPr>
        <w:t>On October 27, 2011, we announced that our Board of Directors approved a stock repurchase program pursuant to which we may repurchase up to $150.0 million of common stock. Purchases under the stock repurchase program were made from time to time in the open market. During the nine months ended September 30, 2013, we repurchased approximately 2.7 million shares of our common stock at an average price of $34.95 per share, including commissions, for an aggregate purchase price of approximately $95.1 million. All repurchased shares were retired. The common stock retirements reduced additional paid-in capital by approximately $24.5 million and increased accumulated deficit by $70.6 million. No shares are available for repurchase as we completed the repurchases under this program as of September 30, 2013.</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Accounting for Income Taxes</w:t>
      </w:r>
    </w:p>
    <w:p>
      <w:pPr>
        <w:spacing w:after="0" w:line="229"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Our provision for income taxes was $7.4 million and $4.5 million for the three months ended September 30, 2013 and 2012, respectively. This represents effective tax rates of 17.6% and 108.3%, respectively. The increase in provision for income taxes was primarily due to higher pre-tax income, which was partially offset by a $1.3 million discrete benefit related to the filing of our 2012 U.S. tax return as well as a jurisdictional shift in forecasted earnings from the U.S. to lower-tax non-U.S. jurisdictions. The effective tax rate for the three months ended September 30, 2012 reflects a non-deductible goodwill impairment charge of $24.7 million.</w:t>
      </w:r>
    </w:p>
    <w:p>
      <w:pPr>
        <w:spacing w:after="0" w:line="188"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Our provision for income taxes was $18.5 million and $18.8 million for the nine months ended September 30, 2013 and 2012, respectively. This represents effective tax rates of 45.9% and 27.6%, respectively. The decrease in provision for income taxes was primarily due to a jurisdictional shift in forecasted earnings from the U.S. to lower-tax non-U.S. jurisdictions and a $1.3 million discrete benefit related to the filing of our 2012 U.S. tax return, partially offset by a $5.8 million tax expense related to the impairment of goodwill and long-lived assets. The $5.8 million, which was recorded as a discrete item during the three months ended March 31, 2013, was comprised of a $9.7 million tax expense due to a non-deductible goodwill impairment charge offset by a $3.9 million tax benefit associated with the impairment of long-lived assets. The effective tax rate for the nine months ended September 30, 2013 reflects a non-deductible goodwill impairment charge of $40.7 million recorded during the three months ended March 31, 2013.</w:t>
      </w:r>
    </w:p>
    <w:p>
      <w:pPr>
        <w:spacing w:after="0" w:line="17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January 2, 2013, the American Taxpayer Relief Act of 2012 (H.R. 8, as amended) was signed into law. This Act extends the federal research and development credit through December 31, 2013. The federal research and development credit was reinstated retroactively to January 1, 2012. The tax benefit of the federal research and development credit for the twelve months ended December 31, 2012 resulted in a discrete tax benefit of $0.5 million in the first quarter of fiscal year 2013, the period in which the reinstatement was enacted into law.</w:t>
      </w:r>
    </w:p>
    <w:p>
      <w:pPr>
        <w:spacing w:after="0" w:line="18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As of September 30, 2013, we maintained a valuation allowance of $30.3 million against deferred tax assets primarily related to foreign net operating loss carryforwards and capital loss carryforwards. These net operating and capital loss carryforwards would result in an income tax benefit if we were to conclude it is more likely than not that the related deferred tax assets will be realized.</w:t>
      </w:r>
    </w:p>
    <w:p>
      <w:pPr>
        <w:spacing w:after="0" w:line="18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During the three months ended September 30, 2013, the change in our gross unrecognized tax benefits was not material. The total amount of gross unrecognized tax benefits was $23.7 million as of September 30, 2013, all of which would impact our effective tax rate if recognized. We have elected to recognize interest and penalties related to unrecognized tax benefits as a component of income taxes. The change in accrued interest and penalties during the three months ended September 30, 2013, was not material. We do not expect any significant changes to the amount of unrecognized tax benefit within the next twelve months.</w:t>
      </w:r>
    </w:p>
    <w:p>
      <w:pPr>
        <w:spacing w:after="0" w:line="188"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are subject to taxation in the U.S., and various states and foreign jurisdictions. All of our tax years will be open to examination by the U.S. federal and most state tax authorities due to our net operating loss and overall credit carryforward position. With few exceptions, we are no longer subject to examination by foreign tax authorities for years before 2006. Our subsidiaries in Israel and Germany are under audit by the local tax authorities for calendar years 2006 through 2011 and 2007 through 2011, respectively.</w:t>
      </w:r>
    </w:p>
    <w:p>
      <w:pPr>
        <w:spacing w:after="0" w:line="18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In June 2009, the Costa Rica Ministry of Foreign Trade, an agency of the Government of Costa Rica, granted a twelve year extension of various income tax incentives, which had been previously granted to us in 2002. The incentive tax rates will expire in various years beginning in 2017. Under these incentives, all of the income we earn in Costa Rica during the twelve year incentive period is exempt from Costa Rica income tax. In order to receive the benefit of these incentives, we must hire specified numbers of employees and maintain certain minimum levels of fixed asset investments in Costa Rica. If we do not fulfill these conditions for any reason, our incentive could lapse, and our income in Costa Rica would be subject to taxation at higher rates. The Costa Rica Corporate income tax rate that would apply, absent the incentives, is 30% for 2013. As a result of these incentives, the provision for income taxes were reduced by $18.0 million and $17.0 million for the nine months ended September 30, 2013 and 2012, respectively, representing a benefit to diluted net income per share of $0.22 and $0.20 in 2013 and 2012, respectively. For the three months ended September 30, 2013 and 2012, the provision for income taxes was reduced by $6.1 million and $6.9 million, respectively, representing a benefit to diluted net income per share of $0.08 and $0.08, respectively.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Income (Loss) Per Share</w:t>
      </w:r>
    </w:p>
    <w:p>
      <w:pPr>
        <w:spacing w:after="0" w:line="229"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Basic net income (loss) per share is computed using the weighted average number of shares of common stock outstanding during the period. Diluted net income per share is computed using the weighted average number of shares of common stock, adjusted for the dilutive effect of potential common stock. Potential common stock, computed using the treasury stock method, includes stock options, RSU, MSU and ESPP.</w:t>
      </w:r>
    </w:p>
    <w:p>
      <w:pPr>
        <w:spacing w:after="0" w:line="16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 (in thousands, except per share amounts):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80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8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34,537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21,874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49,132</w:t>
            </w:r>
          </w:p>
        </w:tc>
        <w:tc>
          <w:tcPr>
            <w:tcW w:w="0" w:type="dxa"/>
            <w:vAlign w:val="bottom"/>
          </w:tcPr>
          <w:p>
            <w:pPr>
              <w:spacing w:after="0"/>
              <w:rPr>
                <w:sz w:val="1"/>
                <w:szCs w:val="1"/>
                <w:color w:val="auto"/>
              </w:rPr>
            </w:pPr>
          </w:p>
        </w:tc>
      </w:tr>
      <w:tr>
        <w:trPr>
          <w:trHeight w:val="67"/>
        </w:trPr>
        <w:tc>
          <w:tcPr>
            <w:tcW w:w="72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2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 basic</w:t>
            </w:r>
          </w:p>
        </w:tc>
        <w:tc>
          <w:tcPr>
            <w:tcW w:w="20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79,967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81,437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80,592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80,356</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potential 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1,881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37"/>
        </w:trPr>
        <w:tc>
          <w:tcPr>
            <w:tcW w:w="7280" w:type="dxa"/>
            <w:vAlign w:val="bottom"/>
          </w:tcPr>
          <w:p>
            <w:pPr>
              <w:ind w:left="720"/>
              <w:spacing w:after="0"/>
              <w:rPr>
                <w:sz w:val="20"/>
                <w:szCs w:val="20"/>
                <w:color w:val="auto"/>
              </w:rPr>
            </w:pPr>
            <w:r>
              <w:rPr>
                <w:rFonts w:ascii="Arial" w:cs="Arial" w:eastAsia="Arial" w:hAnsi="Arial"/>
                <w:sz w:val="18"/>
                <w:szCs w:val="18"/>
                <w:color w:val="auto"/>
              </w:rPr>
              <w:t>Total shares, diluted</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81,848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81,437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82,549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83,016</w:t>
            </w:r>
          </w:p>
        </w:tc>
        <w:tc>
          <w:tcPr>
            <w:tcW w:w="0" w:type="dxa"/>
            <w:vAlign w:val="bottom"/>
          </w:tcPr>
          <w:p>
            <w:pPr>
              <w:spacing w:after="0"/>
              <w:rPr>
                <w:sz w:val="1"/>
                <w:szCs w:val="1"/>
                <w:color w:val="auto"/>
              </w:rPr>
            </w:pPr>
          </w:p>
        </w:tc>
      </w:tr>
      <w:tr>
        <w:trPr>
          <w:trHeight w:val="67"/>
        </w:trPr>
        <w:tc>
          <w:tcPr>
            <w:tcW w:w="72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280" w:type="dxa"/>
            <w:vAlign w:val="bottom"/>
            <w:tcBorders>
              <w:bottom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Net income (loss) per share, 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rPr>
              <w:t>Net income (loss) per share,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8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and nine months ended September 30, 2013, the anti-dilutive affect from RSU were not material.</w:t>
      </w:r>
    </w:p>
    <w:p>
      <w:pPr>
        <w:spacing w:after="0" w:line="22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For the three months ended September 30, 2012 , stock options, RSU, MSU and ESPP totaling 2.5 million of potentially dilutive shares have been excluded from the total diluted shares because there was a net loss during the period.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and nine months ended September 30, 2012, the anti-dilutive affect from stock options and RSU were not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Segments and Geographical Information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and gross profit.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grouped our operations into two reportable segments which are also our reporting units: Clear Aligner segment and SCCS segment.</w:t>
      </w:r>
    </w:p>
    <w:p>
      <w:pPr>
        <w:spacing w:after="0" w:line="237" w:lineRule="exact"/>
        <w:rPr>
          <w:sz w:val="20"/>
          <w:szCs w:val="20"/>
          <w:color w:val="auto"/>
        </w:rPr>
      </w:pPr>
    </w:p>
    <w:p>
      <w:pPr>
        <w:ind w:left="980" w:right="140" w:hanging="48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Express/Lite, Teen, Assist, Vivera retainers, along with our training and ancillary products for treating malocclusion.</w:t>
      </w:r>
    </w:p>
    <w:p>
      <w:pPr>
        <w:spacing w:after="0" w:line="116" w:lineRule="exact"/>
        <w:rPr>
          <w:rFonts w:ascii="Arial" w:cs="Arial" w:eastAsia="Arial" w:hAnsi="Arial"/>
          <w:sz w:val="18"/>
          <w:szCs w:val="18"/>
          <w:color w:val="auto"/>
        </w:rPr>
      </w:pPr>
    </w:p>
    <w:p>
      <w:pPr>
        <w:ind w:left="980" w:right="380" w:hanging="48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SCCS segment consists of intra-oral scanning systems and additional services available with the intra-oral scanners that provide digital alternatives to the traditional cast models. This segment includes our iTero scanner and OrthoCAD services.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These reportable operating segments are based on how our CODM views and evaluates our operations as well as allocation of resources (in thousands):</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740" w:type="dxa"/>
            <w:vAlign w:val="bottom"/>
            <w:gridSpan w:val="7"/>
          </w:tcPr>
          <w:p>
            <w:pPr>
              <w:ind w:left="80"/>
              <w:spacing w:after="0"/>
              <w:rPr>
                <w:sz w:val="20"/>
                <w:szCs w:val="20"/>
                <w:color w:val="auto"/>
              </w:rPr>
            </w:pPr>
            <w:r>
              <w:rPr>
                <w:rFonts w:ascii="Arial" w:cs="Arial" w:eastAsia="Arial" w:hAnsi="Arial"/>
                <w:sz w:val="14"/>
                <w:szCs w:val="14"/>
                <w:b w:val="1"/>
                <w:bCs w:val="1"/>
                <w:color w:val="auto"/>
                <w:w w:val="99"/>
              </w:rPr>
              <w:t>For the Three Months Ended September</w:t>
            </w:r>
          </w:p>
        </w:tc>
        <w:tc>
          <w:tcPr>
            <w:tcW w:w="2620" w:type="dxa"/>
            <w:vAlign w:val="bottom"/>
            <w:gridSpan w:val="6"/>
          </w:tcPr>
          <w:p>
            <w:pPr>
              <w:jc w:val="right"/>
              <w:spacing w:after="0"/>
              <w:rPr>
                <w:sz w:val="20"/>
                <w:szCs w:val="20"/>
                <w:color w:val="auto"/>
              </w:rPr>
            </w:pPr>
            <w:r>
              <w:rPr>
                <w:rFonts w:ascii="Arial" w:cs="Arial" w:eastAsia="Arial" w:hAnsi="Arial"/>
                <w:sz w:val="14"/>
                <w:szCs w:val="14"/>
                <w:b w:val="1"/>
                <w:bCs w:val="1"/>
                <w:color w:val="auto"/>
                <w:w w:val="97"/>
              </w:rPr>
              <w:t>For the Nine Months Ended September</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30,</w:t>
            </w:r>
          </w:p>
        </w:tc>
        <w:tc>
          <w:tcPr>
            <w:tcW w:w="96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Revenues</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Clear Aligner</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00"/>
              <w:spacing w:after="0"/>
              <w:rPr>
                <w:sz w:val="20"/>
                <w:szCs w:val="20"/>
                <w:color w:val="auto"/>
              </w:rPr>
            </w:pPr>
            <w:r>
              <w:rPr>
                <w:rFonts w:ascii="Arial" w:cs="Arial" w:eastAsia="Arial" w:hAnsi="Arial"/>
                <w:sz w:val="18"/>
                <w:szCs w:val="18"/>
                <w:color w:val="auto"/>
              </w:rPr>
              <w:t>Invisalign Full</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93,945</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80,294</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275,621</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251,335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Invisalign Express/Lite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52,943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38,217</w:t>
            </w:r>
          </w:p>
        </w:tc>
      </w:tr>
      <w:tr>
        <w:trPr>
          <w:trHeight w:val="243"/>
        </w:trPr>
        <w:tc>
          <w:tcPr>
            <w:tcW w:w="6060" w:type="dxa"/>
            <w:vAlign w:val="bottom"/>
          </w:tcPr>
          <w:p>
            <w:pPr>
              <w:ind w:left="300"/>
              <w:spacing w:after="0"/>
              <w:rPr>
                <w:sz w:val="20"/>
                <w:szCs w:val="20"/>
                <w:color w:val="auto"/>
              </w:rPr>
            </w:pPr>
            <w:r>
              <w:rPr>
                <w:rFonts w:ascii="Arial" w:cs="Arial" w:eastAsia="Arial" w:hAnsi="Arial"/>
                <w:sz w:val="18"/>
                <w:szCs w:val="18"/>
                <w:color w:val="auto"/>
              </w:rPr>
              <w:t>Invisalign Teen</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23,779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19,144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62,289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50,672</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Invisalign Assist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23,418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21,495</w:t>
            </w:r>
          </w:p>
        </w:tc>
      </w:tr>
      <w:tr>
        <w:trPr>
          <w:trHeight w:val="243"/>
        </w:trPr>
        <w:tc>
          <w:tcPr>
            <w:tcW w:w="6060" w:type="dxa"/>
            <w:vAlign w:val="bottom"/>
          </w:tcPr>
          <w:p>
            <w:pPr>
              <w:ind w:left="300"/>
              <w:spacing w:after="0"/>
              <w:rPr>
                <w:sz w:val="20"/>
                <w:szCs w:val="20"/>
                <w:color w:val="auto"/>
              </w:rPr>
            </w:pPr>
            <w:r>
              <w:rPr>
                <w:rFonts w:ascii="Arial" w:cs="Arial" w:eastAsia="Arial" w:hAnsi="Arial"/>
                <w:sz w:val="18"/>
                <w:szCs w:val="18"/>
                <w:color w:val="auto"/>
              </w:rPr>
              <w:t>Invisalign non-case revenues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10,679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7,457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22,003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SCCS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00"/>
              <w:spacing w:after="0"/>
              <w:rPr>
                <w:sz w:val="20"/>
                <w:szCs w:val="20"/>
                <w:color w:val="auto"/>
              </w:rPr>
            </w:pPr>
            <w:r>
              <w:rPr>
                <w:rFonts w:ascii="Arial" w:cs="Arial" w:eastAsia="Arial" w:hAnsi="Arial"/>
                <w:sz w:val="18"/>
                <w:szCs w:val="18"/>
                <w:color w:val="auto"/>
              </w:rPr>
              <w:t>Scanners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5,538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17,190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15,416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CAD/CAM Services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18,063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164,506</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136,496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481,914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417,201</w:t>
            </w:r>
          </w:p>
        </w:tc>
      </w:tr>
      <w:tr>
        <w:trPr>
          <w:trHeight w:val="67"/>
        </w:trPr>
        <w:tc>
          <w:tcPr>
            <w:tcW w:w="6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64"/>
        </w:trPr>
        <w:tc>
          <w:tcPr>
            <w:tcW w:w="6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Clear Aligner</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122,663</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98,334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352,114</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301,340</w:t>
            </w:r>
          </w:p>
        </w:tc>
      </w:tr>
      <w:tr>
        <w:trPr>
          <w:trHeight w:val="243"/>
        </w:trPr>
        <w:tc>
          <w:tcPr>
            <w:tcW w:w="6060" w:type="dxa"/>
            <w:vAlign w:val="bottom"/>
          </w:tcPr>
          <w:p>
            <w:pPr>
              <w:ind w:left="220"/>
              <w:spacing w:after="0"/>
              <w:rPr>
                <w:sz w:val="20"/>
                <w:szCs w:val="20"/>
                <w:color w:val="auto"/>
              </w:rPr>
            </w:pPr>
            <w:r>
              <w:rPr>
                <w:rFonts w:ascii="Arial" w:cs="Arial" w:eastAsia="Arial" w:hAnsi="Arial"/>
                <w:sz w:val="18"/>
                <w:szCs w:val="18"/>
                <w:color w:val="auto"/>
              </w:rPr>
              <w:t>Scanners and CAD/CAM Services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8,570</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125,090</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100,350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361,630</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309,910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revenues and tangible long-lived assets are presented below by geographic area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720" w:type="dxa"/>
            <w:vAlign w:val="bottom"/>
            <w:gridSpan w:val="7"/>
          </w:tcPr>
          <w:p>
            <w:pPr>
              <w:ind w:left="60"/>
              <w:spacing w:after="0"/>
              <w:rPr>
                <w:sz w:val="20"/>
                <w:szCs w:val="20"/>
                <w:color w:val="auto"/>
              </w:rPr>
            </w:pPr>
            <w:r>
              <w:rPr>
                <w:rFonts w:ascii="Arial" w:cs="Arial" w:eastAsia="Arial" w:hAnsi="Arial"/>
                <w:sz w:val="14"/>
                <w:szCs w:val="14"/>
                <w:b w:val="1"/>
                <w:bCs w:val="1"/>
                <w:color w:val="auto"/>
                <w:w w:val="99"/>
              </w:rPr>
              <w:t>For the Three Months Ended September</w:t>
            </w:r>
          </w:p>
        </w:tc>
        <w:tc>
          <w:tcPr>
            <w:tcW w:w="2600" w:type="dxa"/>
            <w:vAlign w:val="bottom"/>
            <w:gridSpan w:val="8"/>
          </w:tcPr>
          <w:p>
            <w:pPr>
              <w:jc w:val="right"/>
              <w:spacing w:after="0"/>
              <w:rPr>
                <w:sz w:val="20"/>
                <w:szCs w:val="20"/>
                <w:color w:val="auto"/>
              </w:rPr>
            </w:pPr>
            <w:r>
              <w:rPr>
                <w:rFonts w:ascii="Arial" w:cs="Arial" w:eastAsia="Arial" w:hAnsi="Arial"/>
                <w:sz w:val="14"/>
                <w:szCs w:val="14"/>
                <w:b w:val="1"/>
                <w:bCs w:val="1"/>
                <w:color w:val="auto"/>
                <w:w w:val="96"/>
              </w:rPr>
              <w:t>For the Nine Months Ended September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30,</w:t>
            </w: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5"/>
                <w:szCs w:val="25"/>
                <w:b w:val="1"/>
                <w:bCs w:val="1"/>
                <w:color w:val="auto"/>
                <w:vertAlign w:val="superscript"/>
              </w:rPr>
              <w:t>(1)</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123,904</w:t>
            </w:r>
          </w:p>
        </w:tc>
        <w:tc>
          <w:tcPr>
            <w:tcW w:w="5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105,173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365,596</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319,269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 Netherlands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26,494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89,952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79,273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Rest of the world</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14,108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7,130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26,366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18,659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164,506</w:t>
            </w:r>
          </w:p>
        </w:tc>
        <w:tc>
          <w:tcPr>
            <w:tcW w:w="5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136,496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481,914</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417,201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5"/>
                <w:szCs w:val="25"/>
                <w:b w:val="1"/>
                <w:bCs w:val="1"/>
                <w:color w:val="auto"/>
                <w:vertAlign w:val="superscript"/>
              </w:rPr>
              <w:t>(1)</w:t>
            </w:r>
            <w:r>
              <w:rPr>
                <w:rFonts w:ascii="Arial" w:cs="Arial" w:eastAsia="Arial" w:hAnsi="Arial"/>
                <w:sz w:val="14"/>
                <w:szCs w:val="14"/>
                <w:color w:val="auto"/>
              </w:rPr>
              <w:t xml:space="preserve"> Net revenues are attributed to countries based on location of where revenue is recognized.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4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As of September 30,</w:t>
            </w:r>
          </w:p>
        </w:tc>
        <w:tc>
          <w:tcPr>
            <w:tcW w:w="220" w:type="dxa"/>
            <w:vAlign w:val="bottom"/>
          </w:tcPr>
          <w:p>
            <w:pPr>
              <w:spacing w:after="0"/>
              <w:rPr>
                <w:sz w:val="24"/>
                <w:szCs w:val="24"/>
                <w:color w:val="auto"/>
              </w:rPr>
            </w:pPr>
          </w:p>
        </w:tc>
        <w:tc>
          <w:tcPr>
            <w:tcW w:w="14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As of December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6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4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Long-lived assets:</w:t>
            </w:r>
            <w:r>
              <w:rPr>
                <w:rFonts w:ascii="Arial" w:cs="Arial" w:eastAsia="Arial" w:hAnsi="Arial"/>
                <w:sz w:val="25"/>
                <w:szCs w:val="25"/>
                <w:b w:val="1"/>
                <w:bCs w:val="1"/>
                <w:color w:val="auto"/>
                <w:vertAlign w:val="superscript"/>
              </w:rPr>
              <w:t>(2)</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U.S.</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w w:val="98"/>
              </w:rPr>
              <w:t>62,241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 of the world</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8"/>
              </w:rPr>
              <w:t>14,311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19,093</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Total long-lived assets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8"/>
              </w:rPr>
              <w:t>76,552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79,191</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vertAlign w:val="superscript"/>
        </w:rPr>
        <w:t>(2)</w:t>
      </w:r>
      <w:r>
        <w:rPr>
          <w:rFonts w:ascii="Arial" w:cs="Arial" w:eastAsia="Arial" w:hAnsi="Arial"/>
          <w:sz w:val="14"/>
          <w:szCs w:val="14"/>
          <w:color w:val="auto"/>
        </w:rPr>
        <w:t xml:space="preserve"> Long-lived assets are attributed to the countries that purchased the asset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tabs>
          <w:tab w:leader="none" w:pos="15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43"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our expectations regarding the anticipated impact that our new products and product enhancements will have on doctor utilization and our market share, our expectations regarding product mix and product adoption, our expectations regarding the existence and impact of seasonality, our expectations regarding the financial and strategic benefits of the scanner and CAD/CAM services business, our expectations to increase our investment in manufacturing capacity, our expectations regarding the continued expansion of our international markets, the anticipated number of new doctors trained and their impact on volumes, the impact of the termination of our Asia Pacific distributor relationship and reverting to a direct sales model in that region by acquiring the distributor business, the level of our operating expenses and gross margins,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II, Item 1A “Risk Factors”. We undertake no obligation to revise or update these forward-looking statements. Given these risks and uncertainties, readers are cautioned not to place undue reliance on such forward-looking statements.</w:t>
      </w:r>
    </w:p>
    <w:p>
      <w:pPr>
        <w:spacing w:after="0" w:line="172"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our Condensed Consolidated Financial Statements and related notes included elsewhere in this Quarterly Report on Form 10-Q.</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Align Technology, Inc. is a global medical device company that pioneered the invisible orthodontics market with the introduction of the Invisalign system in 1999. Today, we are focused on designing, manufacturing and marketing innovative, technology-rich products to help dental professionals achieve the clinical results they expect and deliver effective, convenient cutting-edge dental treatment options to their patients. Align Technology was founded in March 1997 and is headquartered in San Jose, California with offices worldwide. Our international headquarters are located in Amsterdam, the Netherlands. We have two operating segments: (1) Clear Aligner, known as the Invisalign system; and (2) Scanner and CAD/CAM Services ("SCCS"), known as the iTero intra-oral scanners and OrthoCAD services.</w:t>
      </w:r>
    </w:p>
    <w:p>
      <w:pPr>
        <w:spacing w:after="0" w:line="22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received Food and Drug Administration ("FDA") clearance in 1998 and began our first commercial sales of Invisalign to U.S. Orthodontists in 1999 followed by U.S General Practitioner Dentists (GPs) in 2002. Over the next decade, we introduced Invisalign to the European market, as well as in Japan and the Asia Pacific, Latin America, Middle East and Africa regions, and introduced a full range of treatment options including Invisalign Express (10 and 5), Invisalign Teen, Invisalign Assist, Vivera retainers, Invisalign Lite and Invisalign i7. By 2011, we launched Invisalign G3 and Invisalign G4, which include significant new aligner and software features across all Invisalign products that make it easier for doctors to use Invisalign on more complex cases and introduced Invisalign in the People’s Republic of China. Most recently, we launched SmartTrack, the next generation of Invisalign clear aligner material which became the new standard aligner material for Invisalign clear aligner products in North America and Europe beginning January 21, 2013 and for other international markets where we received regulatory approval.</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91" w:right="259" w:bottom="1440" w:gutter="0" w:footer="0" w:header="0"/>
        </w:sectPr>
      </w:pPr>
    </w:p>
    <w:bookmarkStart w:id="22" w:name="page23"/>
    <w:bookmarkEnd w:id="22"/>
    <w:p>
      <w:pPr>
        <w:ind w:right="80" w:firstLine="432"/>
        <w:spacing w:after="0" w:line="287" w:lineRule="auto"/>
        <w:rPr>
          <w:sz w:val="20"/>
          <w:szCs w:val="20"/>
          <w:color w:val="auto"/>
        </w:rPr>
      </w:pPr>
      <w:r>
        <w:rPr>
          <w:rFonts w:ascii="Arial" w:cs="Arial" w:eastAsia="Arial" w:hAnsi="Arial"/>
          <w:sz w:val="16"/>
          <w:szCs w:val="16"/>
          <w:color w:val="auto"/>
        </w:rPr>
        <w:t>In 2011, we acquired Cadent Holdings, Inc., a leading provider of 3D digital scanning solutions for orthodontics and dentistry and makers of the iTero intra-oral scanner and OrthoCAD services. We believe that the combination of Align’s and Cadent’s technologies and capabilities creates greater growth opportunities for Align by bringing innovative new Invisalign treatment tools to customers and by extending the value of intra-oral scanning in dental practices. Intra-oral scanners provide a dental “chair-side” platform for accessing valuable digital diagnosis and treatment tools, with potential for enhancing accuracy of records, treatment efficiency, and the overall patient experience. We believe there are numerous benefits for customers and the opportunity to accelerate the adoption of Invisalign through interoperability with our intra-oral scanners. The use of digital technologies such as CAD/CAM for restorative dentistry or in-office restorations has been growing rapidly and intra-oral scanning is a critical part of enabling these new digital technologies and procedures in dental practices. Since the acquisition, we have launched significant product options and software enhancements to the scanner product line. In late 2012, we commercially launched the Invisalign Outcome Simulator, the first Invisalign chair-side application powered by the iTero scanner. The interactive application provides dentists and orthodontists an enhanced platform for patient education and is designed to increase treatment acceptance by helping patients visualize the benefits possible with Invisalign treatment. The new iTero scanner was available in North America beginning in February 2013 and is now available in select international markets as a single hardware platform with software options for restorative or orthodontic procedures.</w:t>
      </w:r>
    </w:p>
    <w:p>
      <w:pPr>
        <w:spacing w:after="0" w:line="19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Invisalign system is offered in more than 45 countries and has been used to treat more than 2.0 million patients. Our iTero intra-oral scanner is available in over 25 countries and provides dental professionals with an open choice to send digital impressions to any laboratory-based CAD/CAM system or to any of the more than 1,800 dental labs worldwide.</w:t>
      </w:r>
    </w:p>
    <w:p>
      <w:pPr>
        <w:spacing w:after="0" w:line="18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goal is to establish the Invisalign system as the standard method for treating malocclusion and to establish our intra-oral scanning platform as the preferred scanning protocol for 3D digital scans, ultimately driving increased product adoption by dental professionals. We intend to achieve this by focusing on the key strategic initiatives set forth in our Annual Report on Form 10-K.</w:t>
      </w:r>
    </w:p>
    <w:p>
      <w:pPr>
        <w:spacing w:after="0" w:line="18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In addition to the successful execution of our business strategy, there are a number of other factors which may affect our results in 2013 and beyond, which are updated below:</w:t>
      </w:r>
    </w:p>
    <w:p>
      <w:pPr>
        <w:spacing w:after="0" w:line="170" w:lineRule="exact"/>
        <w:rPr>
          <w:sz w:val="20"/>
          <w:szCs w:val="20"/>
          <w:color w:val="auto"/>
        </w:rPr>
      </w:pPr>
    </w:p>
    <w:p>
      <w:pPr>
        <w:ind w:left="980" w:right="80" w:hanging="486"/>
        <w:spacing w:after="0" w:line="289"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Product innovation and clinical effectiveness</w:t>
      </w:r>
      <w:r>
        <w:rPr>
          <w:rFonts w:ascii="Arial" w:cs="Arial" w:eastAsia="Arial" w:hAnsi="Arial"/>
          <w:sz w:val="16"/>
          <w:szCs w:val="16"/>
          <w:color w:val="auto"/>
        </w:rPr>
        <w:t>. In October 2012, we announced the introduction of SmartTrack, a proprietary, custom engineered</w:t>
      </w:r>
      <w:r>
        <w:rPr>
          <w:rFonts w:ascii="Arial" w:cs="Arial" w:eastAsia="Arial" w:hAnsi="Arial"/>
          <w:sz w:val="16"/>
          <w:szCs w:val="16"/>
          <w:i w:val="1"/>
          <w:iCs w:val="1"/>
          <w:color w:val="auto"/>
        </w:rPr>
        <w:t xml:space="preserve"> </w:t>
      </w:r>
      <w:r>
        <w:rPr>
          <w:rFonts w:ascii="Arial" w:cs="Arial" w:eastAsia="Arial" w:hAnsi="Arial"/>
          <w:sz w:val="16"/>
          <w:szCs w:val="16"/>
          <w:color w:val="auto"/>
        </w:rPr>
        <w:t>aligner material, designed to deliver gentle, more constant force to improve control of tooth movements with Invisalign clear aligner treatment. This will build on the success we have seen with Invisalign G3/G4 and encourage even greater confidence and adoption in our customers’ practices. Although the introduction of SmartTrack has resulted in higher cost of net revenues due to higher material costs in our clear aligner segment in 2013, we believe these innovations are important contributors to increase utilization across our channels worldwide. Additionally, in January 2013, we introduced the new iTero scanner, which is a single hardware platform with software options for restorative or orthodontic procedures, Invisalign interoperability, as well as the Invisalign Outcome Simulator, our first chair-side application powered by our iTero scanner. We believe that over the long-term these types of product and clinical innovations will increase adoption of Invisalign and increase sales of our intra-oral scanners; however, it is difficult to predict the rate of adoption, which may vary by region and channel.</w:t>
      </w:r>
    </w:p>
    <w:p>
      <w:pPr>
        <w:spacing w:after="0" w:line="112" w:lineRule="exact"/>
        <w:rPr>
          <w:rFonts w:ascii="Arial" w:cs="Arial" w:eastAsia="Arial" w:hAnsi="Arial"/>
          <w:sz w:val="16"/>
          <w:szCs w:val="16"/>
          <w:color w:val="auto"/>
        </w:rPr>
      </w:pPr>
    </w:p>
    <w:p>
      <w:pPr>
        <w:ind w:left="980" w:right="180" w:hanging="486"/>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Invisalign Utilization rates. </w:t>
      </w:r>
      <w:r>
        <w:rPr>
          <w:rFonts w:ascii="Arial" w:cs="Arial" w:eastAsia="Arial" w:hAnsi="Arial"/>
          <w:sz w:val="18"/>
          <w:szCs w:val="18"/>
          <w:color w:val="auto"/>
        </w:rPr>
        <w:t>Our goal is to establish Invisalign as the treatment of choice for treating malocclusion ultimately driving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adoption and frequency of use by dental professionals, or utilization. Our quarterly utilization rates for the current quarter and for the previous ten quarters are as follows: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11" w:right="2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1478280</wp:posOffset>
            </wp:positionH>
            <wp:positionV relativeFrom="page">
              <wp:posOffset>243205</wp:posOffset>
            </wp:positionV>
            <wp:extent cx="5231130" cy="2958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231130"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t>
      </w:r>
      <w:r>
        <w:rPr>
          <w:rFonts w:ascii="Arial" w:cs="Arial" w:eastAsia="Arial" w:hAnsi="Arial"/>
          <w:sz w:val="14"/>
          <w:szCs w:val="14"/>
          <w:color w:val="auto"/>
        </w:rPr>
        <w:t>Invisalign Utilization rates = # of cases shipped divided by # of doctors cases were shipped to</w:t>
      </w:r>
    </w:p>
    <w:p>
      <w:pPr>
        <w:spacing w:after="0" w:line="222" w:lineRule="exact"/>
        <w:rPr>
          <w:sz w:val="20"/>
          <w:szCs w:val="20"/>
          <w:color w:val="auto"/>
        </w:rPr>
      </w:pPr>
    </w:p>
    <w:p>
      <w:pPr>
        <w:ind w:left="540"/>
        <w:spacing w:after="0" w:line="273" w:lineRule="auto"/>
        <w:rPr>
          <w:sz w:val="20"/>
          <w:szCs w:val="20"/>
          <w:color w:val="auto"/>
        </w:rPr>
      </w:pPr>
      <w:r>
        <w:rPr>
          <w:rFonts w:ascii="Arial" w:cs="Arial" w:eastAsia="Arial" w:hAnsi="Arial"/>
          <w:sz w:val="17"/>
          <w:szCs w:val="17"/>
          <w:color w:val="auto"/>
        </w:rPr>
        <w:t>Total utilization in the third quarter of 2013 increased slightly to 4.3 cases per doctor compared to 4.2 cases in the third quarter of 2012 driven primarily by North American Orthodontists. Utilization increased from 7.7 in the third quarter of 2012 to 8.4 cases per doctor among our North American orthodontist customers reflecting our continued success in driving adoption and increasing utilization of Invisalign into the teenage orthodontic market especially during the seasonally busier summer period for most orthodontic practices. Utilization among our North American General Practitioner ("GP") and International doctors was flat. As doctors increase their utilization, we anticipate higher participation in our volume rebate program which may result in lower average selling prices of our products.</w:t>
      </w:r>
    </w:p>
    <w:p>
      <w:pPr>
        <w:spacing w:after="0" w:line="178" w:lineRule="exact"/>
        <w:rPr>
          <w:sz w:val="20"/>
          <w:szCs w:val="20"/>
          <w:color w:val="auto"/>
        </w:rPr>
      </w:pPr>
    </w:p>
    <w:p>
      <w:pPr>
        <w:ind w:left="540" w:hanging="486"/>
        <w:spacing w:after="0" w:line="270"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Seasonal Trends</w:t>
      </w:r>
      <w:r>
        <w:rPr>
          <w:rFonts w:ascii="Arial" w:cs="Arial" w:eastAsia="Arial" w:hAnsi="Arial"/>
          <w:sz w:val="17"/>
          <w:szCs w:val="17"/>
          <w:color w:val="auto"/>
        </w:rPr>
        <w:t>. Typically the third quarter reflects the peak season for teenage Orthodontic case starts as many parents want to get their</w:t>
      </w:r>
      <w:r>
        <w:rPr>
          <w:rFonts w:ascii="Arial" w:cs="Arial" w:eastAsia="Arial" w:hAnsi="Arial"/>
          <w:sz w:val="17"/>
          <w:szCs w:val="17"/>
          <w:i w:val="1"/>
          <w:iCs w:val="1"/>
          <w:color w:val="auto"/>
        </w:rPr>
        <w:t xml:space="preserve"> </w:t>
      </w:r>
      <w:r>
        <w:rPr>
          <w:rFonts w:ascii="Arial" w:cs="Arial" w:eastAsia="Arial" w:hAnsi="Arial"/>
          <w:sz w:val="17"/>
          <w:szCs w:val="17"/>
          <w:color w:val="auto"/>
        </w:rPr>
        <w:t>teenagers started in treatment before the start of the school year. However, we also experience a seasonally slower quarter as our North American GP and international doctors and their patients are on summer vacation and therefore tend to start fewer cases. The fourth quarter is often a slower period for North American Orthodontists s as fewer teenagers start orthodontic treatment once the school year has started. As such, we expect North American Orthodontists to be down sequentially during the fourth quarter. Offsetting this trend, our fourth quarter has historically been a stronger quarter for our international doctors and North American GPs as they rebound from a seasonally slower summer quarter. We expect volume for both international and North American GPs to be up sequentially in the fourth quarter. Consequently, we expect that our Invisalign volume in the fourth quarter of 2013 will be up slightly compared to the third quarter. In addition, we expect a mix shift in the fourth quarter to lower priced Invisalign products, specifically we expect to sell less Invisalign Teen, and more Invisalign Express due to fewer teenage patients starting treatment in this quarter.</w:t>
      </w:r>
    </w:p>
    <w:p>
      <w:pPr>
        <w:spacing w:after="0" w:line="123" w:lineRule="exact"/>
        <w:rPr>
          <w:rFonts w:ascii="Arial" w:cs="Arial" w:eastAsia="Arial" w:hAnsi="Arial"/>
          <w:sz w:val="17"/>
          <w:szCs w:val="17"/>
          <w:color w:val="auto"/>
        </w:rPr>
      </w:pPr>
    </w:p>
    <w:p>
      <w:pPr>
        <w:ind w:left="540" w:right="60" w:hanging="486"/>
        <w:spacing w:after="0" w:line="257" w:lineRule="auto"/>
        <w:tabs>
          <w:tab w:leader="none" w:pos="5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Number of new Invisalign doctors trained. </w:t>
      </w:r>
      <w:r>
        <w:rPr>
          <w:rFonts w:ascii="Arial" w:cs="Arial" w:eastAsia="Arial" w:hAnsi="Arial"/>
          <w:sz w:val="18"/>
          <w:szCs w:val="18"/>
          <w:color w:val="auto"/>
        </w:rPr>
        <w:t>We continue to expand our Invisalign customer base by training new doctors. In 2012, Invisalign</w:t>
      </w:r>
      <w:r>
        <w:rPr>
          <w:rFonts w:ascii="Arial" w:cs="Arial" w:eastAsia="Arial" w:hAnsi="Arial"/>
          <w:sz w:val="18"/>
          <w:szCs w:val="18"/>
          <w:i w:val="1"/>
          <w:iCs w:val="1"/>
          <w:color w:val="auto"/>
        </w:rPr>
        <w:t xml:space="preserve"> </w:t>
      </w:r>
      <w:r>
        <w:rPr>
          <w:rFonts w:ascii="Arial" w:cs="Arial" w:eastAsia="Arial" w:hAnsi="Arial"/>
          <w:sz w:val="18"/>
          <w:szCs w:val="18"/>
          <w:color w:val="auto"/>
        </w:rPr>
        <w:t>growth was driven primarily by the continued expansion of our customer base as we trained a total of 6,840 new orthodontists and GPs in North America and internationally. We expect to train approximately 7,220 doctors in 2013 and during the first three quarters of 2013, we trained a total of 5,445 doctors worldwide. In the third quarter of 2013, we trained a total of 1,635 new Invisalign doctors, adding 90 North American Orthodontists, 705 North American GPs and 840 international doctors.</w:t>
      </w:r>
    </w:p>
    <w:p>
      <w:pPr>
        <w:spacing w:after="0" w:line="37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680" w:top="1440" w:right="239" w:bottom="1440" w:gutter="0" w:footer="0" w:header="0"/>
        </w:sectPr>
      </w:pPr>
    </w:p>
    <w:bookmarkStart w:id="24" w:name="page25"/>
    <w:bookmarkEnd w:id="24"/>
    <w:p>
      <w:pPr>
        <w:ind w:left="486" w:hanging="486"/>
        <w:spacing w:after="0" w:line="287" w:lineRule="auto"/>
        <w:tabs>
          <w:tab w:leader="none" w:pos="486"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International Clear Aligner. </w:t>
      </w:r>
      <w:r>
        <w:rPr>
          <w:rFonts w:ascii="Arial" w:cs="Arial" w:eastAsia="Arial" w:hAnsi="Arial"/>
          <w:sz w:val="16"/>
          <w:szCs w:val="16"/>
          <w:color w:val="auto"/>
        </w:rPr>
        <w:t>We will continue to focus our efforts towards increasing adoption of our products by dental professionals in our</w:t>
      </w:r>
      <w:r>
        <w:rPr>
          <w:rFonts w:ascii="Arial" w:cs="Arial" w:eastAsia="Arial" w:hAnsi="Arial"/>
          <w:sz w:val="16"/>
          <w:szCs w:val="16"/>
          <w:i w:val="1"/>
          <w:iCs w:val="1"/>
          <w:color w:val="auto"/>
        </w:rPr>
        <w:t xml:space="preserve"> </w:t>
      </w:r>
      <w:r>
        <w:rPr>
          <w:rFonts w:ascii="Arial" w:cs="Arial" w:eastAsia="Arial" w:hAnsi="Arial"/>
          <w:sz w:val="16"/>
          <w:szCs w:val="16"/>
          <w:color w:val="auto"/>
        </w:rPr>
        <w:t>core European markets as well as expanding into new markets. On a year-over-year basis, international volume increased 22% compared to the third quarter of 2012, reflecting growth in our direct business in Europe despite widespread economic changes as well as strong volume growth in the Asia Pacific ("APAC") region which benefited from our recently acquired direct business in the region. In the second quarter of 2013, we successfully completed the transition of countries managed by our APAC distributor back to a direct sales model by acquiring the distributor business. Now four of the largest indirect country markets of Australia, New Zealand, Hong Kong and Singapore are direct sales regions, and we began to recognize direct sales of Invisalign products sold in that region at our full average selling price(s) ("ASP") rather than at the discounted ASP under the distribution agreement. In 2012, this distributor accounted for approximately 3% of worldwide net revenues, and we expect the region to become an even more meaningful contributor to revenue growth in 2013. In the near term, however, our assumption of the direct operating costs in the region will offset the uplift from the higher ASP. Although we expect volumes and revenues will increase over time, we may experience difficulties in achieving the anticipated financial benefits. We continue to serve other countries under a distribution model.</w:t>
      </w:r>
    </w:p>
    <w:p>
      <w:pPr>
        <w:spacing w:after="0" w:line="118" w:lineRule="exact"/>
        <w:rPr>
          <w:rFonts w:ascii="Arial" w:cs="Arial" w:eastAsia="Arial" w:hAnsi="Arial"/>
          <w:sz w:val="16"/>
          <w:szCs w:val="16"/>
          <w:color w:val="auto"/>
        </w:rPr>
      </w:pPr>
    </w:p>
    <w:p>
      <w:pPr>
        <w:ind w:left="486" w:right="220" w:hanging="486"/>
        <w:spacing w:after="0" w:line="276" w:lineRule="auto"/>
        <w:tabs>
          <w:tab w:leader="none" w:pos="48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Increased Sales Force Coverage. </w:t>
      </w:r>
      <w:r>
        <w:rPr>
          <w:rFonts w:ascii="Arial" w:cs="Arial" w:eastAsia="Arial" w:hAnsi="Arial"/>
          <w:sz w:val="17"/>
          <w:szCs w:val="17"/>
          <w:color w:val="auto"/>
        </w:rPr>
        <w:t>Our direct sales organization in North America is comprised of a team of territory managers, and to a lesser</w:t>
      </w:r>
      <w:r>
        <w:rPr>
          <w:rFonts w:ascii="Arial" w:cs="Arial" w:eastAsia="Arial" w:hAnsi="Arial"/>
          <w:sz w:val="17"/>
          <w:szCs w:val="17"/>
          <w:i w:val="1"/>
          <w:iCs w:val="1"/>
          <w:color w:val="auto"/>
        </w:rPr>
        <w:t xml:space="preserve"> </w:t>
      </w:r>
      <w:r>
        <w:rPr>
          <w:rFonts w:ascii="Arial" w:cs="Arial" w:eastAsia="Arial" w:hAnsi="Arial"/>
          <w:sz w:val="17"/>
          <w:szCs w:val="17"/>
          <w:color w:val="auto"/>
        </w:rPr>
        <w:t>extent, territory specialists. These territory specialists are used to enhance coverage in larger territories, especially with our lower volume GP customers. Due to the success of this sales coverage model, we have added approximately 20 sales representatives in 2013, predominantly in North America. In addition, with the transition of our APAC distributor to a direct sales model in May 2013 as a result of acquiring the distributor business, we acquired approximately 15 additional sales representatives in that region.</w:t>
      </w:r>
    </w:p>
    <w:p>
      <w:pPr>
        <w:spacing w:after="0" w:line="118" w:lineRule="exact"/>
        <w:rPr>
          <w:rFonts w:ascii="Arial" w:cs="Arial" w:eastAsia="Arial" w:hAnsi="Arial"/>
          <w:sz w:val="17"/>
          <w:szCs w:val="17"/>
          <w:color w:val="auto"/>
        </w:rPr>
      </w:pPr>
    </w:p>
    <w:p>
      <w:pPr>
        <w:ind w:left="486" w:right="60" w:hanging="486"/>
        <w:spacing w:after="0" w:line="288" w:lineRule="auto"/>
        <w:tabs>
          <w:tab w:leader="none" w:pos="486"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Change to Mid-Course Correction Policy</w:t>
      </w:r>
      <w:r>
        <w:rPr>
          <w:rFonts w:ascii="Arial" w:cs="Arial" w:eastAsia="Arial" w:hAnsi="Arial"/>
          <w:sz w:val="16"/>
          <w:szCs w:val="16"/>
          <w:color w:val="auto"/>
        </w:rPr>
        <w:t>. We seek to continually evaluate and improve our products, our customer support processes and</w:t>
      </w:r>
      <w:r>
        <w:rPr>
          <w:rFonts w:ascii="Arial" w:cs="Arial" w:eastAsia="Arial" w:hAnsi="Arial"/>
          <w:sz w:val="16"/>
          <w:szCs w:val="16"/>
          <w:i w:val="1"/>
          <w:iCs w:val="1"/>
          <w:color w:val="auto"/>
        </w:rPr>
        <w:t xml:space="preserve"> </w:t>
      </w:r>
      <w:r>
        <w:rPr>
          <w:rFonts w:ascii="Arial" w:cs="Arial" w:eastAsia="Arial" w:hAnsi="Arial"/>
          <w:sz w:val="16"/>
          <w:szCs w:val="16"/>
          <w:color w:val="auto"/>
        </w:rPr>
        <w:t>policies to support those goals. Mid-course correction provides our customers with the option of requesting a treatment correction during active treatment if the case is not tracking to the original treatment plan or goals. Based on customer feedback, beginning June 15, 2013, we no longer charge a fee associated with our mid-course correction orders. We now include up to three free mid-course correction orders per case in our list prices for Invisalign Full and Invisalign Teen. Based on an historical usage rate, we defer a portion of our revenue for mid-course corrections which will be subsequently recognized when mid-course corrections orders are shipped. As a result of this policy change, we have experienced an increase in mid-course correction cases in the third quarter of 2013 and consequently increased our revenue deferral by approximately $2.8 million. During the same period, we also experienced a corresponding reduction in our warranty claims, which resulted in a decrease in our warranty reserve by approximately $1.7 million. The net impact of these two changes resulted in a decrease in gross profit of approximately $1.1 million; however, the impact on gross margin was favorable by about 0.7 basis points.</w:t>
      </w:r>
    </w:p>
    <w:p>
      <w:pPr>
        <w:spacing w:after="0" w:line="115" w:lineRule="exact"/>
        <w:rPr>
          <w:rFonts w:ascii="Arial" w:cs="Arial" w:eastAsia="Arial" w:hAnsi="Arial"/>
          <w:sz w:val="16"/>
          <w:szCs w:val="16"/>
          <w:color w:val="auto"/>
        </w:rPr>
      </w:pPr>
    </w:p>
    <w:p>
      <w:pPr>
        <w:ind w:left="486" w:right="60" w:hanging="486"/>
        <w:spacing w:after="0" w:line="290" w:lineRule="auto"/>
        <w:tabs>
          <w:tab w:leader="none" w:pos="486"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SCCS business. </w:t>
      </w:r>
      <w:r>
        <w:rPr>
          <w:rFonts w:ascii="Arial" w:cs="Arial" w:eastAsia="Arial" w:hAnsi="Arial"/>
          <w:sz w:val="16"/>
          <w:szCs w:val="16"/>
          <w:color w:val="auto"/>
        </w:rPr>
        <w:t>In October 2012, we reached a mutual agreement to terminate the exclusive distribution arrangement with Straumann for iTero</w:t>
      </w:r>
      <w:r>
        <w:rPr>
          <w:rFonts w:ascii="Arial" w:cs="Arial" w:eastAsia="Arial" w:hAnsi="Arial"/>
          <w:sz w:val="16"/>
          <w:szCs w:val="16"/>
          <w:i w:val="1"/>
          <w:iCs w:val="1"/>
          <w:color w:val="auto"/>
        </w:rPr>
        <w:t xml:space="preserve"> </w:t>
      </w:r>
      <w:r>
        <w:rPr>
          <w:rFonts w:ascii="Arial" w:cs="Arial" w:eastAsia="Arial" w:hAnsi="Arial"/>
          <w:sz w:val="16"/>
          <w:szCs w:val="16"/>
          <w:color w:val="auto"/>
        </w:rPr>
        <w:t>intra-oral scanners in Europe, as well as the non-exclusive distribution agreement for iTero intra-oral scanners in North America effective December 31, 2012. The global market for restorative dentistry is far more fragmented and complex than for orthodontics, involving hundreds of thousands of labs, suppliers, general dentists and specialists. In Europe, adoption of digital restorative technology has been slowed due to challenging economic conditions and reluctance to invest in capital equipment. In view of these conditions, we expect to have very few scanner sales internationally in the near term as we determine the most effective way to re-stage growth in this market. Our direct sales model remains unchanged in North America where most of the SCCS net revenues are generated. In North America, we expect revenue in the SCCS segment to be flat sequentially in the fourth quarter of 2013 compared to the third quarter despite an increasingly competitive environment.</w:t>
      </w:r>
    </w:p>
    <w:p>
      <w:pPr>
        <w:spacing w:after="0" w:line="35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86"/>
          </w:cols>
          <w:pgMar w:left="734" w:top="368" w:right="279" w:bottom="1440" w:gutter="0" w:footer="0" w:header="0"/>
        </w:sectPr>
      </w:pPr>
    </w:p>
    <w:bookmarkStart w:id="25" w:name="page26"/>
    <w:bookmarkEnd w:id="25"/>
    <w:p>
      <w:pPr>
        <w:ind w:left="980" w:hanging="486"/>
        <w:spacing w:after="0" w:line="288"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Increase in Invisalign Selling Price</w:t>
      </w:r>
      <w:r>
        <w:rPr>
          <w:rFonts w:ascii="Arial" w:cs="Arial" w:eastAsia="Arial" w:hAnsi="Arial"/>
          <w:sz w:val="16"/>
          <w:szCs w:val="16"/>
          <w:color w:val="auto"/>
        </w:rPr>
        <w:t>. In recent years, we have significantly increased investment in research and development resulting in</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innovations, such as Invisalign G3, Invisalign G4 and SmartTrack clear aligner material. We have also continued to increase our consumer advertising spending to drive more patient demand. In addition, beginning January 1, 2013, the U.S. Federal Government imposed a new excise tax on medical device manufacturers enacted into law as part of the comprehensive healthcare reform legislation in March 2010, which Invisalign clear aligners are considered a taxable medical device. As a result of this new tax and our continued investments in research and development and consumer advertising, effective January 1, 2013, we increased our Invisalign pricing by adding $26.00 to $50.00 per case or approximately 3% to 5% compared to 2012 prices. For 2013, we expect that the impact on our ASP from this price increase will be offset somewhat by an expected increase in our rebate program due to the anticipated increase in utilization by our customers, increased volume from our lower price products, including Invisalign Express 5 and Invisalign i7, as well as slightly higher material costs for the SmartTrack clear aligner material. The prices for Invisalign Teen, Invisalign retainers and Vivera retainers remain unchanged.</w:t>
      </w:r>
    </w:p>
    <w:p>
      <w:pPr>
        <w:spacing w:after="0" w:line="115" w:lineRule="exact"/>
        <w:rPr>
          <w:rFonts w:ascii="Arial" w:cs="Arial" w:eastAsia="Arial" w:hAnsi="Arial"/>
          <w:sz w:val="16"/>
          <w:szCs w:val="16"/>
          <w:color w:val="auto"/>
        </w:rPr>
      </w:pPr>
    </w:p>
    <w:p>
      <w:pPr>
        <w:ind w:left="980" w:hanging="486"/>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2013 Operating expenses. </w:t>
      </w:r>
      <w:r>
        <w:rPr>
          <w:rFonts w:ascii="Arial" w:cs="Arial" w:eastAsia="Arial" w:hAnsi="Arial"/>
          <w:sz w:val="18"/>
          <w:szCs w:val="18"/>
          <w:color w:val="auto"/>
        </w:rPr>
        <w:t>We expect operating expenses to increase in 2013 compared to 2012 due to the increase in our North American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force coverage, the addition of the direct sales force in APAC due to acquiring the distributor business and the inclusion of the medical device excise tax as a result of new tax regulations effective January 1, 2013.</w:t>
      </w:r>
    </w:p>
    <w:p>
      <w:pPr>
        <w:spacing w:after="0" w:line="127" w:lineRule="exact"/>
        <w:rPr>
          <w:rFonts w:ascii="Arial" w:cs="Arial" w:eastAsia="Arial" w:hAnsi="Arial"/>
          <w:sz w:val="18"/>
          <w:szCs w:val="18"/>
          <w:color w:val="auto"/>
        </w:rPr>
      </w:pPr>
    </w:p>
    <w:p>
      <w:pPr>
        <w:ind w:left="980" w:hanging="486"/>
        <w:spacing w:after="0" w:line="273"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Foreign exchange rates. </w:t>
      </w:r>
      <w:r>
        <w:rPr>
          <w:rFonts w:ascii="Arial" w:cs="Arial" w:eastAsia="Arial" w:hAnsi="Arial"/>
          <w:sz w:val="17"/>
          <w:szCs w:val="17"/>
          <w:color w:val="auto"/>
        </w:rPr>
        <w:t>Although the U.S. dollar is our reporting currency, a portion of our net revenues and net income are generated in</w:t>
      </w:r>
      <w:r>
        <w:rPr>
          <w:rFonts w:ascii="Arial" w:cs="Arial" w:eastAsia="Arial" w:hAnsi="Arial"/>
          <w:sz w:val="17"/>
          <w:szCs w:val="17"/>
          <w:i w:val="1"/>
          <w:iCs w:val="1"/>
          <w:color w:val="auto"/>
        </w:rPr>
        <w:t xml:space="preserve"> </w:t>
      </w:r>
      <w:r>
        <w:rPr>
          <w:rFonts w:ascii="Arial" w:cs="Arial" w:eastAsia="Arial" w:hAnsi="Arial"/>
          <w:sz w:val="17"/>
          <w:szCs w:val="17"/>
          <w:color w:val="auto"/>
        </w:rPr>
        <w:t>foreign currencies. Net revenues and net income generated by subsidiaries operating outside of the U.S. are translated into U.S. dollars using exchange rates effective during the respective period and as a result are affected by changes in exchange rates. We have generally accepted the exposure to exchange rate movements without using derivative financial instruments to manage this risk. Therefore, both positive and negative movements in currency exchange rates against the U.S. dollar will continue to affect the reported amount of net revenues and net income in our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revenues by Reportable Segment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group our operations into two reportable segments: Clear Aligner segment and SCCS segment.</w:t>
      </w:r>
    </w:p>
    <w:p>
      <w:pPr>
        <w:spacing w:after="0" w:line="225" w:lineRule="exact"/>
        <w:rPr>
          <w:sz w:val="20"/>
          <w:szCs w:val="20"/>
          <w:color w:val="auto"/>
        </w:rPr>
      </w:pPr>
    </w:p>
    <w:p>
      <w:pPr>
        <w:ind w:left="980" w:right="4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Express/Lite, Teen, Assist, Vivera retainers, along with our training and ancillary products for treating malocclusion.</w:t>
      </w:r>
    </w:p>
    <w:p>
      <w:pPr>
        <w:spacing w:after="0" w:line="170" w:lineRule="exact"/>
        <w:rPr>
          <w:rFonts w:ascii="Arial" w:cs="Arial" w:eastAsia="Arial" w:hAnsi="Arial"/>
          <w:sz w:val="18"/>
          <w:szCs w:val="18"/>
          <w:color w:val="auto"/>
        </w:rPr>
      </w:pPr>
    </w:p>
    <w:p>
      <w:pPr>
        <w:ind w:left="980" w:right="280" w:hanging="486"/>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SCCS segment consists of intra-oral scanning systems and additional services available with the intra-oral scanners that provide digital alternatives to the traditional cast models. This segment includes our iTero scanners, iOC scanners, and OrthoCAD services.</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240" w:top="368"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below represents net revenues for our Clear Aligner segment by region, channel, and product and our SCCS segment by region and product for the three and nine months ended September 30, 2013 and 2012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4"/>
              </w:rPr>
              <w:t>Three Months Ended 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w w:val="96"/>
              </w:rPr>
              <w:t>Nine Months Ended 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Clear Aligner:</w:t>
            </w:r>
          </w:p>
        </w:tc>
        <w:tc>
          <w:tcPr>
            <w:tcW w:w="200" w:type="dxa"/>
            <w:vAlign w:val="bottom"/>
          </w:tcPr>
          <w:p>
            <w:pPr>
              <w:spacing w:after="0"/>
              <w:rPr>
                <w:sz w:val="13"/>
                <w:szCs w:val="13"/>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center"/>
              <w:ind w:right="480"/>
              <w:spacing w:after="0" w:line="153" w:lineRule="exact"/>
              <w:rPr>
                <w:sz w:val="20"/>
                <w:szCs w:val="20"/>
                <w:color w:val="auto"/>
              </w:rPr>
            </w:pPr>
            <w:r>
              <w:rPr>
                <w:rFonts w:ascii="Arial" w:cs="Arial" w:eastAsia="Arial" w:hAnsi="Arial"/>
                <w:sz w:val="14"/>
                <w:szCs w:val="14"/>
                <w:b w:val="1"/>
                <w:bCs w:val="1"/>
                <w:color w:val="auto"/>
                <w:w w:val="88"/>
              </w:rPr>
              <w:t>Net</w:t>
            </w:r>
          </w:p>
        </w:tc>
        <w:tc>
          <w:tcPr>
            <w:tcW w:w="840" w:type="dxa"/>
            <w:vAlign w:val="bottom"/>
          </w:tcPr>
          <w:p>
            <w:pPr>
              <w:jc w:val="right"/>
              <w:ind w:right="372"/>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jc w:val="center"/>
              <w:ind w:right="460"/>
              <w:spacing w:after="0" w:line="153" w:lineRule="exact"/>
              <w:rPr>
                <w:sz w:val="20"/>
                <w:szCs w:val="20"/>
                <w:color w:val="auto"/>
              </w:rPr>
            </w:pPr>
            <w:r>
              <w:rPr>
                <w:rFonts w:ascii="Arial" w:cs="Arial" w:eastAsia="Arial" w:hAnsi="Arial"/>
                <w:sz w:val="14"/>
                <w:szCs w:val="14"/>
                <w:b w:val="1"/>
                <w:bCs w:val="1"/>
                <w:color w:val="auto"/>
                <w:w w:val="88"/>
              </w:rPr>
              <w:t>Net</w:t>
            </w:r>
          </w:p>
        </w:tc>
        <w:tc>
          <w:tcPr>
            <w:tcW w:w="860" w:type="dxa"/>
            <w:vAlign w:val="bottom"/>
          </w:tcPr>
          <w:p>
            <w:pPr>
              <w:jc w:val="right"/>
              <w:ind w:right="352"/>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Change</w:t>
            </w: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Change</w:t>
            </w:r>
          </w:p>
        </w:tc>
        <w:tc>
          <w:tcPr>
            <w:tcW w:w="860" w:type="dxa"/>
            <w:vAlign w:val="bottom"/>
          </w:tcPr>
          <w:p>
            <w:pPr>
              <w:jc w:val="right"/>
              <w:ind w:right="19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Region and Channel</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Ortho</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43"/>
        </w:trPr>
        <w:tc>
          <w:tcPr>
            <w:tcW w:w="3200" w:type="dxa"/>
            <w:vAlign w:val="bottom"/>
          </w:tcPr>
          <w:p>
            <w:pPr>
              <w:ind w:left="720"/>
              <w:spacing w:after="0"/>
              <w:rPr>
                <w:sz w:val="20"/>
                <w:szCs w:val="20"/>
                <w:color w:val="auto"/>
              </w:rPr>
            </w:pPr>
            <w:r>
              <w:rPr>
                <w:rFonts w:ascii="Arial" w:cs="Arial" w:eastAsia="Arial" w:hAnsi="Arial"/>
                <w:sz w:val="18"/>
                <w:szCs w:val="18"/>
                <w:color w:val="auto"/>
              </w:rPr>
              <w:t>GP</w:t>
            </w: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North America</w:t>
            </w: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Invisalign non-case net revenues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55.5 %</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Total Clear Aligner net revenues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448.4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67"/>
        </w:trPr>
        <w:tc>
          <w:tcPr>
            <w:tcW w:w="32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Product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Invisalign Full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93.9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275.6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Invisalign Express/Lite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38.7 %</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Invisalign Teen</w:t>
            </w: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Invisalign Assist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Invisalign non-case net revenues</w:t>
            </w: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55.5 %</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Clear Aligner net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448.4</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SCCS: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Region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Total SCCS net revenues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67"/>
        </w:trPr>
        <w:tc>
          <w:tcPr>
            <w:tcW w:w="32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Product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Scanners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37.5 %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CAD/CAM Services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Total SCCS net revenues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67"/>
        </w:trPr>
        <w:tc>
          <w:tcPr>
            <w:tcW w:w="32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Total net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164.5</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481.9</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Total net revenues increased by $28.0 million and $64.7 million for the three and nine months ended September 30, 2013, respectively, as compared to the same period in 2012 primarily as a result of Invisalign case volume growth across all regions and most products as well as increased Invisalign non-case net revenues. Also, beginning June 15, 2013, we include up to three mid-course correction orders per case in our list prices for Invisalign Full and Invisalign Teen. As a result of this policy change, we have experienced an increase in mid-course correction cases in the three months ended September 30, 2013 and consequently increased our revenue deferral by $2.8 million.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Clear Aligner Case Volume by Channel and Product</w:t>
      </w:r>
    </w:p>
    <w:p>
      <w:pPr>
        <w:spacing w:after="0" w:line="225"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Case volume data which represents Invisalign case shipments by channel and product, for the three and nine months ended September 30, 2013 and 2012 is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5"/>
              </w:rPr>
              <w:t>Three Months Ended September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7"/>
              </w:rPr>
              <w:t>Nine Months Ended 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Region and Channel</w:t>
            </w:r>
          </w:p>
        </w:tc>
        <w:tc>
          <w:tcPr>
            <w:tcW w:w="9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02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20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Net</w:t>
            </w:r>
          </w:p>
        </w:tc>
        <w:tc>
          <w:tcPr>
            <w:tcW w:w="800" w:type="dxa"/>
            <w:vAlign w:val="bottom"/>
          </w:tcPr>
          <w:p>
            <w:pPr>
              <w:jc w:val="right"/>
              <w:ind w:right="333"/>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9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02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18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Net</w:t>
            </w:r>
          </w:p>
        </w:tc>
        <w:tc>
          <w:tcPr>
            <w:tcW w:w="820" w:type="dxa"/>
            <w:vAlign w:val="bottom"/>
          </w:tcPr>
          <w:p>
            <w:pPr>
              <w:jc w:val="right"/>
              <w:ind w:right="333"/>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Change</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9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Change</w:t>
            </w:r>
          </w:p>
        </w:tc>
        <w:tc>
          <w:tcPr>
            <w:tcW w:w="820" w:type="dxa"/>
            <w:vAlign w:val="bottom"/>
          </w:tcPr>
          <w:p>
            <w:pPr>
              <w:jc w:val="right"/>
              <w:ind w:right="1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380"/>
              <w:spacing w:after="0"/>
              <w:rPr>
                <w:sz w:val="20"/>
                <w:szCs w:val="20"/>
                <w:color w:val="auto"/>
              </w:rPr>
            </w:pPr>
            <w:r>
              <w:rPr>
                <w:rFonts w:ascii="Arial" w:cs="Arial" w:eastAsia="Arial" w:hAnsi="Arial"/>
                <w:sz w:val="18"/>
                <w:szCs w:val="18"/>
                <w:color w:val="auto"/>
              </w:rPr>
              <w:t>Ortho</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41.6</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119.1</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GP</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w:t>
            </w: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114.5</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color w:val="auto"/>
              </w:rPr>
              <w:t>Total North American Invisalign</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Invisalign</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w:t>
            </w: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77.6</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color w:val="auto"/>
              </w:rPr>
              <w:t>Total Invisalign case volume</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67"/>
        </w:trPr>
        <w:tc>
          <w:tcPr>
            <w:tcW w:w="326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w:t>
            </w: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Invisalign Full</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64.6</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191.4</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Invisalign Express/Lite</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Invisalign Teen</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17.7</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44.2</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Invisalign Assist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color w:val="auto"/>
              </w:rPr>
              <w:t>Total Invisalign case volume</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the three months ended September 30, 2013, Clear Aligner North America net revenues increased by $14.4 million or 16.1% compared to the same period in 2012 primarily due to Invisalign case volume growth of approximately $12.1 million across all channels and products and, to a lesser extent, higher ASP which contributed approximately $2.3 million to the increase in net revenues. The increase in ASP was as a result of lower promotional discounts during the period along with the impact from our price increases effective January 2013, which were offset in part by higher revenue deferrals for mid-course correction as a result of our policy change in June 2013.</w:t>
      </w:r>
    </w:p>
    <w:p>
      <w:pPr>
        <w:spacing w:after="0" w:line="188"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In the nine months ended September 30, 2013, Clear Aligner North America net revenues increased by $33.8 or 12.5% compared to the same period in 2012 mainly due to Invisalign case volume growth of $32.5 million and, to a lesser extent, an increase in ASP. The increased ASP was a result of lower promotional discounts as well as price increases which were effective January 2013, which were partly offset by a decrease in net revenues due to a product mix shift towards lower priced Invisalign Express products as well as the increase in the revenue deferrals related to mid-course corrections.</w:t>
      </w:r>
    </w:p>
    <w:p>
      <w:pPr>
        <w:spacing w:after="0" w:line="154"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In the three months ended September 30, 2013, Clear Aligner international net revenues increased by $9.2 million or 31.0% compared to the same period in 2012 primarily driven by Invisalign case volume growth of $6.6 million along with higher ASP. The increased ASP was due to the impact from acquiring our distributor in the APAC region on April 30, 2013, as we began to recognize direct sales of Invisalign products sold in that region at our full ASP rather than the discounted ASP under the distributor agreement, as well as a favorable impact from foreign exchange rates.</w:t>
      </w:r>
    </w:p>
    <w:p>
      <w:pPr>
        <w:spacing w:after="0" w:line="171" w:lineRule="exact"/>
        <w:rPr>
          <w:sz w:val="20"/>
          <w:szCs w:val="20"/>
          <w:color w:val="auto"/>
        </w:rPr>
      </w:pPr>
    </w:p>
    <w:p>
      <w:pPr>
        <w:jc w:val="both"/>
        <w:ind w:right="140" w:firstLine="405"/>
        <w:spacing w:after="0" w:line="277" w:lineRule="auto"/>
        <w:rPr>
          <w:sz w:val="20"/>
          <w:szCs w:val="20"/>
          <w:color w:val="auto"/>
        </w:rPr>
      </w:pPr>
      <w:r>
        <w:rPr>
          <w:rFonts w:ascii="Arial" w:cs="Arial" w:eastAsia="Arial" w:hAnsi="Arial"/>
          <w:sz w:val="18"/>
          <w:szCs w:val="18"/>
          <w:color w:val="auto"/>
        </w:rPr>
        <w:t>In the nine months ended September 30, 2013, Clear Aligner international net revenues increased $18.7 million or 20.3% compared to the same period in 2012 primarily driven by Invisalign case volume growth of $18.6 million.</w:t>
      </w:r>
    </w:p>
    <w:p>
      <w:pPr>
        <w:spacing w:after="0" w:line="170" w:lineRule="exact"/>
        <w:rPr>
          <w:sz w:val="20"/>
          <w:szCs w:val="20"/>
          <w:color w:val="auto"/>
        </w:rPr>
      </w:pPr>
    </w:p>
    <w:p>
      <w:pPr>
        <w:jc w:val="both"/>
        <w:ind w:right="160" w:firstLine="405"/>
        <w:spacing w:after="0" w:line="312" w:lineRule="auto"/>
        <w:rPr>
          <w:sz w:val="20"/>
          <w:szCs w:val="20"/>
          <w:color w:val="auto"/>
        </w:rPr>
      </w:pPr>
      <w:r>
        <w:rPr>
          <w:rFonts w:ascii="Arial" w:cs="Arial" w:eastAsia="Arial" w:hAnsi="Arial"/>
          <w:sz w:val="16"/>
          <w:szCs w:val="16"/>
          <w:color w:val="auto"/>
        </w:rPr>
        <w:t>Invisalign non-case net revenues, consisting of training fees and ancillary product revenues, increased 42.7% and 55.5% for the three and nine months ended September 30, 2013, respectively, compared to the same periods in 2012, primarily due to the consolidation of our Vivera product shipments in North America from four shipments per year to one combined shipment along with increased Vivera volume both in North America and international.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SCCS</w:t>
      </w:r>
    </w:p>
    <w:p>
      <w:pPr>
        <w:spacing w:after="0" w:line="225"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SCCS net revenues increased 12.2% for the three months ended September 30, 2013 compared to the same period in 2012 due to an increase in the number of scanners recognized partially offset by a decrease in CAD/CAM services net revenues as a result of the discontinuation of the OrthoCAD iQ services during the fourth quarter of 2012 as well lower scanner ASP.</w:t>
      </w:r>
    </w:p>
    <w:p>
      <w:pPr>
        <w:spacing w:after="0" w:line="18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SCCS net revenues was consistent for the nine months ended September 30, 2013 compared to the same period in 2012 as the increase in scanner revenues for the nine month period ending September 30, 2013 was fully offset by the decrease in CAD/CAM services net revenues for the same period. The increase in scanner revenues was primarily as a result of $1.4 million release of revenue which was previously reserved for the new iTero upgrade program which was completed in the first quarter of 2013, and the decline in CAD/CAM services net revenues was primarily the result of the discontinuation of the OrthoCAD iQ services during the fourth quarter of 2012.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net revenues and gross profit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right"/>
              <w:ind w:right="493"/>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right"/>
              <w:ind w:right="53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2"/>
                <w:szCs w:val="22"/>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189"/>
        </w:trPr>
        <w:tc>
          <w:tcPr>
            <w:tcW w:w="4480" w:type="dxa"/>
            <w:vAlign w:val="bottom"/>
            <w:tcBorders>
              <w:top w:val="single" w:sz="8" w:color="CCEEFF"/>
            </w:tcBorders>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Clear Aligner</w:t>
            </w: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25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43"/>
        </w:trPr>
        <w:tc>
          <w:tcPr>
            <w:tcW w:w="4480" w:type="dxa"/>
            <w:vAlign w:val="bottom"/>
            <w:gridSpan w:val="5"/>
          </w:tcPr>
          <w:p>
            <w:pPr>
              <w:ind w:left="40"/>
              <w:spacing w:after="0"/>
              <w:rPr>
                <w:sz w:val="20"/>
                <w:szCs w:val="20"/>
                <w:color w:val="auto"/>
              </w:rPr>
            </w:pPr>
            <w:r>
              <w:rPr>
                <w:rFonts w:ascii="Arial" w:cs="Arial" w:eastAsia="Arial" w:hAnsi="Arial"/>
                <w:sz w:val="18"/>
                <w:szCs w:val="18"/>
                <w:color w:val="auto"/>
              </w:rPr>
              <w:t>Cost of 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13.9</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 of net segment revenues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50.8</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03"/>
        </w:trPr>
        <w:tc>
          <w:tcPr>
            <w:tcW w:w="44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SCCS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44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4480" w:type="dxa"/>
            <w:vAlign w:val="bottom"/>
            <w:gridSpan w:val="5"/>
          </w:tcPr>
          <w:p>
            <w:pPr>
              <w:ind w:left="40"/>
              <w:spacing w:after="0"/>
              <w:rPr>
                <w:sz w:val="20"/>
                <w:szCs w:val="20"/>
                <w:color w:val="auto"/>
              </w:rPr>
            </w:pPr>
            <w:r>
              <w:rPr>
                <w:rFonts w:ascii="Arial" w:cs="Arial" w:eastAsia="Arial" w:hAnsi="Arial"/>
                <w:sz w:val="18"/>
                <w:szCs w:val="18"/>
                <w:color w:val="auto"/>
              </w:rPr>
              <w:t>% of net segment revenues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r>
      <w:tr>
        <w:trPr>
          <w:trHeight w:val="243"/>
        </w:trPr>
        <w:tc>
          <w:tcPr>
            <w:tcW w:w="4480" w:type="dxa"/>
            <w:vAlign w:val="bottom"/>
            <w:gridSpan w:val="5"/>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3"/>
        </w:trPr>
        <w:tc>
          <w:tcPr>
            <w:tcW w:w="44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Total cost of net revenues</w:t>
            </w:r>
          </w:p>
        </w:tc>
        <w:tc>
          <w:tcPr>
            <w:tcW w:w="2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13.0</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r>
        <w:trPr>
          <w:trHeight w:val="243"/>
        </w:trPr>
        <w:tc>
          <w:tcPr>
            <w:tcW w:w="4480" w:type="dxa"/>
            <w:vAlign w:val="bottom"/>
            <w:gridSpan w:val="5"/>
          </w:tcPr>
          <w:p>
            <w:pPr>
              <w:ind w:left="4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361.6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w:t>
            </w:r>
          </w:p>
        </w:tc>
      </w:tr>
      <w:tr>
        <w:trPr>
          <w:trHeight w:val="243"/>
        </w:trPr>
        <w:tc>
          <w:tcPr>
            <w:tcW w:w="4480" w:type="dxa"/>
            <w:vAlign w:val="bottom"/>
            <w:gridSpan w:val="5"/>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ind w:right="80" w:firstLine="243"/>
        <w:spacing w:after="0" w:line="264" w:lineRule="auto"/>
        <w:rPr>
          <w:sz w:val="20"/>
          <w:szCs w:val="20"/>
          <w:color w:val="auto"/>
        </w:rPr>
      </w:pPr>
      <w:r>
        <w:rPr>
          <w:rFonts w:ascii="Arial" w:cs="Arial" w:eastAsia="Arial" w:hAnsi="Arial"/>
          <w:sz w:val="18"/>
          <w:szCs w:val="18"/>
          <w:color w:val="auto"/>
        </w:rPr>
        <w:t>Cost of net revenues for our Clear Aligner and SCCS segments includes salaries for staff involved in the production process, cost of materials, packaging, shipping costs, depreciation on capital equipment used in the production process, amortization of acquired intangible assets, training costs and stock-based compensation expense.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Clear Aligner</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Gross margin increased for the three months ended September 30, 2013 compared to the same period in 2012 due to higher ASP, increased fixed cost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absorption due to higher volumes and lower warranty costs as a result of reduced claims corresponding with the change in our mid-course correction policy.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gross margin improvements were partially offset by increased material costs, primarily related to our new SmartTrack material.</w:t>
      </w:r>
    </w:p>
    <w:p>
      <w:pPr>
        <w:spacing w:after="0" w:line="211" w:lineRule="exact"/>
        <w:rPr>
          <w:sz w:val="20"/>
          <w:szCs w:val="20"/>
          <w:color w:val="auto"/>
        </w:rPr>
      </w:pPr>
    </w:p>
    <w:p>
      <w:pPr>
        <w:ind w:right="120" w:firstLine="243"/>
        <w:spacing w:after="0" w:line="286" w:lineRule="auto"/>
        <w:rPr>
          <w:sz w:val="20"/>
          <w:szCs w:val="20"/>
          <w:color w:val="auto"/>
        </w:rPr>
      </w:pPr>
      <w:r>
        <w:rPr>
          <w:rFonts w:ascii="Arial" w:cs="Arial" w:eastAsia="Arial" w:hAnsi="Arial"/>
          <w:sz w:val="17"/>
          <w:szCs w:val="17"/>
          <w:color w:val="auto"/>
        </w:rPr>
        <w:t>Gross margins were flat for the nine months ended September 30, 2013 compared to the same period in 2012 due to favorable margin impact from higher ASP which was offset by an increase in material costs primarily related to our new SmartTrack material. In addition, we incurred higher inventory reserves for our prior aligner material which has been substantially replaced by our new SmartTrack aligner material.</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SCCS</w:t>
      </w:r>
    </w:p>
    <w:p>
      <w:pPr>
        <w:spacing w:after="0" w:line="158" w:lineRule="exact"/>
        <w:rPr>
          <w:sz w:val="20"/>
          <w:szCs w:val="20"/>
          <w:color w:val="auto"/>
        </w:rPr>
      </w:pPr>
    </w:p>
    <w:p>
      <w:pPr>
        <w:ind w:right="80" w:firstLine="243"/>
        <w:spacing w:after="0" w:line="286" w:lineRule="auto"/>
        <w:rPr>
          <w:sz w:val="20"/>
          <w:szCs w:val="20"/>
          <w:color w:val="auto"/>
        </w:rPr>
      </w:pPr>
      <w:r>
        <w:rPr>
          <w:rFonts w:ascii="Arial" w:cs="Arial" w:eastAsia="Arial" w:hAnsi="Arial"/>
          <w:sz w:val="17"/>
          <w:szCs w:val="17"/>
          <w:color w:val="auto"/>
        </w:rPr>
        <w:t>Gross margin increased for the three months ended September 30, 2013 compared to the same period in 2012 due to lower manufacturing costs as a result of the closure of our New Jersey facility, which was completed by October 2012, lower training costs and lower inventory reserves. These gross margin improvements were partially offset by lower margins on sales of our older scanner model and an increase in warranty costs.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80" w:firstLine="243"/>
        <w:spacing w:after="0" w:line="279" w:lineRule="auto"/>
        <w:rPr>
          <w:sz w:val="20"/>
          <w:szCs w:val="20"/>
          <w:color w:val="auto"/>
        </w:rPr>
      </w:pPr>
      <w:r>
        <w:rPr>
          <w:rFonts w:ascii="Arial" w:cs="Arial" w:eastAsia="Arial" w:hAnsi="Arial"/>
          <w:sz w:val="17"/>
          <w:szCs w:val="17"/>
          <w:color w:val="auto"/>
        </w:rPr>
        <w:t>Gross margin increased for the nine months ended September 30, 2013 compared to the same period in 2012 primarily from higher scanner ASP as a result of the $1.4 million release of revenue for amounts previously reserved for the new iTero scanner upgrade program which was completed in the first quarter of 2013. We also reduced our manufacturing costs as a result of the closure of our New Jersey facility, which was completed by October 2012, and a reduction in training costs; however, these savings were offset by lower manufacturing cost absorption.</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Sales and marketing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7"/>
          </w:tcPr>
          <w:p>
            <w:pPr>
              <w:jc w:val="right"/>
              <w:ind w:right="51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2"/>
                <w:szCs w:val="22"/>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179"/>
              <w:spacing w:after="0"/>
              <w:rPr>
                <w:sz w:val="20"/>
                <w:szCs w:val="20"/>
                <w:color w:val="auto"/>
              </w:rPr>
            </w:pPr>
            <w:r>
              <w:rPr>
                <w:rFonts w:ascii="Arial" w:cs="Arial" w:eastAsia="Arial" w:hAnsi="Arial"/>
                <w:sz w:val="14"/>
                <w:szCs w:val="14"/>
                <w:b w:val="1"/>
                <w:bCs w:val="1"/>
                <w:color w:val="auto"/>
              </w:rPr>
              <w:t>Change</w:t>
            </w:r>
          </w:p>
        </w:tc>
      </w:tr>
      <w:tr>
        <w:trPr>
          <w:trHeight w:val="250"/>
        </w:trPr>
        <w:tc>
          <w:tcPr>
            <w:tcW w:w="4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45.2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135.4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21.1</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w w:val="93"/>
              </w:rPr>
              <w:t>27.5%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w w:val="93"/>
              </w:rPr>
              <w:t>26.7%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229"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Sales and marketing expense includes sales force and marketing compensation (including travel-related costs), media and advertising, clinical education, trade shows and industry events, product marketing and stock-based compensation expense.</w:t>
      </w:r>
    </w:p>
    <w:p>
      <w:pPr>
        <w:spacing w:after="0" w:line="170" w:lineRule="exact"/>
        <w:rPr>
          <w:sz w:val="20"/>
          <w:szCs w:val="20"/>
          <w:color w:val="auto"/>
        </w:rPr>
      </w:pPr>
    </w:p>
    <w:p>
      <w:pPr>
        <w:ind w:right="260" w:firstLine="432"/>
        <w:spacing w:after="0" w:line="286" w:lineRule="auto"/>
        <w:rPr>
          <w:sz w:val="20"/>
          <w:szCs w:val="20"/>
          <w:color w:val="auto"/>
        </w:rPr>
      </w:pPr>
      <w:r>
        <w:rPr>
          <w:rFonts w:ascii="Arial" w:cs="Arial" w:eastAsia="Arial" w:hAnsi="Arial"/>
          <w:sz w:val="17"/>
          <w:szCs w:val="17"/>
          <w:color w:val="auto"/>
        </w:rPr>
        <w:t>Our sales and marketing expense for the three months ended September 30, 2013 increased compared to the same period in 2012 primarily due to higher compensation costs of $6.7 million largely related to increased headcount, higher sales commissions and stock-based compensation. In addition, we incurred higher advertising and media costs of approximately $1.8 million related to network and television media campaigns.</w:t>
      </w:r>
    </w:p>
    <w:p>
      <w:pPr>
        <w:spacing w:after="0" w:line="166"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Our sales and marketing expense for the nine months ended September 30, 2013 increased compared to the same period in 2012 primarily due to higher compensation costs of $12.4 million largely related to increased headcount, higher sales commissions and stock-based compensation. In addition, we incurred higher advertising and media costs of approximately $4.9 million related to network and television media campaigns and higher clinical education costs of $1.5 million largely as a result of our bi-annual Invisalign European Summit which was held during the second quarter of 2013.</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2"/>
                <w:szCs w:val="22"/>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84.9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71.3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13.6</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840" w:type="dxa"/>
            <w:vAlign w:val="bottom"/>
          </w:tcPr>
          <w:p>
            <w:pPr>
              <w:ind w:left="320"/>
              <w:spacing w:after="0"/>
              <w:rPr>
                <w:sz w:val="20"/>
                <w:szCs w:val="20"/>
                <w:color w:val="auto"/>
              </w:rPr>
            </w:pPr>
            <w:r>
              <w:rPr>
                <w:rFonts w:ascii="Arial" w:cs="Arial" w:eastAsia="Arial" w:hAnsi="Arial"/>
                <w:sz w:val="18"/>
                <w:szCs w:val="18"/>
                <w:color w:val="auto"/>
                <w:w w:val="97"/>
              </w:rPr>
              <w:t>16.7%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18.1%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17.1%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General and administrative expense includes salaries for administrative personnel, outside consulting services, legal expenses and stock-based compensation expense.</w:t>
      </w:r>
    </w:p>
    <w:p>
      <w:pPr>
        <w:spacing w:after="0" w:line="170"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General and administrative expense increased for the three months ended September 30, 2013 compared to the same period in 2012 primarily due to higher compensation costs of $2.0 million as a result of higher stock-based compensation and increased headcount. Additionally, we incurred $1.8 million of medical device excise tax as a result of new tax regulations effective January 1, 2013. These costs were partially offset by lower legal fees of $2.2 million.</w:t>
      </w:r>
    </w:p>
    <w:p>
      <w:pPr>
        <w:spacing w:after="0" w:line="147"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General and administrative expense increased for the nine months ended September 30, 2013 primarily due to higher compensation costs of $7.0 million as a result of higher stock-based compensation and increased headcount along with $5.3 million of medical device excise tax.</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right"/>
              <w:ind w:right="499"/>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right"/>
              <w:ind w:right="53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2"/>
                <w:szCs w:val="22"/>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175" w:lineRule="exact"/>
        <w:rPr>
          <w:sz w:val="20"/>
          <w:szCs w:val="20"/>
          <w:color w:val="auto"/>
        </w:rPr>
      </w:pPr>
    </w:p>
    <w:p>
      <w:pPr>
        <w:jc w:val="both"/>
        <w:ind w:right="100" w:firstLine="432"/>
        <w:spacing w:after="0" w:line="381" w:lineRule="auto"/>
        <w:rPr>
          <w:sz w:val="20"/>
          <w:szCs w:val="20"/>
          <w:color w:val="auto"/>
        </w:rPr>
      </w:pPr>
      <w:r>
        <w:rPr>
          <w:rFonts w:ascii="Arial" w:cs="Arial" w:eastAsia="Arial" w:hAnsi="Arial"/>
          <w:sz w:val="15"/>
          <w:szCs w:val="15"/>
          <w:color w:val="auto"/>
        </w:rPr>
        <w:t>Research and development expense includes the personnel-related costs and outside consulting expenses associated with the research and development of new products and enhancements to existing products, corporate allocations, facility and facility related costs and stock-based compensation expense.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Research and development expense during the three and nine months ended September 30, 2013, compared to the same period in 2012 increased slightly primarily due to of higher compensation costs of $0.7 million and $1.4 million, respectively.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goodwill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3420" w:type="dxa"/>
            <w:vAlign w:val="bottom"/>
            <w:tcBorders>
              <w:bottom w:val="single" w:sz="8" w:color="auto"/>
            </w:tcBorders>
            <w:gridSpan w:val="8"/>
          </w:tcPr>
          <w:p>
            <w:pPr>
              <w:jc w:val="right"/>
              <w:ind w:right="499"/>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right"/>
              <w:ind w:right="53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4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70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700" w:type="dxa"/>
            <w:vAlign w:val="bottom"/>
          </w:tcPr>
          <w:p>
            <w:pPr>
              <w:spacing w:after="0"/>
              <w:rPr>
                <w:sz w:val="21"/>
                <w:szCs w:val="21"/>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18.1%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goodwill impairment charge recorded in the third quarter of 2013.</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During the nine months ended September 30, 2013, we recorded $40.7 million for the impairment of goodwill. In the first quarter of 2013, we determined that the goodwill for our SCCS reporting unit should be tested for impairment between annual tests since an event occurred or circumstances changed that would more likely than not reduce the fair value of our SCCS reporting unit below its carrying amount. As a result of our analysis, we recorded a goodwill impairment charge of $40.7 million in the first quarter of 2013, none of which was deductible for tax purposes. Refer to Note 5 for details of the impairment analysis.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long-lived assets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340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7"/>
          </w:tcPr>
          <w:p>
            <w:pPr>
              <w:jc w:val="right"/>
              <w:ind w:right="53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long-lived assets</w:t>
            </w:r>
          </w:p>
        </w:tc>
        <w:tc>
          <w:tcPr>
            <w:tcW w:w="70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26.3</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700" w:type="dxa"/>
            <w:vAlign w:val="bottom"/>
          </w:tcPr>
          <w:p>
            <w:pPr>
              <w:spacing w:after="0"/>
              <w:rPr>
                <w:sz w:val="21"/>
                <w:szCs w:val="21"/>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impairment of long-lived assets recorded in the third quarter of 2013.</w:t>
      </w:r>
    </w:p>
    <w:p>
      <w:pPr>
        <w:spacing w:after="0" w:line="225"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During the nine months ended September 30, 2013, we recorded $26.3 million related to the impairment of long-lived assets. This impairment was recorded in the first quarter of 2013 as a result of changes in the competitive environment of our intra-oral scanners, which included announcements of new low-priced scanners targeted at orthodontists and general practitioner dentists in North America, which caused us to lower our expectations for growth and profitability for our SCCS reporting unit. Therefore, we determined that the carrying value of the long-lived assets was not recoverable and recorded an impairment charge of $26.3 million. Refer to Note 5 for details of the impairment analysis.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and other income (expense), net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3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center"/>
              <w:ind w:right="119"/>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47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22"/>
                <w:szCs w:val="22"/>
                <w:color w:val="auto"/>
              </w:rPr>
            </w:pPr>
          </w:p>
        </w:tc>
        <w:tc>
          <w:tcPr>
            <w:tcW w:w="800" w:type="dxa"/>
            <w:vAlign w:val="bottom"/>
          </w:tcPr>
          <w:p>
            <w:pPr>
              <w:jc w:val="right"/>
              <w:ind w:right="30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43"/>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680" w:type="dxa"/>
            <w:vAlign w:val="bottom"/>
            <w:tcBorders>
              <w:top w:val="single" w:sz="8" w:color="auto"/>
            </w:tcBorders>
            <w:shd w:val="clear" w:color="auto" w:fill="CCEEFF"/>
          </w:tcPr>
          <w:p>
            <w:pPr>
              <w:jc w:val="right"/>
              <w:ind w:right="482"/>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0.5</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47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Interest and other income (expense), net, includes interest income earned on cash, cash equivalents and investment balances, foreign currency translation gains and losses and other miscellaneous charges.</w:t>
      </w:r>
    </w:p>
    <w:p>
      <w:pPr>
        <w:spacing w:after="0" w:line="17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Interest and other income (expense) for the three months ended September 30, 2013 increased compared to the same period in 2012 reflecting higher foreign exchange gains primarily due to the weakening of the U.S. dollar to the Euro.</w:t>
      </w:r>
    </w:p>
    <w:p>
      <w:pPr>
        <w:spacing w:after="0" w:line="170"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Interest and other income (expense) for the nine months ended September 30, 2013 compared to the same period in 2012 increased reflecting higher foreign exchange losses primarily due to the strengthening of the U.S. dollar to the Euro and the weakening of the Australian dollar to the Euro.</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right"/>
              <w:ind w:right="499"/>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2"/>
                <w:szCs w:val="22"/>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Effective tax rates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45.9%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27.6%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ind w:right="320" w:firstLine="405"/>
        <w:spacing w:after="0" w:line="257" w:lineRule="auto"/>
        <w:rPr>
          <w:sz w:val="20"/>
          <w:szCs w:val="20"/>
          <w:color w:val="auto"/>
        </w:rPr>
      </w:pPr>
      <w:r>
        <w:rPr>
          <w:rFonts w:ascii="Arial" w:cs="Arial" w:eastAsia="Arial" w:hAnsi="Arial"/>
          <w:sz w:val="18"/>
          <w:szCs w:val="18"/>
          <w:color w:val="auto"/>
        </w:rPr>
        <w:t>Our provision for income taxes was $7.4 million and $4.5 million for the three months ended September 30, 2013 and 2012, respectively. This represents effective tax rates of 17.6% and 108.3%, respectively. The increase in provision for income taxes was primarily due to higher pre-tax income, which was partially offset by a $1.3 million discrete benefit related to the filing of our 2012 U.S. tax return as well as a jurisdictional shift in forecasted earnings from the U.S. to lower-tax non-U.S. jurisdictions. The effective tax rate for the three months ended September 30, 2012 reflects a non-deductible goodwill impairment charge of $24.7 million.</w:t>
      </w:r>
    </w:p>
    <w:p>
      <w:pPr>
        <w:spacing w:after="0" w:line="188"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Our provision for income taxes was $18.5 million and $18.8 million for the nine months ended September 30, 2013 and 2012, respectively. This represents effective tax rates of 45.9% and 27.6%, respectively. The decrease in provision for income taxes was primarily due to a jurisdictional shift in forecasted earnings from the U.S. to lower-tax non-U.S. jurisdictions and a $1.3 million discrete benefit related to the filing of our 2012 U.S. tax return, partially offset by a $5.8 million tax expense related to the impairment of goodwill and long-lived assets. The $5.8 million, which was recorded as a discrete item during the three months ended March 31, 2013, was comprised of a $9.7 million tax expense due to a non-deductible goodwill impairment charge offset by a $3.9 million tax benefit associated with the impairment of long-lived assets. The effective tax rate for the nine months ended September 30, 2013 reflects a non-deductible goodwill impairment charge of $40.7 million recorded during the three months ended March 31, 2013</w:t>
      </w:r>
    </w:p>
    <w:p>
      <w:pPr>
        <w:spacing w:after="0" w:line="17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On January 2, 2013, the American Taxpayer Relief Act of 2012 (H.R. 8, as amended) was signed into law. This Act extends the federal research and development credit through December 31, 2013. The federal research and development credit was reinstated retroactively to January 1, 2012. The tax benefit of the federal research and development credit for the twelve months ended December 31, 2012 resulted in a discrete tax benefit of $0.5 million in the first quarter of fiscal year 2013, the period in which the reinstatement was enacted into law.</w:t>
      </w:r>
    </w:p>
    <w:p>
      <w:pPr>
        <w:spacing w:after="0" w:line="18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As of September 30, 2013, we maintained a valuation allowance of $30.3 million against deferred tax assets primarily related to foreign net operating loss carryforwards and capital loss carryforwards. These net operating and capital loss carryforwards would result in an income tax benefit if we were to conclude it is more likely than not that the related deferred tax assets will be realized.</w:t>
      </w:r>
    </w:p>
    <w:p>
      <w:pPr>
        <w:spacing w:after="0" w:line="181"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During the three months ended September 30, 2013, the change in our gross unrecognized tax benefits was not material. The total amount of gross unrecognized tax benefits was $23.7 million as of September 30, 2013, all of which would impact our effective tax rate if recognized. We have elected to recognize interest and penalties related to unrecognized tax benefits as a component of income taxes. The change in accrued interest and penalties during the three months ended September 30, 2013, was not material. We do not expect any significant changes to the amount of unrecognized tax benefit within the next twelve months.</w:t>
      </w:r>
    </w:p>
    <w:p>
      <w:pPr>
        <w:spacing w:after="0" w:line="188"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We are subject to taxation in the U.S., and various states and foreign jurisdictions. All of our tax years will be open to examination by the U.S. federal and most state tax authorities due to our net operating loss and overall credit carryforward position. With few exceptions, we are no longer subject to examination by foreign tax authorities for years before 2006. Our subsidiaries in Israel and Germany are under audit by the local tax authorities for calendar years 2006 through 2011 and 2007 through 2011,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fund our operations from product sales and the proceeds from the sale of our common stock. As of September 30, 2013 and December 31, 2012, we had the following cash, cash equivalents, and short-term and long-term investments (in thousands):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40" w:type="dxa"/>
            <w:vAlign w:val="bottom"/>
          </w:tcPr>
          <w:p>
            <w:pPr>
              <w:jc w:val="right"/>
              <w:ind w:right="23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2012</w:t>
            </w: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175,839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306,386</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Marketable securities, short-term</w:t>
            </w: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147,740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28,485</w:t>
            </w:r>
          </w:p>
        </w:tc>
      </w:tr>
      <w:tr>
        <w:trPr>
          <w:trHeight w:val="27"/>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76,836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21,252</w:t>
            </w:r>
          </w:p>
        </w:tc>
      </w:tr>
      <w:tr>
        <w:trPr>
          <w:trHeight w:val="237"/>
        </w:trPr>
        <w:tc>
          <w:tcPr>
            <w:tcW w:w="828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400,415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356,123</w:t>
            </w:r>
          </w:p>
        </w:tc>
      </w:tr>
      <w:tr>
        <w:trPr>
          <w:trHeight w:val="27"/>
        </w:trPr>
        <w:tc>
          <w:tcPr>
            <w:tcW w:w="8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(in thousands):</w:t>
      </w:r>
    </w:p>
    <w:p>
      <w:pPr>
        <w:spacing w:after="0" w:line="200" w:lineRule="exact"/>
        <w:rPr>
          <w:sz w:val="20"/>
          <w:szCs w:val="20"/>
          <w:color w:val="auto"/>
        </w:rPr>
      </w:pPr>
    </w:p>
    <w:p>
      <w:pPr>
        <w:spacing w:after="0" w:line="219"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flow provided by (used in) :</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118,864</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83,020</w:t>
            </w:r>
          </w:p>
        </w:tc>
      </w:tr>
      <w:tr>
        <w:trPr>
          <w:trHeight w:val="27"/>
        </w:trPr>
        <w:tc>
          <w:tcPr>
            <w:tcW w:w="8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(65,648)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(48,902)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46,819</w:t>
            </w:r>
          </w:p>
        </w:tc>
      </w:tr>
      <w:tr>
        <w:trPr>
          <w:trHeight w:val="27"/>
        </w:trPr>
        <w:tc>
          <w:tcPr>
            <w:tcW w:w="8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Effects of exchange rate changes on cash and cash equivalents</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(130,547)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64,232</w:t>
            </w:r>
          </w:p>
        </w:tc>
      </w:tr>
      <w:tr>
        <w:trPr>
          <w:trHeight w:val="27"/>
        </w:trPr>
        <w:tc>
          <w:tcPr>
            <w:tcW w:w="8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As of September 30, 2013, we had $400.4 million of cash, cash equivalents and short-term and long-term marketable securities. Cash equivalents and marketable securities are comprised of money market funds and debt instruments which include commercial paper, corporate bonds, U.S. government agency bonds, U.S. dollar dominated foreign corporate bonds, U.S. government treasury bonds, municipal securities and asset-backed securities.</w:t>
      </w:r>
    </w:p>
    <w:p>
      <w:pPr>
        <w:spacing w:after="0" w:line="14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As of September 30, 2013, approximately $194.2 million of cash, cash equivalents and short-term and long-term marketable securities was held by our foreign subsidiaries. Amounts held by foreign subsidiaries are generally subject to U.S. income taxation on repatriation to the U.S. The costs to repatriate our foreign earnings to the U.S. would likely be material; however, our intent is to permanently reinvest our earnings from foreign operations, and our current plans do not require us to repatriate them to fund our U.S. operations as we generate sufficient domestic operating cash flow and have access to external funding under our current revolving line of credit.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Activities</w:t>
      </w:r>
    </w:p>
    <w:p>
      <w:pPr>
        <w:spacing w:after="0" w:line="16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For the nine months ended September 30, 2013, cash flows from operations of $118.9 million resulted primarily from our net income of approximately $21.9 million along with the following significant reasons: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Significant non-cash activities</w:t>
      </w:r>
    </w:p>
    <w:p>
      <w:pPr>
        <w:spacing w:after="0" w:line="158"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 of goodwill of $40.7 million.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 of long-lived assets of $26.3 million.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Excess tax benefits from our share-based compensation arrangements of $21.8 million.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 of $21.3 million related to equity incentive compensation awards granted to our employees.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Depreciation and amortization of property, plant and equipment and intangibles of $12.6 million.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Release of deferred taxes of $14.5 million primarily due to the utilization of our deferred tax assets.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Provisions for allowances for doubtful accounts, credit reserves and returns of $1.2 million.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158"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receivable increased by $5.9 million due to the increase in net revenues, reducing our cash inflow from operations.</w:t>
      </w:r>
    </w:p>
    <w:p>
      <w:pPr>
        <w:spacing w:after="0" w:line="171" w:lineRule="exact"/>
        <w:rPr>
          <w:rFonts w:ascii="Arial" w:cs="Arial" w:eastAsia="Arial" w:hAnsi="Arial"/>
          <w:sz w:val="18"/>
          <w:szCs w:val="18"/>
          <w:color w:val="auto"/>
        </w:rPr>
      </w:pPr>
    </w:p>
    <w:p>
      <w:pPr>
        <w:ind w:left="980" w:right="220" w:hanging="486"/>
        <w:spacing w:after="0" w:line="342"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Deferred revenues increased by $8.4 million primarily due to higher product sales during the first three quarters of 2013 along with additional deferrals as a result of our mid-course correction policy change in June 2013, increasing our cash inflow from operating activities.</w:t>
      </w:r>
    </w:p>
    <w:p>
      <w:pPr>
        <w:spacing w:after="0" w:line="7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For the nine months ended September 30, 2012, cash flows from operations of $83.0 million resulted primarily from our net profit of approximately $49.1 million and the following significant reasons: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Significant non-cash activities</w:t>
      </w:r>
    </w:p>
    <w:p>
      <w:pPr>
        <w:spacing w:after="0" w:line="158"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Release of deferred taxes of $13.2 million primarily due to the utilization of our deferred tax assets.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Depreciation and amortization of property, plant and equipment and intangibles of $12.5 million.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 was $15.5 million related to equity incentive compensation granted to employees.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Excess tax benefit from our share-based compensation arrangement were $18.1 million.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 of goodwill was $24.7 million.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for allowances for doubtful accounts, credit reserves and returns of $2.7 million.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158"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Accounts receivable increased by $17.4 million due to the increase in net revenues, reducing our cash inflows from operating activities.</w:t>
      </w:r>
    </w:p>
    <w:p>
      <w:pPr>
        <w:spacing w:after="0" w:line="182" w:lineRule="exact"/>
        <w:rPr>
          <w:rFonts w:ascii="Arial" w:cs="Arial" w:eastAsia="Arial" w:hAnsi="Arial"/>
          <w:sz w:val="17"/>
          <w:szCs w:val="17"/>
          <w:color w:val="auto"/>
        </w:rPr>
      </w:pPr>
    </w:p>
    <w:p>
      <w:pPr>
        <w:ind w:left="980" w:right="84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Inventories increased by $5.7 million which was primarily due to increased production volumes for our intra-oral scanner products in preparation for the move into our new facility in Israel, reducing our cash inflow from operating activities.</w:t>
      </w:r>
    </w:p>
    <w:p>
      <w:pPr>
        <w:spacing w:after="0" w:line="116" w:lineRule="exact"/>
        <w:rPr>
          <w:rFonts w:ascii="Arial" w:cs="Arial" w:eastAsia="Arial" w:hAnsi="Arial"/>
          <w:sz w:val="18"/>
          <w:szCs w:val="18"/>
          <w:color w:val="auto"/>
        </w:rPr>
      </w:pPr>
    </w:p>
    <w:p>
      <w:pPr>
        <w:ind w:left="980" w:right="4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Prepaid expenses and other assets increased $1.6 million primarily due to the timing of software license and insurance policy renewals, reducing our cash inflow from operations.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Accounts payable decreased by $3.9 million during the first three quarters of 2012, reducing our cash inflow from operating activities.</w:t>
      </w:r>
    </w:p>
    <w:p>
      <w:pPr>
        <w:spacing w:after="0" w:line="182" w:lineRule="exact"/>
        <w:rPr>
          <w:rFonts w:ascii="Arial" w:cs="Arial" w:eastAsia="Arial" w:hAnsi="Arial"/>
          <w:sz w:val="17"/>
          <w:szCs w:val="17"/>
          <w:color w:val="auto"/>
        </w:rPr>
      </w:pPr>
    </w:p>
    <w:p>
      <w:pPr>
        <w:ind w:left="980" w:right="22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Deferred revenues increased by $12.7 million primarily due to higher product sales during the first three quarters of 2012, increasing our cash inflow from operating activities.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Investing Activities</w:t>
      </w:r>
    </w:p>
    <w:p>
      <w:pPr>
        <w:spacing w:after="0" w:line="162"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Net cash used in investing activities was $200.0 million for the nine months ended September 30, 2013 primarily consisted of purchases of marketable securities of $214.0 million, property, plant and equipment purchases of $15.2 million, the acquisition of ICA for $7.7 million, net of cash acquired, and other investing activities of $2.3 million. These uses were partially offset by $39.2 million of maturities and sales of our marketable securities.</w:t>
      </w:r>
    </w:p>
    <w:p>
      <w:pPr>
        <w:spacing w:after="0" w:line="14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Net cash used in investing activities was $65.6 million for the nine months ended September 30, 2012 primarily consisted of our purchase of marketable securities of $53.9 million and property, plant and equipment purchases of $31.5 million. These costs were partially offset by $17.4 million of maturities and sales of our marketable securities and other investing activities of $2.4 million.</w:t>
      </w:r>
    </w:p>
    <w:p>
      <w:pPr>
        <w:spacing w:after="0" w:line="18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Although we believe our current investment portfolio has little risk of impairment, we cannot predict future market conditions or market liquidity and can provide no assurance that our investment portfolio will remain unimpaired.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Financing Activities</w:t>
      </w:r>
    </w:p>
    <w:p>
      <w:pPr>
        <w:spacing w:after="0" w:line="162"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Net cash used by financing activities was $48.9 million for the nine months ended September 30, 2013 primarily resulting from $95.1 million of common stock repurchases and $3.9 million of payroll taxes paid for vesting of restricted stock units through share withholdings. These costs were partially offset by $28.3 million in proceeds from the issuance of our common stock and $21.8 million from excess tax benefit from our share-based compensation arrangements.</w:t>
      </w:r>
    </w:p>
    <w:p>
      <w:pPr>
        <w:spacing w:after="0" w:line="187" w:lineRule="exact"/>
        <w:rPr>
          <w:sz w:val="20"/>
          <w:szCs w:val="20"/>
          <w:color w:val="auto"/>
        </w:rPr>
      </w:pPr>
    </w:p>
    <w:p>
      <w:pPr>
        <w:jc w:val="both"/>
        <w:ind w:right="280" w:firstLine="432"/>
        <w:spacing w:after="0" w:line="259" w:lineRule="auto"/>
        <w:rPr>
          <w:sz w:val="20"/>
          <w:szCs w:val="20"/>
          <w:color w:val="auto"/>
        </w:rPr>
      </w:pPr>
      <w:r>
        <w:rPr>
          <w:rFonts w:ascii="Arial" w:cs="Arial" w:eastAsia="Arial" w:hAnsi="Arial"/>
          <w:sz w:val="18"/>
          <w:szCs w:val="18"/>
          <w:color w:val="auto"/>
        </w:rPr>
        <w:t>Net cash provided by financing activities was $46.8 million for the nine months ended September 30, 2012 primarily resulting from $40.2 million in proceeds from the issuance of our common stock and $18.1 million from excess tax benefit from our share-based compensation arrangements. These costs were partially offset by $9.8 million of common stock repurchases and $1.8 million of payroll taxes paid for vesting of restricted stock units through share withholdings.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contractual obligations have not significantly changed since December 31, 2012. We believe that our current cash, cash equivalents and short-term marketable securities combined with our existing borrowing capacity will be sufficient to fund our operations for at least the next 12 months. If we are unable to generate adequate operating cash flows and need more funds beyond those available under our credit facility, we may need to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As of September 30, 2013, we had no off-balance sheet arrangements that have, or are reasonably likely to have, a current or future material effect on our consolidated financial condition,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Provisions</w:t>
      </w:r>
    </w:p>
    <w:p>
      <w:pPr>
        <w:spacing w:after="0" w:line="9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19"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September 30, 2013,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condensed consolidated financial statements requires our management to make estimates and judgments that affect the reported amounts of assets and liabilities, net revenues and expenses and disclosures at the date of the financial statements. We evaluate our estimates on an on-going basis, including those related to revenue recognition, accounts receivable, intangible assets, legal contingencies, impairment of goodwill and income taxes. We use authoritative pronouncements, historical experience and other assumptions as the basis for making estimates. Actual results could differ from those estimates.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We believe the following critical accounting policies reflect our most significant estimates, judgments and assumptions used in the preparation of our consolidated financial statements. These critical accounting policies and related disclosures appear in our Annual Report on Form 10-K for the year ended December 31, 2012:</w:t>
      </w:r>
    </w:p>
    <w:p>
      <w:pPr>
        <w:spacing w:after="0" w:line="114"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Long-lived assets, including finite-lived purchased intangible assets;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Deferred tax valuation allowance;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Goodwill;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of goodwill and long-lived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See Note 1 “Summary of Significant Accounting Policies” of the Notes to Condensed Consolidated Financial Statements for a discussion of recent accounting pronouncements.</w:t>
      </w:r>
    </w:p>
    <w:p>
      <w:pPr>
        <w:spacing w:after="0" w:line="200" w:lineRule="exact"/>
        <w:rPr>
          <w:sz w:val="20"/>
          <w:szCs w:val="20"/>
          <w:color w:val="auto"/>
        </w:rPr>
      </w:pPr>
    </w:p>
    <w:p>
      <w:pPr>
        <w:spacing w:after="0" w:line="21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4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us, see Item 7A, “Quantitative and Qualitative Disclosures About Market Risk,” in our Annual Report on Form 10-K for the year ended December 31, 2012, which is incorporated herein by reference. Our exposure to market risk has not changed materially since December 31, 2012.</w:t>
      </w:r>
    </w:p>
    <w:p>
      <w:pPr>
        <w:spacing w:after="0" w:line="20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September 30, 2013,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 rules and forms.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125" w:right="31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November 28, 2012, plaintiff City of Dearborn Heights Act 345 Police &amp; Fire Retirement System filed a lawsuit against Align, Thomas M. Prescott (“Mr. Prescott”), Align's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names the same defendants, on behalf of a purported class of purchasers of our common stock between January 31, 2012 and October 17, 2012. The amended complaint alleges that Align, Mr. Prescott and Mr. Arola violated Section 10(b) of the Securities Exchange Act of 1934 and Rule 10b-5 promulgated thereunder, and that Mr. Prescott and Mr. Arola violated Section 20(a) of the Securities Exchange Act of 1934. Specifically, the amended complaint alleges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GAAP. The amended complaint seeks monetary damages in an unspecified amount, costs and attorney's fees. Align filed a motion to dismiss the amended complaint on August 22, 2013. The hearing on this motion has been scheduled for November 20, 2013. Align intends to vigorously defend itself against these allegations. Align is currently unable to predict the outcome of this amended complaint and therefore cannot determine the likelihood of loss nor estimate a range of possible loss.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there is an initial ruling on our first motion to dismiss the Securities Action. Align is currently unable to predict the outcome of this complaint and therefore cannot determine the likelihood of loss nor estimate a range of possible losses.</w:t>
      </w:r>
    </w:p>
    <w:p>
      <w:pPr>
        <w:spacing w:after="0" w:line="18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16"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ind w:right="300" w:firstLine="216"/>
        <w:spacing w:after="0" w:line="264" w:lineRule="auto"/>
        <w:rPr>
          <w:sz w:val="20"/>
          <w:szCs w:val="20"/>
          <w:color w:val="auto"/>
        </w:rPr>
      </w:pPr>
      <w:r>
        <w:rPr>
          <w:rFonts w:ascii="Arial" w:cs="Arial" w:eastAsia="Arial" w:hAnsi="Arial"/>
          <w:sz w:val="18"/>
          <w:szCs w:val="18"/>
          <w:b w:val="1"/>
          <w:bCs w:val="1"/>
          <w:i w:val="1"/>
          <w:iCs w:val="1"/>
          <w:color w:val="auto"/>
        </w:rPr>
        <w:t>We depend on the sale of the Invisalign system for the vast majority of our net revenues, and any decline in sales of Invisalign treatment for any reason, a continued weakness in general economic conditions, or a decline in average selling prices would adversely affect net revenues, gross margin and net income.</w:t>
      </w:r>
    </w:p>
    <w:p>
      <w:pPr>
        <w:spacing w:after="0" w:line="11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our operating results would be harmed.</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firstLine="216"/>
        <w:spacing w:after="0" w:line="277" w:lineRule="auto"/>
        <w:rPr>
          <w:sz w:val="20"/>
          <w:szCs w:val="20"/>
          <w:color w:val="auto"/>
        </w:rPr>
      </w:pPr>
      <w:r>
        <w:rPr>
          <w:rFonts w:ascii="Arial" w:cs="Arial" w:eastAsia="Arial" w:hAnsi="Arial"/>
          <w:sz w:val="18"/>
          <w:szCs w:val="18"/>
          <w:b w:val="1"/>
          <w:bCs w:val="1"/>
          <w:i w:val="1"/>
          <w:iCs w:val="1"/>
          <w:color w:val="auto"/>
        </w:rPr>
        <w:t>Demand for our products may not increase as rapidly as we anticipate due to a variety of factors including a continued weakness in general economic conditions.</w:t>
      </w:r>
    </w:p>
    <w:p>
      <w:pPr>
        <w:spacing w:after="0" w:line="103"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the patient traffic in dentists’ offices, reduction in consumer spending on higher value procedures or a reduction in the demand for dental services generally, each of which would have a material adverse effect on our sales and operating results. Continued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treatment of malocclusion, but a number of dental professionals believe that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frequency of use of the Invisalign system by orthodontists or GPs may not increase at the rate that we anticipate or at all.</w:t>
      </w:r>
    </w:p>
    <w:p>
      <w:pPr>
        <w:spacing w:after="0" w:line="158"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 which may decrease our net revenues.</w:t>
      </w:r>
    </w:p>
    <w:p>
      <w:pPr>
        <w:spacing w:after="0" w:line="158"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In response to challenges in our business, including increased competition, we have in the past reduced the list price of our products. We also provide volume based discount programs to our doctors. In addition, we sell a number of products at different list prices. If we introduce any price reductions or consumer rebate programs; if we expand our discount programs in the future or participation in these programs increases; if our product mix shifts to lower priced products or products that have a higher percentage of deferred revenue; or if sales by our distributors grows at a faster pace than our direct sales, our average selling prices would be adversely affected and our net revenues, gross profit, gross margin and net income may be reduced. Furthermore, 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average selling price and consequently the amount of net revenues and net income in our consolidated financial statements.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As we continue to grow, we are subject to growth related risks, including risks related to capacity constraints at our existing facilities.</w:t>
      </w:r>
    </w:p>
    <w:p>
      <w:pPr>
        <w:spacing w:after="0" w:line="16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are subject to growth related risks, including capacity constraints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 In addition, in order to meet the demands from expected volumes and continued international expansion, we opened a new manufacturing facility in Juarez, Mexico at the end of 2011. We completed the transition of virtually all our scanner distribution, repair and CAD/CAM services from our New Jersey facility to this facility in Juarez, Mexico in the third quarter of 2012. In addition, in October 2012, we transitioned our intra-oral scanner research and development and manufacturing operations in Or Yehuda, Israel into a new, larger facility in the same city. Expansion can inherently include additional costs and start-up inefficiencies, as well as the inability to successfully integrate additional facilities or incremental capacity and to realize anticipated synergies, economies of scale or other value. Periods of contraction or reduced net sales, or other factors affecting particular sites, create other challenges.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firstLine="477"/>
        <w:spacing w:after="0" w:line="302" w:lineRule="auto"/>
        <w:rPr>
          <w:sz w:val="20"/>
          <w:szCs w:val="20"/>
          <w:color w:val="auto"/>
        </w:rPr>
      </w:pPr>
      <w:r>
        <w:rPr>
          <w:rFonts w:ascii="Arial" w:cs="Arial" w:eastAsia="Arial" w:hAnsi="Arial"/>
          <w:sz w:val="16"/>
          <w:szCs w:val="16"/>
          <w:color w:val="auto"/>
        </w:rPr>
        <w:t>Because we cannot always immediately adapt our production capacity and related cost structures to changing market conditions, our manufacturing capacity may at times exceed or fall short of our production requirements. In addition, if product demand decreases or we fail to forecast demand accurately, we could be required to write off inventory or record excess capacity charges, which would lower our gross margin. Any or all of these problems could result in the loss of customers, provide an opportunity for competing products to gain market acceptance and otherwise harm our business and financial results.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never achieve the anticipated benefits from our acquisitions which may have an adverse effect on our business.</w:t>
      </w:r>
    </w:p>
    <w:p>
      <w:pPr>
        <w:spacing w:after="0" w:line="158"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We acquired Cadent Holdings, Inc. in April 2011. We acquired Cadent for their people, their technology and their existing revenue streams such as, OrthoCAD iRecord and OrthoCAD iCast in addition to their intra-oral scanning technology. This acquisition is expected to strengthen our ability to drive adoption of the Invisalign system by integrating Invisalign treatment more fully with mainstream tools and procedures in doctors’ practices. In addition, we believe that the combination of the two companies will help accelerate the use of intra-oral scanning in the dental industry by leveraging Align’s global sales reach, extensive professional and consumer marketing capabilities and large customer base. We completed the acquisition of our Asia Pacific distributor on April 30, 2013. We may experience difficulties in achieving the anticipated financial or strategic benefits of these acquisitions. Potential risks include:</w:t>
      </w:r>
    </w:p>
    <w:p>
      <w:pPr>
        <w:spacing w:after="0" w:line="165"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slower adoption or lack of acceptance for intra-oral scanning products in general or our chairside features;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increase utilization by integrating Invisalign treatment more fully with intra-oral scanners;</w:t>
      </w:r>
    </w:p>
    <w:p>
      <w:pPr>
        <w:spacing w:after="0" w:line="171" w:lineRule="exact"/>
        <w:rPr>
          <w:rFonts w:ascii="Arial" w:cs="Arial" w:eastAsia="Arial" w:hAnsi="Arial"/>
          <w:sz w:val="18"/>
          <w:szCs w:val="18"/>
          <w:color w:val="auto"/>
        </w:rPr>
      </w:pPr>
    </w:p>
    <w:p>
      <w:pPr>
        <w:ind w:left="980" w:right="62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integrating the technology, operations, internal accounting controls or work force of the acquired business with our existing business;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 resources and focus from ongoing business matters;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retention of key employees following the acquisition;</w:t>
      </w:r>
    </w:p>
    <w:p>
      <w:pPr>
        <w:spacing w:after="0" w:line="171" w:lineRule="exact"/>
        <w:rPr>
          <w:rFonts w:ascii="Arial" w:cs="Arial" w:eastAsia="Arial" w:hAnsi="Arial"/>
          <w:sz w:val="18"/>
          <w:szCs w:val="18"/>
          <w:color w:val="auto"/>
        </w:rPr>
      </w:pPr>
    </w:p>
    <w:p>
      <w:pPr>
        <w:ind w:left="980" w:right="16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changes in the competitive environment, including recent announcements from competitors of new lower-priced scanners which we expect will lengthen the customer evaluation process and may result in price reductions and/or loss of sales;</w:t>
      </w:r>
    </w:p>
    <w:p>
      <w:pPr>
        <w:spacing w:after="0" w:line="116" w:lineRule="exact"/>
        <w:rPr>
          <w:rFonts w:ascii="Arial" w:cs="Arial" w:eastAsia="Arial" w:hAnsi="Arial"/>
          <w:sz w:val="18"/>
          <w:szCs w:val="18"/>
          <w:color w:val="auto"/>
        </w:rPr>
      </w:pPr>
    </w:p>
    <w:p>
      <w:pPr>
        <w:ind w:left="980" w:right="48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dealing with tax, employment, logistics, and other related issues unique to international operations in Israel and the Asia Pacific region;</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impairment of relationships with employees and customers as a result of the integration;</w:t>
      </w:r>
    </w:p>
    <w:p>
      <w:pPr>
        <w:spacing w:after="0" w:line="171" w:lineRule="exact"/>
        <w:rPr>
          <w:rFonts w:ascii="Arial" w:cs="Arial" w:eastAsia="Arial" w:hAnsi="Arial"/>
          <w:sz w:val="18"/>
          <w:szCs w:val="18"/>
          <w:color w:val="auto"/>
        </w:rPr>
      </w:pPr>
    </w:p>
    <w:p>
      <w:pPr>
        <w:ind w:left="980" w:right="400" w:hanging="486"/>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possible inconsistencies in standards, controls, procedures and policies among the acquired businesses and Align, which may make it more difficult to implement and harmonize worldwide financial reporting, accounting, billing, information technology and other systems;</w:t>
      </w:r>
    </w:p>
    <w:p>
      <w:pPr>
        <w:spacing w:after="0" w:line="69" w:lineRule="exact"/>
        <w:rPr>
          <w:rFonts w:ascii="Arial" w:cs="Arial" w:eastAsia="Arial" w:hAnsi="Arial"/>
          <w:sz w:val="16"/>
          <w:szCs w:val="16"/>
          <w:color w:val="auto"/>
        </w:rPr>
      </w:pPr>
    </w:p>
    <w:p>
      <w:pPr>
        <w:ind w:left="980" w:right="4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large portion of Cadent’s operations are located in Israel, accordingly, any increase in hostilities in the Middle East involving Israel may cause interruption or suspension of business operations without warning; and</w:t>
      </w:r>
    </w:p>
    <w:p>
      <w:pPr>
        <w:spacing w:after="0" w:line="116" w:lineRule="exact"/>
        <w:rPr>
          <w:rFonts w:ascii="Arial" w:cs="Arial" w:eastAsia="Arial" w:hAnsi="Arial"/>
          <w:sz w:val="18"/>
          <w:szCs w:val="18"/>
          <w:color w:val="auto"/>
        </w:rPr>
      </w:pPr>
    </w:p>
    <w:p>
      <w:pPr>
        <w:ind w:left="980" w:right="78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impact on our results of operations and financial condition from acquisition-related charges, further impairment of goodwill, impairment of intangible assets and/or asset impairment charges.</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If we cannot successfully integrate the acquired business with our existing business, our results of operations and financial condition could be adversely affected.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If we fail to sustain or increase profitability or revenue growth in future periods, the market price for our common stock may decline.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we are to sustain or increase profitability in future periods, we will need to continue to increase our net revenues, while controlling our</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expenses. Because our business is evolving, it is difficult to predict our future operating results or levels of growth, and we have in the past not been and may in the future not be able to sustain our historical growth rates. If we do not increase profitability or revenue growth or otherwise meet the expectations of securities analysts or investors, the market price of our common stock will likely decline.</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financial results have fluctuated in the past and may fluctuate in the future which may cause volatility in our stock price.</w:t>
      </w:r>
    </w:p>
    <w:p>
      <w:pPr>
        <w:spacing w:after="0" w:line="15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81"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the level of activity in our customers’ practices from quarter to quarter;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weakness in consumer spending as a result of the slowdown in the U.S. economy and global economies;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relationships with our distributors;</w:t>
      </w:r>
    </w:p>
    <w:p>
      <w:pPr>
        <w:spacing w:after="0" w:line="171" w:lineRule="exact"/>
        <w:rPr>
          <w:rFonts w:ascii="Arial" w:cs="Arial" w:eastAsia="Arial" w:hAnsi="Arial"/>
          <w:sz w:val="18"/>
          <w:szCs w:val="18"/>
          <w:color w:val="auto"/>
        </w:rPr>
      </w:pPr>
    </w:p>
    <w:p>
      <w:pPr>
        <w:ind w:left="980" w:right="12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timing of receipt of case product orders during a given quarter which, given our cycle time and the delay between case receipts and case shipments, could have an impact on which quarter revenue can be recognized;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171" w:lineRule="exact"/>
        <w:rPr>
          <w:rFonts w:ascii="Arial" w:cs="Arial" w:eastAsia="Arial" w:hAnsi="Arial"/>
          <w:sz w:val="18"/>
          <w:szCs w:val="18"/>
          <w:color w:val="auto"/>
        </w:rPr>
      </w:pPr>
    </w:p>
    <w:p>
      <w:pPr>
        <w:ind w:left="980" w:right="56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predict from period to period the number of trainers or the availability of doctors required to complete intra-oral scanner installations, which may impact the timing of when revenue is recognized;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participation in our customer rebate program increases our average selling price will be adversely affected;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reliance on our contract manufacturers for the production of sub-assemblies for our intra-oral scanners;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171" w:lineRule="exact"/>
        <w:rPr>
          <w:rFonts w:ascii="Arial" w:cs="Arial" w:eastAsia="Arial" w:hAnsi="Arial"/>
          <w:sz w:val="18"/>
          <w:szCs w:val="18"/>
          <w:color w:val="auto"/>
        </w:rPr>
      </w:pPr>
    </w:p>
    <w:p>
      <w:pPr>
        <w:ind w:left="980" w:right="22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timing of when revenue is recognized, including as a result of the introduction of new products or promotions or as a result of changes to critical accounting estimates or new accounting pronouncements;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 or availability of raw materials;</w:t>
      </w:r>
    </w:p>
    <w:p>
      <w:pPr>
        <w:spacing w:after="0" w:line="171"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power outages or natural or other disasters beyond our control;</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171" w:lineRule="exact"/>
        <w:rPr>
          <w:rFonts w:ascii="Arial" w:cs="Arial" w:eastAsia="Arial" w:hAnsi="Arial"/>
          <w:sz w:val="18"/>
          <w:szCs w:val="18"/>
          <w:color w:val="auto"/>
        </w:rPr>
      </w:pPr>
    </w:p>
    <w:p>
      <w:pPr>
        <w:ind w:left="980" w:right="14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customers may cause our current product offerings to become less competitive or obsolete;</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171" w:lineRule="exact"/>
        <w:rPr>
          <w:rFonts w:ascii="Arial" w:cs="Arial" w:eastAsia="Arial" w:hAnsi="Arial"/>
          <w:sz w:val="18"/>
          <w:szCs w:val="18"/>
          <w:color w:val="auto"/>
        </w:rPr>
      </w:pPr>
    </w:p>
    <w:p>
      <w:pPr>
        <w:ind w:left="980" w:right="8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new product introductions by us and our competitors, as well as customer order deferrals in anticipation of enhancements or new products;</w:t>
      </w:r>
    </w:p>
    <w:p>
      <w:pPr>
        <w:spacing w:after="0" w:line="116" w:lineRule="exact"/>
        <w:rPr>
          <w:rFonts w:ascii="Arial" w:cs="Arial" w:eastAsia="Arial" w:hAnsi="Arial"/>
          <w:sz w:val="18"/>
          <w:szCs w:val="18"/>
          <w:color w:val="auto"/>
        </w:rPr>
      </w:pPr>
    </w:p>
    <w:p>
      <w:pPr>
        <w:jc w:val="both"/>
        <w:ind w:left="980" w:right="300" w:hanging="486"/>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12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Our future success may depend on our ability to develop, successfully introduce and achieve market acceptance of new products.</w:t>
      </w:r>
    </w:p>
    <w:p>
      <w:pPr>
        <w:spacing w:after="0" w:line="16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187"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 functionality and features that address customer requirements;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ensure compatibility of our computer operating systems and hardware configurations with those of our customers;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differentiate our offerings from our competitors’ offerings;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third-party reimbursement of procedures using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adequate intellectual property rights;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encourage customers to adopt new technologies.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the Invisalign system. Since it takes approximately 12 to 24 months to treat a patient, our customers may be unwilling to rapidly adopt our new products until they successfully complete at least one case or until more historical clinical results are available.</w:t>
      </w:r>
    </w:p>
    <w:p>
      <w:pPr>
        <w:spacing w:after="0" w:line="178"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Our ability to market and sell new products may also be subject to government regulation, including approval or clearance by the United States Food and Drug Administration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87" w:lineRule="exact"/>
        <w:rPr>
          <w:sz w:val="20"/>
          <w:szCs w:val="20"/>
          <w:color w:val="auto"/>
        </w:rPr>
      </w:pPr>
    </w:p>
    <w:p>
      <w:pPr>
        <w:ind w:right="160" w:firstLine="216"/>
        <w:spacing w:after="0" w:line="277"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103"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operating profits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are dependent on our international operations, which exposes us to foreign operational, political and other risks that may harm our business.</w:t>
      </w:r>
    </w:p>
    <w:p>
      <w:pPr>
        <w:spacing w:after="0" w:line="18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key production steps are performed in operations located outside of the U.S. At our facility in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Our order acquisition, aligner fabrication and shipping operations are conducted in Juarez, Mexico. In addition to the research and development efforts conducted in our San Jose, California facility, we also carry out research and development at locations in San Jose, Costa Rica and Moscow, Russia. In addition, our customer-care, accounts receivable, credit and collections and customer event registration organizations are located at our facility in Costa Rica. We also have operations in Israel where the design and wand assembly, intra-oral scanner manufacturing and digital modeling of our intra-oral scanners occurs. Our reliance on international operations exposes us to risks and uncertainties that may affect our business or results of operation, including:</w:t>
      </w:r>
    </w:p>
    <w:p>
      <w:pPr>
        <w:spacing w:after="0" w:line="179" w:lineRule="exact"/>
        <w:rPr>
          <w:sz w:val="20"/>
          <w:szCs w:val="20"/>
          <w:color w:val="auto"/>
        </w:rPr>
      </w:pPr>
    </w:p>
    <w:p>
      <w:pPr>
        <w:ind w:left="980" w:right="44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managing international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increased levels of violence in Juarez, Mexico or the Middle East;</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171" w:lineRule="exact"/>
        <w:rPr>
          <w:rFonts w:ascii="Arial" w:cs="Arial" w:eastAsia="Arial" w:hAnsi="Arial"/>
          <w:sz w:val="18"/>
          <w:szCs w:val="18"/>
          <w:color w:val="auto"/>
        </w:rPr>
      </w:pPr>
    </w:p>
    <w:p>
      <w:pPr>
        <w:ind w:left="980" w:right="20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or material transportation delays or disruption, including as a result of health epidemics restricting travel to and from our international locations or as a result of natural disasters, such as earthquakes or volcanic eruptions;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earn an increasingly larger portion of our total revenues from international sales and face risks attendant to those operations.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earn an increasingly larger portion of our total revenues from international sales generated through our foreign direct and indirect operations. As a result of these sales operations, we face a variety of risks, including:</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spacing w:after="0" w:line="225"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UK Bribery Act of 2010 and export control laws, in spite of our policies and procedures designed to ensure compliance with these laws;</w:t>
      </w:r>
    </w:p>
    <w:p>
      <w:pPr>
        <w:spacing w:after="0" w:line="186"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it is our intention to permanently reinvest earnings outside the U.S., restrictions on the transfer of funds held by our foreign subsidiaries, including with respect to restrictions on our ability to repatriate foreign cash to the U.S at favorable tax rates;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our products.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Any of these factors, either individually or in combination, could materially impact our international operations and adversely affect our business as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whole.</w:t>
      </w:r>
    </w:p>
    <w:p>
      <w:pPr>
        <w:spacing w:after="0" w:line="211" w:lineRule="exact"/>
        <w:rPr>
          <w:sz w:val="20"/>
          <w:szCs w:val="20"/>
          <w:color w:val="auto"/>
        </w:rPr>
      </w:pPr>
    </w:p>
    <w:p>
      <w:pPr>
        <w:jc w:val="both"/>
        <w:ind w:right="580" w:firstLine="216"/>
        <w:spacing w:after="0" w:line="312" w:lineRule="auto"/>
        <w:rPr>
          <w:sz w:val="20"/>
          <w:szCs w:val="20"/>
          <w:color w:val="auto"/>
        </w:rPr>
      </w:pPr>
      <w:r>
        <w:rPr>
          <w:rFonts w:ascii="Arial" w:cs="Arial" w:eastAsia="Arial" w:hAnsi="Arial"/>
          <w:sz w:val="16"/>
          <w:szCs w:val="16"/>
          <w:b w:val="1"/>
          <w:bCs w:val="1"/>
          <w:i w:val="1"/>
          <w:iCs w:val="1"/>
          <w:color w:val="auto"/>
        </w:rPr>
        <w:t>A key step in our manufacturing process relies on sophisticated computer technology that requires new technicians to undergo a relatively long training process. If we are unable to accurately predict our volume growth, and fail to hire a sufficient number of technicians in advance of such demand, the delivery time of our products could be delayed which could adversely affect our results of operations.</w:t>
      </w:r>
    </w:p>
    <w:p>
      <w:pPr>
        <w:spacing w:after="0" w:line="7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Training production technicians takes approximately 90 to 120 days. As a result, if we are unable to accurately predict our volume growth, we may not have a sufficient number of trained technicians to deliver our products within the timeframe our customers expect. Such a delay could cause us to lose existing customers or fail to attract new customers. This could cause a decline in our net revenues and net income and could adversely affect our results of operations.</w:t>
      </w:r>
    </w:p>
    <w:p>
      <w:pPr>
        <w:spacing w:after="0" w:line="187" w:lineRule="exact"/>
        <w:rPr>
          <w:sz w:val="20"/>
          <w:szCs w:val="20"/>
          <w:color w:val="auto"/>
        </w:rPr>
      </w:pPr>
    </w:p>
    <w:p>
      <w:pPr>
        <w:ind w:right="740" w:firstLine="216"/>
        <w:spacing w:after="0" w:line="277" w:lineRule="auto"/>
        <w:rPr>
          <w:sz w:val="20"/>
          <w:szCs w:val="20"/>
          <w:color w:val="auto"/>
        </w:rPr>
      </w:pPr>
      <w:r>
        <w:rPr>
          <w:rFonts w:ascii="Arial" w:cs="Arial" w:eastAsia="Arial" w:hAnsi="Arial"/>
          <w:sz w:val="18"/>
          <w:szCs w:val="18"/>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3"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Our digital dental modeling is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headquarters facility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79" w:lineRule="exact"/>
        <w:rPr>
          <w:sz w:val="20"/>
          <w:szCs w:val="20"/>
          <w:color w:val="auto"/>
        </w:rPr>
      </w:pPr>
    </w:p>
    <w:p>
      <w:pPr>
        <w:ind w:right="160" w:firstLine="216"/>
        <w:spacing w:after="0" w:line="277" w:lineRule="auto"/>
        <w:rPr>
          <w:sz w:val="20"/>
          <w:szCs w:val="20"/>
          <w:color w:val="auto"/>
        </w:rPr>
      </w:pPr>
      <w:r>
        <w:rPr>
          <w:rFonts w:ascii="Arial" w:cs="Arial" w:eastAsia="Arial" w:hAnsi="Arial"/>
          <w:sz w:val="18"/>
          <w:szCs w:val="18"/>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7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Currently, our products compete directly against products manufactured and distributed by various companies, both within and outside the United States. Many of these manufacturers, including Danaher Corporation, 3M, Sirona Dental Systems, Inc. and Dentsply International, have substantially greater financial resources and manufacturing and marketing experience than we do and may, in the future, attempt to develop an orthodontic system similar to ours or combine technologies that make our product economically unattractive. The expiration of key certain patents commencing in 2017 owned by us may result in additional competition. Large consumer product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(losses) and stock price. We cannot assure you that we will be able to compete successfully against our current or future competitors or that competitive pressures will not have a material adverse effect on our business, results of operations and financial condition.</w:t>
      </w:r>
    </w:p>
    <w:p>
      <w:pPr>
        <w:spacing w:after="0" w:line="169" w:lineRule="exact"/>
        <w:rPr>
          <w:sz w:val="20"/>
          <w:szCs w:val="20"/>
          <w:color w:val="auto"/>
        </w:rPr>
      </w:pPr>
    </w:p>
    <w:p>
      <w:pPr>
        <w:ind w:right="100" w:firstLine="216"/>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and misappropriate our confidential information or that of third parties, create system disruptions or cause shutdowns. Furthermore, sophisticated hardware and operating system software and applications that we either internally develop or procure from third parties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172"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We are currently focused on adding more functionality into our business enterprise systems to more efficiently integrate these systems with our other system applications, such as customer facing and manufacturing tools, and intend to continue this effort for the foreseeable future. 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154" w:lineRule="exact"/>
        <w:rPr>
          <w:sz w:val="20"/>
          <w:szCs w:val="20"/>
          <w:color w:val="auto"/>
        </w:rPr>
      </w:pPr>
    </w:p>
    <w:p>
      <w:pPr>
        <w:ind w:right="320" w:firstLine="432"/>
        <w:spacing w:after="0" w:line="297" w:lineRule="auto"/>
        <w:rPr>
          <w:sz w:val="20"/>
          <w:szCs w:val="20"/>
          <w:color w:val="auto"/>
        </w:rPr>
      </w:pPr>
      <w:r>
        <w:rPr>
          <w:rFonts w:ascii="Arial" w:cs="Arial" w:eastAsia="Arial" w:hAnsi="Arial"/>
          <w:sz w:val="16"/>
          <w:szCs w:val="16"/>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5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8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187" w:lineRule="exact"/>
        <w:rPr>
          <w:sz w:val="20"/>
          <w:szCs w:val="20"/>
          <w:color w:val="auto"/>
        </w:rPr>
      </w:pPr>
    </w:p>
    <w:p>
      <w:pPr>
        <w:ind w:right="100" w:firstLine="216"/>
        <w:spacing w:after="0" w:line="277" w:lineRule="auto"/>
        <w:rPr>
          <w:sz w:val="20"/>
          <w:szCs w:val="20"/>
          <w:color w:val="auto"/>
        </w:rPr>
      </w:pPr>
      <w:r>
        <w:rPr>
          <w:rFonts w:ascii="Arial" w:cs="Arial" w:eastAsia="Arial" w:hAnsi="Arial"/>
          <w:sz w:val="18"/>
          <w:szCs w:val="18"/>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3" w:lineRule="exact"/>
        <w:rPr>
          <w:sz w:val="20"/>
          <w:szCs w:val="20"/>
          <w:color w:val="auto"/>
        </w:rPr>
      </w:pPr>
    </w:p>
    <w:p>
      <w:pPr>
        <w:ind w:right="280" w:firstLine="432"/>
        <w:spacing w:after="0" w:line="255" w:lineRule="auto"/>
        <w:rPr>
          <w:sz w:val="20"/>
          <w:szCs w:val="20"/>
          <w:color w:val="auto"/>
        </w:rPr>
      </w:pPr>
      <w:r>
        <w:rPr>
          <w:rFonts w:ascii="Arial" w:cs="Arial" w:eastAsia="Arial" w:hAnsi="Arial"/>
          <w:sz w:val="18"/>
          <w:szCs w:val="18"/>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pacing w:after="0" w:line="193" w:lineRule="exact"/>
        <w:rPr>
          <w:sz w:val="20"/>
          <w:szCs w:val="20"/>
          <w:color w:val="auto"/>
        </w:rPr>
      </w:pPr>
    </w:p>
    <w:p>
      <w:pPr>
        <w:ind w:right="500" w:firstLine="216"/>
        <w:spacing w:after="0" w:line="264" w:lineRule="auto"/>
        <w:rPr>
          <w:sz w:val="20"/>
          <w:szCs w:val="20"/>
          <w:color w:val="auto"/>
        </w:rPr>
      </w:pPr>
      <w:r>
        <w:rPr>
          <w:rFonts w:ascii="Arial" w:cs="Arial" w:eastAsia="Arial" w:hAnsi="Arial"/>
          <w:sz w:val="18"/>
          <w:szCs w:val="18"/>
          <w:b w:val="1"/>
          <w:bCs w:val="1"/>
          <w:i w:val="1"/>
          <w:i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September 30, 2013, we had issued 304 U.S. patents, 101 pending U.S. patent applications, and 234 foreign issued patents, and 100 pending foreign patent applications.</w:t>
      </w:r>
    </w:p>
    <w:p>
      <w:pPr>
        <w:spacing w:after="0" w:line="14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8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Litigation is subject to inherent uncertainties and unfavorable rulings could occur.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81" w:lineRule="exact"/>
        <w:rPr>
          <w:sz w:val="20"/>
          <w:szCs w:val="20"/>
          <w:color w:val="auto"/>
        </w:rPr>
      </w:pPr>
    </w:p>
    <w:p>
      <w:pPr>
        <w:jc w:val="both"/>
        <w:ind w:right="280" w:firstLine="216"/>
        <w:spacing w:after="0" w:line="264" w:lineRule="auto"/>
        <w:rPr>
          <w:sz w:val="20"/>
          <w:szCs w:val="20"/>
          <w:color w:val="auto"/>
        </w:rPr>
      </w:pPr>
      <w:r>
        <w:rPr>
          <w:rFonts w:ascii="Arial" w:cs="Arial" w:eastAsia="Arial" w:hAnsi="Arial"/>
          <w:sz w:val="18"/>
          <w:szCs w:val="18"/>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1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to future periods is subject to the risk that our controls may become inadequate because of changes in conditions, and, as a result, the degree of compliance of our internal control over financial reporting with the policies or procedures may deteriorate.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252" w:lineRule="exact"/>
        <w:rPr>
          <w:sz w:val="20"/>
          <w:szCs w:val="20"/>
          <w:color w:val="auto"/>
        </w:rPr>
      </w:pPr>
    </w:p>
    <w:p>
      <w:pPr>
        <w:ind w:firstLine="243"/>
        <w:spacing w:after="0" w:line="255" w:lineRule="auto"/>
        <w:rPr>
          <w:sz w:val="20"/>
          <w:szCs w:val="20"/>
          <w:color w:val="auto"/>
        </w:rPr>
      </w:pPr>
      <w:r>
        <w:rPr>
          <w:rFonts w:ascii="Arial" w:cs="Arial" w:eastAsia="Arial" w:hAnsi="Arial"/>
          <w:sz w:val="18"/>
          <w:szCs w:val="18"/>
          <w:color w:val="auto"/>
        </w:rPr>
        <w:t>Under Generally Accepted Accounting Principles in the United States (“U.S. GAAP”), we review our goodwill and asset group for impairment when events or changes in circumstances indicate the carrying value may not be recoverable. Additionally, goodwill is required to be tested for impairment at least annually. The valuations used to determine the fair values used to test goodwill and the undiscounted cash flows used to evaluate the recoverability of the asset group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40" w:firstLine="243"/>
        <w:spacing w:after="0" w:line="259" w:lineRule="auto"/>
        <w:rPr>
          <w:sz w:val="20"/>
          <w:szCs w:val="20"/>
          <w:color w:val="auto"/>
        </w:rPr>
      </w:pPr>
      <w:r>
        <w:rPr>
          <w:rFonts w:ascii="Arial" w:cs="Arial" w:eastAsia="Arial" w:hAnsi="Arial"/>
          <w:sz w:val="18"/>
          <w:szCs w:val="18"/>
          <w:color w:val="auto"/>
        </w:rPr>
        <w:t>Recent changes in the competitive environment, including announcements in March 2013 of new lower-priced scanners targeted at Orthodontists and GPs in North America caused us to lower our expectations for growth and profitability for SCCS business. As a result, we conducted an impairment analysis of long-lived assets and goodwill related to the SCCS reporting unit. Based on these analyses, we recorded a $26.3 million impairment of our long-lived assets and $40.7 million impairment of goodwill in the first quarter of 2013.</w:t>
      </w:r>
    </w:p>
    <w:p>
      <w:pPr>
        <w:spacing w:after="0" w:line="214" w:lineRule="exact"/>
        <w:rPr>
          <w:sz w:val="20"/>
          <w:szCs w:val="20"/>
          <w:color w:val="auto"/>
        </w:rPr>
      </w:pPr>
    </w:p>
    <w:p>
      <w:pPr>
        <w:ind w:right="460" w:firstLine="243"/>
        <w:spacing w:after="0" w:line="277" w:lineRule="auto"/>
        <w:rPr>
          <w:sz w:val="20"/>
          <w:szCs w:val="20"/>
          <w:color w:val="auto"/>
        </w:rPr>
      </w:pPr>
      <w:r>
        <w:rPr>
          <w:rFonts w:ascii="Arial" w:cs="Arial" w:eastAsia="Arial" w:hAnsi="Arial"/>
          <w:sz w:val="18"/>
          <w:szCs w:val="18"/>
          <w:b w:val="1"/>
          <w:bCs w:val="1"/>
          <w:i w:val="1"/>
          <w:iCs w:val="1"/>
          <w:color w:val="auto"/>
        </w:rPr>
        <w:t>If we lose our key personnel or are unable to attract and retain key personnel, we may be unable to pursue business opportunities or develop our products.</w:t>
      </w:r>
    </w:p>
    <w:p>
      <w:pPr>
        <w:spacing w:after="0" w:line="197"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 In August 2013, we announced the appointment of two executive officers, including a new Chief Financial Officer. With these new appointments, there is the risk of uncertainty and instability relating to transition the duties and responsibilities to new key executives in an orderly, effective and efficient manner. In addition, our ability to recognize revenue on the direct sales of our intra-oral scanners depends in part upon our ability to schedule and staff trainings. The loss of the services provided by these individuals or our ability to timely hire such personnel in sufficient numbers based on our volume growth, may harm our business. If we are unable to retain our trainers or replace such individuals with persons having equivalent technical expertise and qualifications, or if we are unable to successfully instill such technical expertise in newly hired personnel or accurately predict the number of such personnel needed, our net revenues could be materially harmed.</w:t>
      </w:r>
    </w:p>
    <w:p>
      <w:pPr>
        <w:spacing w:after="0" w:line="202" w:lineRule="exact"/>
        <w:rPr>
          <w:sz w:val="20"/>
          <w:szCs w:val="20"/>
          <w:color w:val="auto"/>
        </w:rPr>
      </w:pPr>
    </w:p>
    <w:p>
      <w:pPr>
        <w:ind w:right="240" w:firstLine="203"/>
        <w:spacing w:after="0" w:line="277" w:lineRule="auto"/>
        <w:rPr>
          <w:sz w:val="20"/>
          <w:szCs w:val="20"/>
          <w:color w:val="auto"/>
        </w:rPr>
      </w:pPr>
      <w:r>
        <w:rPr>
          <w:rFonts w:ascii="Arial" w:cs="Arial" w:eastAsia="Arial" w:hAnsi="Arial"/>
          <w:sz w:val="18"/>
          <w:szCs w:val="18"/>
          <w:b w:val="1"/>
          <w:bCs w:val="1"/>
          <w:i w:val="1"/>
          <w:iCs w:val="1"/>
          <w:color w:val="auto"/>
        </w:rPr>
        <w:t>If we infringe the patents or proprietary rights of other parties or are subject to a patent infringement claim, our ability to grow our business may be severely limited.</w:t>
      </w:r>
    </w:p>
    <w:p>
      <w:pPr>
        <w:spacing w:after="0" w:line="10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14" w:lineRule="exact"/>
        <w:rPr>
          <w:sz w:val="20"/>
          <w:szCs w:val="20"/>
          <w:color w:val="auto"/>
        </w:rPr>
      </w:pPr>
    </w:p>
    <w:p>
      <w:pPr>
        <w:ind w:right="160" w:firstLine="216"/>
        <w:spacing w:after="0" w:line="308" w:lineRule="auto"/>
        <w:rPr>
          <w:sz w:val="20"/>
          <w:szCs w:val="20"/>
          <w:color w:val="auto"/>
        </w:rPr>
      </w:pPr>
      <w:r>
        <w:rPr>
          <w:rFonts w:ascii="Arial" w:cs="Arial" w:eastAsia="Arial" w:hAnsi="Arial"/>
          <w:sz w:val="17"/>
          <w:szCs w:val="17"/>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all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88" w:lineRule="exact"/>
        <w:rPr>
          <w:sz w:val="20"/>
          <w:szCs w:val="20"/>
          <w:color w:val="auto"/>
        </w:rPr>
      </w:pPr>
    </w:p>
    <w:p>
      <w:pPr>
        <w:ind w:right="160" w:firstLine="216"/>
        <w:spacing w:after="0" w:line="277" w:lineRule="auto"/>
        <w:rPr>
          <w:sz w:val="20"/>
          <w:szCs w:val="20"/>
          <w:color w:val="auto"/>
        </w:rPr>
      </w:pPr>
      <w:r>
        <w:rPr>
          <w:rFonts w:ascii="Arial" w:cs="Arial" w:eastAsia="Arial" w:hAnsi="Arial"/>
          <w:sz w:val="18"/>
          <w:szCs w:val="18"/>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10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rely on a third party manufacturer in Israel to assemble our iTero scanner. As a result, if this third party manufacturer fails to deliver its components or if we lose its services,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We primarily rely on our direct sales force to sell our products, and any failure to maintain our direct sales force could harm our business.</w:t>
      </w:r>
    </w:p>
    <w:p>
      <w:pPr>
        <w:spacing w:after="0" w:line="16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Our ability to sell our products and generate revenues primarily depends upon our direct sales force within our North American and international markets. As of September 30, 2013, our North American sales organization consisted of approximately 250 people. Internationally, we had approximately 100 people engaged in sales and sales support as of September 30, 2013.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182" w:lineRule="exact"/>
        <w:rPr>
          <w:sz w:val="20"/>
          <w:szCs w:val="20"/>
          <w:color w:val="auto"/>
        </w:rPr>
      </w:pPr>
    </w:p>
    <w:p>
      <w:pPr>
        <w:ind w:right="140" w:firstLine="216"/>
        <w:spacing w:after="0" w:line="277" w:lineRule="auto"/>
        <w:rPr>
          <w:sz w:val="20"/>
          <w:szCs w:val="20"/>
          <w:color w:val="auto"/>
        </w:rPr>
      </w:pPr>
      <w:r>
        <w:rPr>
          <w:rFonts w:ascii="Arial" w:cs="Arial" w:eastAsia="Arial" w:hAnsi="Arial"/>
          <w:sz w:val="18"/>
          <w:szCs w:val="18"/>
          <w:b w:val="1"/>
          <w:bCs w:val="1"/>
          <w:i w:val="1"/>
          <w:iCs w:val="1"/>
          <w:color w:val="auto"/>
        </w:rPr>
        <w:t>If our distributor relationships are not successful, our ability to market and sell our products would be harmed and our financial performance will be adversely affected.</w:t>
      </w:r>
    </w:p>
    <w:p>
      <w:pPr>
        <w:spacing w:after="0" w:line="103"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47"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partners;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renew existing distributor agreements on acceptable terms;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to the sale of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distributors may be unsuccessful in marketing our 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existing relationships with distributors may preclude us from entering into additional future arrangements with other distributors; and</w:t>
      </w:r>
    </w:p>
    <w:p>
      <w:pPr>
        <w:spacing w:after="0" w:line="182" w:lineRule="exact"/>
        <w:rPr>
          <w:rFonts w:ascii="Arial" w:cs="Arial" w:eastAsia="Arial" w:hAnsi="Arial"/>
          <w:sz w:val="17"/>
          <w:szCs w:val="17"/>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negotiate future distributor agreements on acceptable terms.</w:t>
      </w:r>
    </w:p>
    <w:p>
      <w:pPr>
        <w:spacing w:after="0" w:line="171" w:lineRule="exact"/>
        <w:rPr>
          <w:sz w:val="20"/>
          <w:szCs w:val="20"/>
          <w:color w:val="auto"/>
        </w:rPr>
      </w:pPr>
    </w:p>
    <w:p>
      <w:pPr>
        <w:ind w:right="360" w:firstLine="216"/>
        <w:spacing w:after="0" w:line="277" w:lineRule="auto"/>
        <w:rPr>
          <w:sz w:val="20"/>
          <w:szCs w:val="20"/>
          <w:color w:val="auto"/>
        </w:rPr>
      </w:pPr>
      <w:r>
        <w:rPr>
          <w:rFonts w:ascii="Arial" w:cs="Arial" w:eastAsia="Arial" w:hAnsi="Arial"/>
          <w:sz w:val="18"/>
          <w:szCs w:val="18"/>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0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products are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design, development, manufacturing and testing;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70"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refusing our requests for 510(k) clearance or pre-market approval of new products, new intended uses, or modifications to existing products;</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18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compliance with healthcare regulations becomes costly and difficult for our customers or for us, we may not be able to grow our business.</w:t>
      </w:r>
    </w:p>
    <w:p>
      <w:pPr>
        <w:spacing w:after="0" w:line="181"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In response to perceived increases in health care costs in recent years, Congress recently passed health care reform legislation that President Obama signed into law in March 2010. The enacted legislation contains many provisions designed to generate the revenues necessary to fund the coverage expansions. The most relevant of these provisions are those that impose fees or taxes on certain health-related industries, including medical device manufacturers. Beginning in 2013, each medical device manufacturer will have to pay an excise tax in an amount equal to 2.3 percent of the price for which such manufacturer sells its medical devices in the U.S. This tax applies to all medical devices, including our products, which could have a material, negative impact on our results of operations and our cash flows.</w:t>
      </w:r>
    </w:p>
    <w:p>
      <w:pPr>
        <w:spacing w:after="0" w:line="16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67" w:lineRule="exact"/>
        <w:rPr>
          <w:sz w:val="20"/>
          <w:szCs w:val="20"/>
          <w:color w:val="auto"/>
        </w:rPr>
      </w:pPr>
    </w:p>
    <w:p>
      <w:pPr>
        <w:ind w:right="240" w:firstLine="216"/>
        <w:spacing w:after="0" w:line="277" w:lineRule="auto"/>
        <w:rPr>
          <w:sz w:val="20"/>
          <w:szCs w:val="20"/>
          <w:color w:val="auto"/>
        </w:rPr>
      </w:pPr>
      <w:r>
        <w:rPr>
          <w:rFonts w:ascii="Arial" w:cs="Arial" w:eastAsia="Arial" w:hAnsi="Arial"/>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171"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171"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face risks related to our international sales, including the need to obtain necessary foreign regulatory clearance or approvals.</w:t>
      </w:r>
    </w:p>
    <w:p>
      <w:pPr>
        <w:spacing w:after="0" w:line="15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Outside of North America, we currently sell our products in Europe, Asia Pacific, Latin America and the Middle East and may expand into other countries from time to time. For sales of our products outside the U.S.,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0" w:firstLine="216"/>
        <w:spacing w:after="0" w:line="277" w:lineRule="auto"/>
        <w:rPr>
          <w:sz w:val="20"/>
          <w:szCs w:val="20"/>
          <w:color w:val="auto"/>
        </w:rPr>
      </w:pPr>
      <w:r>
        <w:rPr>
          <w:rFonts w:ascii="Arial" w:cs="Arial" w:eastAsia="Arial" w:hAnsi="Arial"/>
          <w:sz w:val="18"/>
          <w:szCs w:val="18"/>
          <w:b w:val="1"/>
          <w:bCs w:val="1"/>
          <w:i w:val="1"/>
          <w:iCs w:val="1"/>
          <w:color w:val="auto"/>
        </w:rPr>
        <w:t>Our business exposes us to potential product liability claims, and we may incur substantial expenses if we are subject to product liability claims or litigation.</w:t>
      </w:r>
    </w:p>
    <w:p>
      <w:pPr>
        <w:spacing w:after="0" w:line="103"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Historically, the market price for our common stock has been volatile.</w:t>
      </w:r>
    </w:p>
    <w:p>
      <w:pPr>
        <w:spacing w:after="0" w:line="158"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net revenues or operating results;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17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sales of significant amounts of our common stock may depress our stock price.</w:t>
      </w:r>
    </w:p>
    <w:p>
      <w:pPr>
        <w:spacing w:after="0" w:line="15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w:t>
      </w:r>
    </w:p>
    <w:p>
      <w:pPr>
        <w:spacing w:after="0" w:line="15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prepare our consolidated financial statements in conformity with U.S. GAAP. These principles are subject to interpretation by the Securities and Exchange Commission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are as follows:</w:t>
      </w:r>
    </w:p>
    <w:p>
      <w:pPr>
        <w:spacing w:after="0" w:line="187" w:lineRule="exact"/>
        <w:rPr>
          <w:sz w:val="20"/>
          <w:szCs w:val="20"/>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recognition;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leases.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20" w:firstLine="216"/>
        <w:spacing w:after="0" w:line="277" w:lineRule="auto"/>
        <w:rPr>
          <w:sz w:val="20"/>
          <w:szCs w:val="20"/>
          <w:color w:val="auto"/>
        </w:rPr>
      </w:pPr>
      <w:r>
        <w:rPr>
          <w:rFonts w:ascii="Arial" w:cs="Arial" w:eastAsia="Arial" w:hAnsi="Arial"/>
          <w:sz w:val="18"/>
          <w:szCs w:val="18"/>
          <w:b w:val="1"/>
          <w:bCs w:val="1"/>
          <w:i w:val="1"/>
          <w:iCs w:val="1"/>
          <w:color w:val="auto"/>
        </w:rPr>
        <w:t>If we fail to manage our exposure to global financial and securities market risk successfully, our operating results and financial statements could be materially impacted.</w:t>
      </w:r>
    </w:p>
    <w:p>
      <w:pPr>
        <w:spacing w:after="0" w:line="10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primary objective of most of our investment activities is to preserve principal. To achieve this objective, a majority of our marketable investments are investment grade, liquid, short-term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an current unstable credit environment, we might incur significant realized, unrealized or impairment losses associated with these investments.</w:t>
      </w:r>
    </w:p>
    <w:p>
      <w:pPr>
        <w:spacing w:after="0" w:line="193" w:lineRule="exact"/>
        <w:rPr>
          <w:sz w:val="20"/>
          <w:szCs w:val="20"/>
          <w:color w:val="auto"/>
        </w:rPr>
      </w:pPr>
    </w:p>
    <w:p>
      <w:pPr>
        <w:ind w:right="180" w:firstLine="216"/>
        <w:spacing w:after="0" w:line="277" w:lineRule="auto"/>
        <w:rPr>
          <w:sz w:val="20"/>
          <w:szCs w:val="20"/>
          <w:color w:val="auto"/>
        </w:rPr>
      </w:pPr>
      <w:r>
        <w:rPr>
          <w:rFonts w:ascii="Arial" w:cs="Arial" w:eastAsia="Arial" w:hAnsi="Arial"/>
          <w:sz w:val="18"/>
          <w:szCs w:val="18"/>
          <w:b w:val="1"/>
          <w:bCs w:val="1"/>
          <w:i w:val="1"/>
          <w:iCs w:val="1"/>
          <w:color w:val="auto"/>
        </w:rPr>
        <w:t>We have adopted a shareholders rights’ plan to limit the possibility that we are acquired, which may mean that a transaction that shareholders are in favor of or are benefited by may be prevented.</w:t>
      </w:r>
    </w:p>
    <w:p>
      <w:pPr>
        <w:spacing w:after="0" w:line="10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board of directors has the authority to issue up to 5,000,000 shares of preferred stock and to determine the rights, preferences, privileges and restrictions of such shares without any further vote or action by our shareholders. To date, our board of directors has designated 200,000 shares as Series A participating preferred stock in connection with our shareholder rights’ plan. The issuance of preferred stock under certain circumstances could have the effect of delaying or preventing an acquisition of Align or otherwise adversely affecting the rights of the holders of our stock. The shareholder rights’ plan may have the effect of rendering more difficult or discouraging an acquisition of our company which is deemed undesirable by our board of directors. The shareholder rights’ plan may cause substantial dilution to a person or group attempting to acquire us on terms or in a manner not approved by our board of directors, except pursuant to an offer conditioned on the negation, purchase or redemption of the rights issued under the shareholder rights’ plan.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15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Various internal and external factors may have favorable or unfavorable effects on our future effective tax rate. These factors include, but are not limited to, changes in tax laws, regulations and/or rates,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 option deductions relating to incentive stock options and employee stock purchase plans, settlement of income tax audits, and changes in overall levels of pretax earnings. During the first quarter of 2013, we incurred a $40.7 million impairment of goodwill which was not deductible for tax purposes.</w:t>
      </w:r>
    </w:p>
    <w:p>
      <w:pPr>
        <w:spacing w:after="0" w:line="193"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June 2009, the Costa Rica Ministry of Foreign Trade, an agency of the Government of Costa Rica, granted a twelve year extension of various income tax incentives, which had been previously granted to us in 2002. The incentive tax rates will expire in various years beginning in 2017. Under these incentives, all of the income we earn in Costa Rica during the twelve year incentive period is exempt from Costa Rica income tax. In order to receive the benefit of these incentives, we must hire specified numbers of employees and maintain certain minimum levels of fixed asset investments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2013. As a result of these incentives, the provision for income taxes were reduced by $18.0 million and $17.0 million for the nine months ended September 30, 2013 and 2012, respectively, representing a benefit to diluted net income per share of $0.22 and $0.20 in 2013 and 2012, respectively. For the three months ended September 30, 2013 and 2012, the provision for income taxes was reduced by $6.1 million and $6.9 million, respectively, representing a benefit to diluted net income per share of $0.08 and $0.08, respectively. Our subsidiaries in Israel and Germany are under audit by the local tax authorities for calendar years 2006 through 2011 and 2007 through 2011, respectively.</w:t>
      </w:r>
    </w:p>
    <w:p>
      <w:pPr>
        <w:spacing w:after="0" w:line="206"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29"/>
        </w:trPr>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6040" w:type="dxa"/>
            <w:vAlign w:val="bottom"/>
            <w:gridSpan w:val="3"/>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c>
          <w:tcPr>
            <w:tcW w:w="108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6"/>
              </w:rPr>
              <w:t>Filing</w:t>
            </w:r>
          </w:p>
        </w:tc>
        <w:tc>
          <w:tcPr>
            <w:tcW w:w="420" w:type="dxa"/>
            <w:vAlign w:val="bottom"/>
          </w:tcPr>
          <w:p>
            <w:pPr>
              <w:spacing w:after="0"/>
              <w:rPr>
                <w:sz w:val="11"/>
                <w:szCs w:val="11"/>
                <w:color w:val="auto"/>
              </w:rPr>
            </w:pPr>
          </w:p>
        </w:tc>
        <w:tc>
          <w:tcPr>
            <w:tcW w:w="104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92"/>
              </w:rPr>
              <w:t>Date</w:t>
            </w: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20" w:type="dxa"/>
            <w:vAlign w:val="bottom"/>
          </w:tcPr>
          <w:p>
            <w:pPr>
              <w:spacing w:after="0"/>
              <w:rPr>
                <w:sz w:val="11"/>
                <w:szCs w:val="11"/>
                <w:color w:val="auto"/>
              </w:rPr>
            </w:pPr>
          </w:p>
        </w:tc>
        <w:tc>
          <w:tcPr>
            <w:tcW w:w="1120" w:type="dxa"/>
            <w:vAlign w:val="bottom"/>
            <w:gridSpan w:val="2"/>
          </w:tcPr>
          <w:p>
            <w:pPr>
              <w:jc w:val="center"/>
              <w:ind w:left="112"/>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2"/>
                <w:szCs w:val="22"/>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w w:val="94"/>
              </w:rPr>
              <w:t>Employment Agreement between Align Technology, Inc. and David L. White.</w:t>
            </w:r>
          </w:p>
        </w:tc>
        <w:tc>
          <w:tcPr>
            <w:tcW w:w="108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Form 8-K</w:t>
            </w:r>
          </w:p>
        </w:tc>
        <w:tc>
          <w:tcPr>
            <w:tcW w:w="1460" w:type="dxa"/>
            <w:vAlign w:val="bottom"/>
            <w:gridSpan w:val="3"/>
          </w:tcPr>
          <w:p>
            <w:pPr>
              <w:jc w:val="right"/>
              <w:ind w:right="580"/>
              <w:spacing w:after="0"/>
              <w:rPr>
                <w:sz w:val="20"/>
                <w:szCs w:val="20"/>
                <w:color w:val="auto"/>
              </w:rPr>
            </w:pPr>
            <w:r>
              <w:rPr>
                <w:rFonts w:ascii="Arial" w:cs="Arial" w:eastAsia="Arial" w:hAnsi="Arial"/>
                <w:sz w:val="18"/>
                <w:szCs w:val="18"/>
                <w:color w:val="auto"/>
              </w:rPr>
              <w:t>8/5/2013</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2"/>
                <w:szCs w:val="22"/>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w w:val="96"/>
              </w:rPr>
              <w:t>Certification of Chief Executive Officer pursuant to 18 U.S.C. Section 1350,</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2"/>
                <w:szCs w:val="22"/>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Financial Officer pursuant to 18 U.S.C. Section 1350,</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2"/>
                <w:szCs w:val="22"/>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and Chief Financial Officer pursuant</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70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40" w:type="dxa"/>
            <w:vAlign w:val="bottom"/>
            <w:gridSpan w:val="3"/>
          </w:tcPr>
          <w:p>
            <w:pPr>
              <w:ind w:left="466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920" w:type="dxa"/>
            <w:vAlign w:val="bottom"/>
            <w:gridSpan w:val="2"/>
          </w:tcPr>
          <w:p>
            <w:pPr>
              <w:ind w:left="2160"/>
              <w:spacing w:after="0"/>
              <w:rPr>
                <w:sz w:val="20"/>
                <w:szCs w:val="20"/>
                <w:color w:val="auto"/>
              </w:rPr>
            </w:pPr>
            <w:r>
              <w:rPr>
                <w:rFonts w:ascii="Arial" w:cs="Arial" w:eastAsia="Arial" w:hAnsi="Arial"/>
                <w:sz w:val="18"/>
                <w:szCs w:val="18"/>
                <w:color w:val="auto"/>
              </w:rPr>
              <w:t>ALIGN TECHNOLOGY, INC.</w:t>
            </w:r>
          </w:p>
        </w:tc>
      </w:tr>
      <w:tr>
        <w:trPr>
          <w:trHeight w:val="594"/>
        </w:trPr>
        <w:tc>
          <w:tcPr>
            <w:tcW w:w="3460" w:type="dxa"/>
            <w:vAlign w:val="bottom"/>
          </w:tcPr>
          <w:p>
            <w:pPr>
              <w:spacing w:after="0"/>
              <w:rPr>
                <w:sz w:val="20"/>
                <w:szCs w:val="20"/>
                <w:color w:val="auto"/>
              </w:rPr>
            </w:pPr>
            <w:r>
              <w:rPr>
                <w:rFonts w:ascii="Arial" w:cs="Arial" w:eastAsia="Arial" w:hAnsi="Arial"/>
                <w:sz w:val="18"/>
                <w:szCs w:val="18"/>
                <w:color w:val="auto"/>
              </w:rPr>
              <w:t>November 1, 2013</w:t>
            </w:r>
          </w:p>
        </w:tc>
        <w:tc>
          <w:tcPr>
            <w:tcW w:w="2560" w:type="dxa"/>
            <w:vAlign w:val="bottom"/>
          </w:tcPr>
          <w:p>
            <w:pPr>
              <w:ind w:left="2280"/>
              <w:spacing w:after="0"/>
              <w:rPr>
                <w:sz w:val="20"/>
                <w:szCs w:val="20"/>
                <w:color w:val="auto"/>
              </w:rPr>
            </w:pPr>
            <w:r>
              <w:rPr>
                <w:rFonts w:ascii="Arial" w:cs="Arial" w:eastAsia="Arial" w:hAnsi="Arial"/>
                <w:sz w:val="18"/>
                <w:szCs w:val="18"/>
                <w:color w:val="auto"/>
                <w:w w:val="99"/>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/S/  THOMAS M. PRESCOTT</w:t>
            </w:r>
          </w:p>
        </w:tc>
      </w:tr>
      <w:tr>
        <w:trPr>
          <w:trHeight w:val="27"/>
        </w:trPr>
        <w:tc>
          <w:tcPr>
            <w:tcW w:w="34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46"/>
        </w:trPr>
        <w:tc>
          <w:tcPr>
            <w:tcW w:w="34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Thomas M. Prescott</w:t>
            </w:r>
          </w:p>
        </w:tc>
      </w:tr>
      <w:tr>
        <w:trPr>
          <w:trHeight w:val="186"/>
        </w:trPr>
        <w:tc>
          <w:tcPr>
            <w:tcW w:w="34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2"/>
              </w:rPr>
              <w:t>President and Chief Executive Officer</w:t>
            </w:r>
          </w:p>
        </w:tc>
      </w:tr>
      <w:tr>
        <w:trPr>
          <w:trHeight w:val="579"/>
        </w:trPr>
        <w:tc>
          <w:tcPr>
            <w:tcW w:w="3460" w:type="dxa"/>
            <w:vAlign w:val="bottom"/>
          </w:tcPr>
          <w:p>
            <w:pPr>
              <w:spacing w:after="0"/>
              <w:rPr>
                <w:sz w:val="24"/>
                <w:szCs w:val="24"/>
                <w:color w:val="auto"/>
              </w:rPr>
            </w:pPr>
          </w:p>
        </w:tc>
        <w:tc>
          <w:tcPr>
            <w:tcW w:w="2560" w:type="dxa"/>
            <w:vAlign w:val="bottom"/>
          </w:tcPr>
          <w:p>
            <w:pPr>
              <w:ind w:left="2280"/>
              <w:spacing w:after="0"/>
              <w:rPr>
                <w:sz w:val="20"/>
                <w:szCs w:val="20"/>
                <w:color w:val="auto"/>
              </w:rPr>
            </w:pPr>
            <w:r>
              <w:rPr>
                <w:rFonts w:ascii="Arial" w:cs="Arial" w:eastAsia="Arial" w:hAnsi="Arial"/>
                <w:sz w:val="18"/>
                <w:szCs w:val="18"/>
                <w:color w:val="auto"/>
                <w:w w:val="99"/>
              </w:rPr>
              <w:t>By:</w:t>
            </w:r>
          </w:p>
        </w:tc>
        <w:tc>
          <w:tcPr>
            <w:tcW w:w="5360" w:type="dxa"/>
            <w:vAlign w:val="bottom"/>
          </w:tcPr>
          <w:p>
            <w:pPr>
              <w:jc w:val="center"/>
              <w:spacing w:after="0"/>
              <w:rPr>
                <w:sz w:val="20"/>
                <w:szCs w:val="20"/>
                <w:color w:val="auto"/>
              </w:rPr>
            </w:pPr>
            <w:r>
              <w:rPr>
                <w:rFonts w:ascii="Arial" w:cs="Arial" w:eastAsia="Arial" w:hAnsi="Arial"/>
                <w:sz w:val="18"/>
                <w:szCs w:val="18"/>
                <w:color w:val="auto"/>
              </w:rPr>
              <w:t>/S/  DAVID L. WHITE</w:t>
            </w:r>
          </w:p>
        </w:tc>
      </w:tr>
      <w:tr>
        <w:trPr>
          <w:trHeight w:val="27"/>
        </w:trPr>
        <w:tc>
          <w:tcPr>
            <w:tcW w:w="34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46"/>
        </w:trPr>
        <w:tc>
          <w:tcPr>
            <w:tcW w:w="34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9"/>
              </w:rPr>
              <w:t>David L. White</w:t>
            </w:r>
          </w:p>
        </w:tc>
      </w:tr>
      <w:tr>
        <w:trPr>
          <w:trHeight w:val="186"/>
        </w:trPr>
        <w:tc>
          <w:tcPr>
            <w:tcW w:w="34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6"/>
              </w:rPr>
              <w:t>Chief Financial Officer</w:t>
            </w:r>
          </w:p>
        </w:tc>
      </w:tr>
      <w:tr>
        <w:trPr>
          <w:trHeight w:val="687"/>
        </w:trPr>
        <w:tc>
          <w:tcPr>
            <w:tcW w:w="3460" w:type="dxa"/>
            <w:vAlign w:val="bottom"/>
          </w:tcPr>
          <w:p>
            <w:pPr>
              <w:spacing w:after="0"/>
              <w:rPr>
                <w:sz w:val="24"/>
                <w:szCs w:val="24"/>
                <w:color w:val="auto"/>
              </w:rPr>
            </w:pPr>
          </w:p>
        </w:tc>
        <w:tc>
          <w:tcPr>
            <w:tcW w:w="2560" w:type="dxa"/>
            <w:vAlign w:val="bottom"/>
          </w:tcPr>
          <w:p>
            <w:pPr>
              <w:jc w:val="right"/>
              <w:ind w:right="170"/>
              <w:spacing w:after="0"/>
              <w:rPr>
                <w:sz w:val="20"/>
                <w:szCs w:val="20"/>
                <w:color w:val="auto"/>
              </w:rPr>
            </w:pPr>
            <w:r>
              <w:rPr>
                <w:rFonts w:ascii="Arial" w:cs="Arial" w:eastAsia="Arial" w:hAnsi="Arial"/>
                <w:sz w:val="18"/>
                <w:szCs w:val="18"/>
                <w:color w:val="auto"/>
              </w:rPr>
              <w:t>53</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29"/>
        </w:trPr>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6040" w:type="dxa"/>
            <w:vAlign w:val="bottom"/>
            <w:gridSpan w:val="3"/>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c>
          <w:tcPr>
            <w:tcW w:w="108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6"/>
              </w:rPr>
              <w:t>Filing</w:t>
            </w:r>
          </w:p>
        </w:tc>
        <w:tc>
          <w:tcPr>
            <w:tcW w:w="420" w:type="dxa"/>
            <w:vAlign w:val="bottom"/>
          </w:tcPr>
          <w:p>
            <w:pPr>
              <w:spacing w:after="0"/>
              <w:rPr>
                <w:sz w:val="11"/>
                <w:szCs w:val="11"/>
                <w:color w:val="auto"/>
              </w:rPr>
            </w:pPr>
          </w:p>
        </w:tc>
        <w:tc>
          <w:tcPr>
            <w:tcW w:w="104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92"/>
              </w:rPr>
              <w:t>Date</w:t>
            </w: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20" w:type="dxa"/>
            <w:vAlign w:val="bottom"/>
          </w:tcPr>
          <w:p>
            <w:pPr>
              <w:spacing w:after="0"/>
              <w:rPr>
                <w:sz w:val="11"/>
                <w:szCs w:val="11"/>
                <w:color w:val="auto"/>
              </w:rPr>
            </w:pPr>
          </w:p>
        </w:tc>
        <w:tc>
          <w:tcPr>
            <w:tcW w:w="1120" w:type="dxa"/>
            <w:vAlign w:val="bottom"/>
            <w:gridSpan w:val="2"/>
          </w:tcPr>
          <w:p>
            <w:pPr>
              <w:jc w:val="center"/>
              <w:ind w:left="112"/>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2"/>
                <w:szCs w:val="22"/>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w w:val="94"/>
              </w:rPr>
              <w:t>Employment Agreement between Align Technology, Inc. and David L. White.</w:t>
            </w:r>
          </w:p>
        </w:tc>
        <w:tc>
          <w:tcPr>
            <w:tcW w:w="108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Form 8-K</w:t>
            </w:r>
          </w:p>
        </w:tc>
        <w:tc>
          <w:tcPr>
            <w:tcW w:w="1460" w:type="dxa"/>
            <w:vAlign w:val="bottom"/>
            <w:gridSpan w:val="3"/>
          </w:tcPr>
          <w:p>
            <w:pPr>
              <w:jc w:val="right"/>
              <w:ind w:right="580"/>
              <w:spacing w:after="0"/>
              <w:rPr>
                <w:sz w:val="20"/>
                <w:szCs w:val="20"/>
                <w:color w:val="auto"/>
              </w:rPr>
            </w:pPr>
            <w:r>
              <w:rPr>
                <w:rFonts w:ascii="Arial" w:cs="Arial" w:eastAsia="Arial" w:hAnsi="Arial"/>
                <w:sz w:val="18"/>
                <w:szCs w:val="18"/>
                <w:color w:val="auto"/>
              </w:rPr>
              <w:t>8/5/2013</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2"/>
                <w:szCs w:val="22"/>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w w:val="96"/>
              </w:rPr>
              <w:t>Certification of Chief Executive Officer pursuant to 18 U.S.C. Section 1350,</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2"/>
                <w:szCs w:val="22"/>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Financial Officer pursuant to 18 U.S.C. Section 1350,</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2"/>
                <w:szCs w:val="22"/>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and Chief Financial Officer pursuant</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125" w:right="2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M. Prescott, certify that:</w:t>
      </w:r>
    </w:p>
    <w:p>
      <w:pPr>
        <w:spacing w:after="0" w:line="38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M. Prescott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 White, certify that:</w:t>
      </w:r>
    </w:p>
    <w:p>
      <w:pPr>
        <w:spacing w:after="0" w:line="38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L. White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 Thomas M. Prescott, certify, pursuant to 18 U.S.C. Section 1350, as adopted pursuant to Section 906 of the Sarbanes-Oxley Act of 2002, that the Quarterly Report of Align Technology, Inc. on Form 10-Q for the quarter ended September 30, 2013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61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jc w:val="center"/>
              <w:spacing w:after="0"/>
              <w:rPr>
                <w:sz w:val="20"/>
                <w:szCs w:val="20"/>
                <w:color w:val="auto"/>
              </w:rPr>
            </w:pPr>
            <w:r>
              <w:rPr>
                <w:rFonts w:ascii="Arial" w:cs="Arial" w:eastAsia="Arial" w:hAnsi="Arial"/>
                <w:sz w:val="18"/>
                <w:szCs w:val="18"/>
                <w:color w:val="auto"/>
                <w:w w:val="98"/>
              </w:rPr>
              <w:t>/S/  THOMAS M. PRESCOTT</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vMerge w:val="continue"/>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1"/>
              </w:rPr>
              <w:t>Thomas M. Prescott</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2013</w:t>
      </w:r>
    </w:p>
    <w:p>
      <w:pPr>
        <w:spacing w:after="0" w:line="200" w:lineRule="exact"/>
        <w:rPr>
          <w:sz w:val="20"/>
          <w:szCs w:val="20"/>
          <w:color w:val="auto"/>
        </w:rPr>
      </w:pPr>
    </w:p>
    <w:p>
      <w:pPr>
        <w:spacing w:after="0" w:line="34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 David L. White, certify, pursuant to 18 U.S.C. Section 1350, as adopted pursuant to Section 906 of the Sarbanes-Oxley Act of 2002, that the Quarterly Report of Align Technology, Inc. on Form 10-Q for the quarter ended September 30, 2013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61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jc w:val="center"/>
              <w:spacing w:after="0"/>
              <w:rPr>
                <w:sz w:val="20"/>
                <w:szCs w:val="20"/>
                <w:color w:val="auto"/>
              </w:rPr>
            </w:pPr>
            <w:r>
              <w:rPr>
                <w:rFonts w:ascii="Arial" w:cs="Arial" w:eastAsia="Arial" w:hAnsi="Arial"/>
                <w:sz w:val="18"/>
                <w:szCs w:val="18"/>
                <w:color w:val="auto"/>
              </w:rPr>
              <w:t>/S/  DAVID L. WHITE</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vMerge w:val="continue"/>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5"/>
              </w:rPr>
              <w:t>David L. White</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2013</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2019-12-06T23:04:38Z</dcterms:created>
  <dcterms:modified xsi:type="dcterms:W3CDTF">2019-12-06T23:04:38Z</dcterms:modified>
</cp:coreProperties>
</file>