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266700</wp:posOffset>
            </wp:positionV>
            <wp:extent cx="725741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63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200025</wp:posOffset>
            </wp:positionV>
            <wp:extent cx="725741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635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0"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3"/>
          <w:szCs w:val="13"/>
          <w:color w:val="auto"/>
        </w:rPr>
        <w:t>____________________________</w:t>
      </w:r>
    </w:p>
    <w:p>
      <w:pPr>
        <w:spacing w:after="0" w:line="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40"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3"/>
          <w:szCs w:val="13"/>
          <w:color w:val="auto"/>
        </w:rPr>
        <w:t>____________________________</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9" w:lineRule="exact"/>
        <w:rPr>
          <w:sz w:val="24"/>
          <w:szCs w:val="24"/>
          <w:color w:val="auto"/>
        </w:rPr>
      </w:pPr>
    </w:p>
    <w:p>
      <w:pPr>
        <w:ind w:left="720" w:hanging="695"/>
        <w:spacing w:after="0"/>
        <w:tabs>
          <w:tab w:leader="none" w:pos="7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6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For the quarterly period ended September 30, 2016</w:t>
      </w:r>
    </w:p>
    <w:p>
      <w:pPr>
        <w:spacing w:after="0" w:line="8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262" w:lineRule="exact"/>
        <w:rPr>
          <w:sz w:val="24"/>
          <w:szCs w:val="24"/>
          <w:color w:val="auto"/>
        </w:rPr>
      </w:pPr>
    </w:p>
    <w:p>
      <w:pPr>
        <w:ind w:left="720" w:hanging="695"/>
        <w:spacing w:after="0"/>
        <w:tabs>
          <w:tab w:leader="none" w:pos="7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ectPr>
          <w:pgSz w:w="11900" w:h="16838" w:orient="portrait"/>
          <w:cols w:equalWidth="0" w:num="1">
            <w:col w:w="11380"/>
          </w:cols>
          <w:pgMar w:left="220" w:top="209" w:right="299" w:bottom="1440" w:gutter="0" w:footer="0" w:header="0"/>
        </w:sectPr>
      </w:pPr>
    </w:p>
    <w:p>
      <w:pPr>
        <w:spacing w:after="0" w:line="175"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w:t>
      </w:r>
    </w:p>
    <w:p>
      <w:pPr>
        <w:spacing w:after="0" w:line="135" w:lineRule="exact"/>
        <w:rPr>
          <w:sz w:val="24"/>
          <w:szCs w:val="24"/>
          <w:color w:val="auto"/>
        </w:rPr>
      </w:pPr>
    </w:p>
    <w:p>
      <w:pPr>
        <w:sectPr>
          <w:pgSz w:w="11900" w:h="16838" w:orient="portrait"/>
          <w:cols w:equalWidth="0" w:num="2">
            <w:col w:w="6160" w:space="660"/>
            <w:col w:w="4560"/>
          </w:cols>
          <w:pgMar w:left="220" w:top="209" w:right="299" w:bottom="1440" w:gutter="0" w:footer="0" w:header="0"/>
          <w:type w:val="continuous"/>
        </w:sectPr>
      </w:pPr>
    </w:p>
    <w:p>
      <w:pPr>
        <w:ind w:left="4820"/>
        <w:spacing w:after="0"/>
        <w:rPr>
          <w:sz w:val="20"/>
          <w:szCs w:val="20"/>
          <w:color w:val="auto"/>
        </w:rPr>
      </w:pPr>
      <w:r>
        <w:rPr>
          <w:rFonts w:ascii="Times New Roman" w:cs="Times New Roman" w:eastAsia="Times New Roman" w:hAnsi="Times New Roman"/>
          <w:sz w:val="12"/>
          <w:szCs w:val="12"/>
          <w:b w:val="1"/>
          <w:bCs w:val="1"/>
          <w:color w:val="auto"/>
        </w:rPr>
        <w:t>Commission file number: 0-32259</w:t>
      </w:r>
    </w:p>
    <w:p>
      <w:pPr>
        <w:spacing w:after="0" w:line="25"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2"/>
          <w:szCs w:val="12"/>
          <w:color w:val="auto"/>
        </w:rPr>
        <w:t>____________________________</w:t>
      </w:r>
    </w:p>
    <w:p>
      <w:pPr>
        <w:sectPr>
          <w:pgSz w:w="11900" w:h="16838" w:orient="portrait"/>
          <w:cols w:equalWidth="0" w:num="1">
            <w:col w:w="11380"/>
          </w:cols>
          <w:pgMar w:left="220" w:top="209" w:right="299" w:bottom="1440" w:gutter="0" w:footer="0" w:header="0"/>
          <w:type w:val="continuous"/>
        </w:sectPr>
      </w:pPr>
    </w:p>
    <w:p>
      <w:pPr>
        <w:spacing w:after="0" w:line="3" w:lineRule="exact"/>
        <w:rPr>
          <w:sz w:val="24"/>
          <w:szCs w:val="24"/>
          <w:color w:val="auto"/>
        </w:rPr>
      </w:pPr>
    </w:p>
    <w:tbl>
      <w:tblPr>
        <w:tblLayout w:type="fixed"/>
        <w:tblInd w:w="2040" w:type="dxa"/>
        <w:tblCellMar>
          <w:top w:w="0" w:type="dxa"/>
          <w:left w:w="0" w:type="dxa"/>
          <w:bottom w:w="0" w:type="dxa"/>
          <w:right w:w="0" w:type="dxa"/>
        </w:tblCellMar>
      </w:tblPr>
      <w:tr>
        <w:trPr>
          <w:trHeight w:val="356"/>
        </w:trPr>
        <w:tc>
          <w:tcPr>
            <w:tcW w:w="1640" w:type="dxa"/>
            <w:vAlign w:val="bottom"/>
          </w:tcPr>
          <w:p>
            <w:pPr>
              <w:spacing w:after="0"/>
              <w:rPr>
                <w:sz w:val="24"/>
                <w:szCs w:val="24"/>
                <w:color w:val="auto"/>
              </w:rPr>
            </w:pPr>
          </w:p>
        </w:tc>
        <w:tc>
          <w:tcPr>
            <w:tcW w:w="5520" w:type="dxa"/>
            <w:vAlign w:val="bottom"/>
          </w:tcPr>
          <w:p>
            <w:pPr>
              <w:jc w:val="center"/>
              <w:ind w:right="1350"/>
              <w:spacing w:after="0"/>
              <w:rPr>
                <w:sz w:val="20"/>
                <w:szCs w:val="20"/>
                <w:color w:val="auto"/>
              </w:rPr>
            </w:pPr>
            <w:r>
              <w:rPr>
                <w:rFonts w:ascii="Times New Roman" w:cs="Times New Roman" w:eastAsia="Times New Roman" w:hAnsi="Times New Roman"/>
                <w:sz w:val="31"/>
                <w:szCs w:val="31"/>
                <w:b w:val="1"/>
                <w:bCs w:val="1"/>
                <w:color w:val="auto"/>
                <w:w w:val="98"/>
              </w:rPr>
              <w:t>ALIGN TECHNOLOGY, INC.</w:t>
            </w:r>
          </w:p>
        </w:tc>
      </w:tr>
      <w:tr>
        <w:trPr>
          <w:trHeight w:val="149"/>
        </w:trPr>
        <w:tc>
          <w:tcPr>
            <w:tcW w:w="1640" w:type="dxa"/>
            <w:vAlign w:val="bottom"/>
          </w:tcPr>
          <w:p>
            <w:pPr>
              <w:spacing w:after="0"/>
              <w:rPr>
                <w:sz w:val="12"/>
                <w:szCs w:val="12"/>
                <w:color w:val="auto"/>
              </w:rPr>
            </w:pPr>
          </w:p>
        </w:tc>
        <w:tc>
          <w:tcPr>
            <w:tcW w:w="5520" w:type="dxa"/>
            <w:vAlign w:val="bottom"/>
          </w:tcPr>
          <w:p>
            <w:pPr>
              <w:jc w:val="center"/>
              <w:ind w:right="1350"/>
              <w:spacing w:after="0"/>
              <w:rPr>
                <w:sz w:val="20"/>
                <w:szCs w:val="20"/>
                <w:color w:val="auto"/>
              </w:rPr>
            </w:pPr>
            <w:r>
              <w:rPr>
                <w:rFonts w:ascii="Times New Roman" w:cs="Times New Roman" w:eastAsia="Times New Roman" w:hAnsi="Times New Roman"/>
                <w:sz w:val="13"/>
                <w:szCs w:val="13"/>
                <w:b w:val="1"/>
                <w:bCs w:val="1"/>
                <w:color w:val="auto"/>
                <w:w w:val="96"/>
              </w:rPr>
              <w:t>(Exact name of registrant as specified in its charter)</w:t>
            </w:r>
          </w:p>
        </w:tc>
      </w:tr>
      <w:tr>
        <w:trPr>
          <w:trHeight w:val="164"/>
        </w:trPr>
        <w:tc>
          <w:tcPr>
            <w:tcW w:w="1640" w:type="dxa"/>
            <w:vAlign w:val="bottom"/>
          </w:tcPr>
          <w:p>
            <w:pPr>
              <w:spacing w:after="0"/>
              <w:rPr>
                <w:sz w:val="14"/>
                <w:szCs w:val="14"/>
                <w:color w:val="auto"/>
              </w:rPr>
            </w:pPr>
          </w:p>
        </w:tc>
        <w:tc>
          <w:tcPr>
            <w:tcW w:w="5520" w:type="dxa"/>
            <w:vAlign w:val="bottom"/>
          </w:tcPr>
          <w:p>
            <w:pPr>
              <w:jc w:val="center"/>
              <w:ind w:right="1370"/>
              <w:spacing w:after="0"/>
              <w:rPr>
                <w:sz w:val="20"/>
                <w:szCs w:val="20"/>
                <w:color w:val="auto"/>
              </w:rPr>
            </w:pPr>
            <w:r>
              <w:rPr>
                <w:rFonts w:ascii="Times New Roman" w:cs="Times New Roman" w:eastAsia="Times New Roman" w:hAnsi="Times New Roman"/>
                <w:sz w:val="13"/>
                <w:szCs w:val="13"/>
                <w:color w:val="auto"/>
                <w:w w:val="96"/>
              </w:rPr>
              <w:t>____________________________</w:t>
            </w:r>
          </w:p>
        </w:tc>
      </w:tr>
      <w:tr>
        <w:trPr>
          <w:trHeight w:val="273"/>
        </w:trPr>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5520" w:type="dxa"/>
            <w:vAlign w:val="bottom"/>
          </w:tcPr>
          <w:p>
            <w:pPr>
              <w:jc w:val="center"/>
              <w:ind w:left="4210"/>
              <w:spacing w:after="0"/>
              <w:rPr>
                <w:sz w:val="20"/>
                <w:szCs w:val="20"/>
                <w:color w:val="auto"/>
              </w:rPr>
            </w:pPr>
            <w:r>
              <w:rPr>
                <w:rFonts w:ascii="Times New Roman" w:cs="Times New Roman" w:eastAsia="Times New Roman" w:hAnsi="Times New Roman"/>
                <w:sz w:val="13"/>
                <w:szCs w:val="13"/>
                <w:b w:val="1"/>
                <w:bCs w:val="1"/>
                <w:color w:val="auto"/>
                <w:w w:val="95"/>
              </w:rPr>
              <w:t>94-3267295</w:t>
            </w:r>
          </w:p>
        </w:tc>
      </w:tr>
      <w:tr>
        <w:trPr>
          <w:trHeight w:val="190"/>
        </w:trPr>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5520" w:type="dxa"/>
            <w:vAlign w:val="bottom"/>
          </w:tcPr>
          <w:p>
            <w:pPr>
              <w:jc w:val="center"/>
              <w:ind w:left="4190"/>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5520" w:type="dxa"/>
            <w:vAlign w:val="bottom"/>
          </w:tcPr>
          <w:p>
            <w:pPr>
              <w:jc w:val="center"/>
              <w:ind w:left="4210"/>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r>
        <w:trPr>
          <w:trHeight w:val="222"/>
        </w:trPr>
        <w:tc>
          <w:tcPr>
            <w:tcW w:w="1640" w:type="dxa"/>
            <w:vAlign w:val="bottom"/>
          </w:tcPr>
          <w:p>
            <w:pPr>
              <w:spacing w:after="0"/>
              <w:rPr>
                <w:sz w:val="19"/>
                <w:szCs w:val="19"/>
                <w:color w:val="auto"/>
              </w:rPr>
            </w:pPr>
          </w:p>
        </w:tc>
        <w:tc>
          <w:tcPr>
            <w:tcW w:w="5520" w:type="dxa"/>
            <w:vAlign w:val="bottom"/>
          </w:tcPr>
          <w:p>
            <w:pPr>
              <w:jc w:val="center"/>
              <w:ind w:right="1350"/>
              <w:spacing w:after="0"/>
              <w:rPr>
                <w:sz w:val="20"/>
                <w:szCs w:val="20"/>
                <w:color w:val="auto"/>
              </w:rPr>
            </w:pPr>
            <w:r>
              <w:rPr>
                <w:rFonts w:ascii="Times New Roman" w:cs="Times New Roman" w:eastAsia="Times New Roman" w:hAnsi="Times New Roman"/>
                <w:sz w:val="13"/>
                <w:szCs w:val="13"/>
                <w:b w:val="1"/>
                <w:bCs w:val="1"/>
                <w:color w:val="auto"/>
                <w:w w:val="96"/>
              </w:rPr>
              <w:t>2560 Orchard Parkway</w:t>
            </w:r>
          </w:p>
        </w:tc>
      </w:tr>
      <w:tr>
        <w:trPr>
          <w:trHeight w:val="147"/>
        </w:trPr>
        <w:tc>
          <w:tcPr>
            <w:tcW w:w="1640" w:type="dxa"/>
            <w:vAlign w:val="bottom"/>
          </w:tcPr>
          <w:p>
            <w:pPr>
              <w:spacing w:after="0"/>
              <w:rPr>
                <w:sz w:val="12"/>
                <w:szCs w:val="12"/>
                <w:color w:val="auto"/>
              </w:rPr>
            </w:pPr>
          </w:p>
        </w:tc>
        <w:tc>
          <w:tcPr>
            <w:tcW w:w="5520" w:type="dxa"/>
            <w:vAlign w:val="bottom"/>
          </w:tcPr>
          <w:p>
            <w:pPr>
              <w:jc w:val="center"/>
              <w:ind w:right="1350"/>
              <w:spacing w:after="0" w:line="147" w:lineRule="exact"/>
              <w:rPr>
                <w:sz w:val="20"/>
                <w:szCs w:val="20"/>
                <w:color w:val="auto"/>
              </w:rPr>
            </w:pPr>
            <w:r>
              <w:rPr>
                <w:rFonts w:ascii="Times New Roman" w:cs="Times New Roman" w:eastAsia="Times New Roman" w:hAnsi="Times New Roman"/>
                <w:sz w:val="13"/>
                <w:szCs w:val="13"/>
                <w:b w:val="1"/>
                <w:bCs w:val="1"/>
                <w:color w:val="auto"/>
                <w:w w:val="96"/>
              </w:rPr>
              <w:t>San Jose, California 95131</w:t>
            </w:r>
          </w:p>
        </w:tc>
      </w:tr>
      <w:tr>
        <w:trPr>
          <w:trHeight w:val="166"/>
        </w:trPr>
        <w:tc>
          <w:tcPr>
            <w:tcW w:w="1640" w:type="dxa"/>
            <w:vAlign w:val="bottom"/>
          </w:tcPr>
          <w:p>
            <w:pPr>
              <w:spacing w:after="0"/>
              <w:rPr>
                <w:sz w:val="14"/>
                <w:szCs w:val="14"/>
                <w:color w:val="auto"/>
              </w:rPr>
            </w:pPr>
          </w:p>
        </w:tc>
        <w:tc>
          <w:tcPr>
            <w:tcW w:w="5520" w:type="dxa"/>
            <w:vAlign w:val="bottom"/>
          </w:tcPr>
          <w:p>
            <w:pPr>
              <w:jc w:val="center"/>
              <w:ind w:right="133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r>
      <w:tr>
        <w:trPr>
          <w:trHeight w:val="253"/>
        </w:trPr>
        <w:tc>
          <w:tcPr>
            <w:tcW w:w="1640" w:type="dxa"/>
            <w:vAlign w:val="bottom"/>
          </w:tcPr>
          <w:p>
            <w:pPr>
              <w:spacing w:after="0"/>
              <w:rPr>
                <w:sz w:val="22"/>
                <w:szCs w:val="22"/>
                <w:color w:val="auto"/>
              </w:rPr>
            </w:pPr>
          </w:p>
        </w:tc>
        <w:tc>
          <w:tcPr>
            <w:tcW w:w="5520" w:type="dxa"/>
            <w:vAlign w:val="bottom"/>
          </w:tcPr>
          <w:p>
            <w:pPr>
              <w:jc w:val="center"/>
              <w:ind w:right="1350"/>
              <w:spacing w:after="0"/>
              <w:rPr>
                <w:sz w:val="20"/>
                <w:szCs w:val="20"/>
                <w:color w:val="auto"/>
              </w:rPr>
            </w:pPr>
            <w:r>
              <w:rPr>
                <w:rFonts w:ascii="Times New Roman" w:cs="Times New Roman" w:eastAsia="Times New Roman" w:hAnsi="Times New Roman"/>
                <w:sz w:val="13"/>
                <w:szCs w:val="13"/>
                <w:b w:val="1"/>
                <w:bCs w:val="1"/>
                <w:color w:val="auto"/>
                <w:w w:val="95"/>
              </w:rPr>
              <w:t>(408) 470-1000</w:t>
            </w:r>
          </w:p>
        </w:tc>
      </w:tr>
      <w:tr>
        <w:trPr>
          <w:trHeight w:val="166"/>
        </w:trPr>
        <w:tc>
          <w:tcPr>
            <w:tcW w:w="1640" w:type="dxa"/>
            <w:vAlign w:val="bottom"/>
          </w:tcPr>
          <w:p>
            <w:pPr>
              <w:spacing w:after="0"/>
              <w:rPr>
                <w:sz w:val="14"/>
                <w:szCs w:val="14"/>
                <w:color w:val="auto"/>
              </w:rPr>
            </w:pPr>
          </w:p>
        </w:tc>
        <w:tc>
          <w:tcPr>
            <w:tcW w:w="5520" w:type="dxa"/>
            <w:vAlign w:val="bottom"/>
          </w:tcPr>
          <w:p>
            <w:pPr>
              <w:jc w:val="center"/>
              <w:ind w:right="133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r>
      <w:tr>
        <w:trPr>
          <w:trHeight w:val="199"/>
        </w:trPr>
        <w:tc>
          <w:tcPr>
            <w:tcW w:w="1640" w:type="dxa"/>
            <w:vAlign w:val="bottom"/>
          </w:tcPr>
          <w:p>
            <w:pPr>
              <w:spacing w:after="0"/>
              <w:rPr>
                <w:sz w:val="17"/>
                <w:szCs w:val="17"/>
                <w:color w:val="auto"/>
              </w:rPr>
            </w:pPr>
          </w:p>
        </w:tc>
        <w:tc>
          <w:tcPr>
            <w:tcW w:w="5520" w:type="dxa"/>
            <w:vAlign w:val="bottom"/>
          </w:tcPr>
          <w:p>
            <w:pPr>
              <w:jc w:val="center"/>
              <w:ind w:right="1310"/>
              <w:spacing w:after="0"/>
              <w:rPr>
                <w:sz w:val="20"/>
                <w:szCs w:val="20"/>
                <w:color w:val="auto"/>
              </w:rPr>
            </w:pPr>
            <w:r>
              <w:rPr>
                <w:rFonts w:ascii="Times New Roman" w:cs="Times New Roman" w:eastAsia="Times New Roman" w:hAnsi="Times New Roman"/>
                <w:sz w:val="13"/>
                <w:szCs w:val="13"/>
                <w:color w:val="auto"/>
                <w:w w:val="97"/>
              </w:rPr>
              <w:t>____________________________</w:t>
            </w:r>
          </w:p>
        </w:tc>
      </w:tr>
    </w:tbl>
    <w:p>
      <w:pPr>
        <w:spacing w:after="0" w:line="46" w:lineRule="exact"/>
        <w:rPr>
          <w:sz w:val="24"/>
          <w:szCs w:val="24"/>
          <w:color w:val="auto"/>
        </w:rPr>
      </w:pPr>
    </w:p>
    <w:p>
      <w:pPr>
        <w:ind w:firstLine="336"/>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3"/>
          <w:szCs w:val="13"/>
          <w:color w:val="auto"/>
        </w:rPr>
        <w:t>☐</w:t>
      </w:r>
    </w:p>
    <w:p>
      <w:pPr>
        <w:spacing w:after="0" w:line="96" w:lineRule="exact"/>
        <w:rPr>
          <w:sz w:val="24"/>
          <w:szCs w:val="24"/>
          <w:color w:val="auto"/>
        </w:rPr>
      </w:pPr>
    </w:p>
    <w:p>
      <w:pPr>
        <w:ind w:right="60" w:firstLine="336"/>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3"/>
          <w:szCs w:val="13"/>
          <w:color w:val="auto"/>
        </w:rPr>
        <w:t>☐</w:t>
      </w:r>
    </w:p>
    <w:p>
      <w:pPr>
        <w:spacing w:after="0" w:line="96" w:lineRule="exact"/>
        <w:rPr>
          <w:sz w:val="24"/>
          <w:szCs w:val="24"/>
          <w:color w:val="auto"/>
        </w:rPr>
      </w:pPr>
    </w:p>
    <w:p>
      <w:pPr>
        <w:ind w:right="200" w:firstLine="336"/>
        <w:spacing w:after="0" w:line="25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380"/>
          </w:cols>
          <w:pgMar w:left="220" w:top="209" w:right="299" w:bottom="1440" w:gutter="0" w:footer="0" w:header="0"/>
          <w:type w:val="continuous"/>
        </w:sectPr>
      </w:pPr>
    </w:p>
    <w:p>
      <w:pPr>
        <w:spacing w:after="0" w:line="9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x</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79" w:lineRule="exact"/>
        <w:rPr>
          <w:sz w:val="24"/>
          <w:szCs w:val="24"/>
          <w:color w:val="auto"/>
        </w:rPr>
      </w:pPr>
    </w:p>
    <w:p>
      <w:pPr>
        <w:sectPr>
          <w:pgSz w:w="11900" w:h="16838" w:orient="portrait"/>
          <w:cols w:equalWidth="0" w:num="4">
            <w:col w:w="1240" w:space="720"/>
            <w:col w:w="3700" w:space="720"/>
            <w:col w:w="3360" w:space="720"/>
            <w:col w:w="920"/>
          </w:cols>
          <w:pgMar w:left="220" w:top="209" w:right="299" w:bottom="1440" w:gutter="0" w:footer="0" w:header="0"/>
          <w:type w:val="continuous"/>
        </w:sectPr>
      </w:pPr>
    </w:p>
    <w:p>
      <w:pPr>
        <w:spacing w:after="0" w:line="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83" w:lineRule="exact"/>
        <w:rPr>
          <w:sz w:val="24"/>
          <w:szCs w:val="24"/>
          <w:color w:val="auto"/>
        </w:rPr>
      </w:pPr>
    </w:p>
    <w:p>
      <w:pPr>
        <w:sectPr>
          <w:pgSz w:w="11900" w:h="16838" w:orient="portrait"/>
          <w:cols w:equalWidth="0" w:num="4">
            <w:col w:w="1240" w:space="720"/>
            <w:col w:w="3700" w:space="720"/>
            <w:col w:w="3360" w:space="720"/>
            <w:col w:w="920"/>
          </w:cols>
          <w:pgMar w:left="220" w:top="209" w:right="299" w:bottom="1440" w:gutter="0" w:footer="0" w:header="0"/>
          <w:type w:val="continuous"/>
        </w:sectPr>
      </w:pPr>
    </w:p>
    <w:p>
      <w:pPr>
        <w:spacing w:after="0" w:line="2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 x</w:t>
      </w:r>
    </w:p>
    <w:p>
      <w:pPr>
        <w:spacing w:after="0" w:line="123" w:lineRule="exact"/>
        <w:rPr>
          <w:sz w:val="24"/>
          <w:szCs w:val="24"/>
          <w:color w:val="auto"/>
        </w:rPr>
      </w:pPr>
    </w:p>
    <w:p>
      <w:pPr>
        <w:sectPr>
          <w:pgSz w:w="11900" w:h="16838" w:orient="portrait"/>
          <w:cols w:equalWidth="0" w:num="4">
            <w:col w:w="6060" w:space="120"/>
            <w:col w:w="180" w:space="60"/>
            <w:col w:w="120" w:space="120"/>
            <w:col w:w="4720"/>
          </w:cols>
          <w:pgMar w:left="220" w:top="209" w:right="29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2"/>
          <w:szCs w:val="12"/>
          <w:color w:val="auto"/>
        </w:rPr>
        <w:t>The number of shares outstanding of the registrant’s Common Stock, $0.0001 par value, as of October 31, 2016 was 79,689,402.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238760</wp:posOffset>
            </wp:positionV>
            <wp:extent cx="725741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63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172085</wp:posOffset>
            </wp:positionV>
            <wp:extent cx="725741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635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380"/>
          </w:cols>
          <w:pgMar w:left="220" w:top="209" w:right="29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ALIGN TECHNOLOGY, INC.</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INDEX</w:t>
      </w: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 I</w:t>
            </w:r>
          </w:p>
        </w:tc>
        <w:tc>
          <w:tcPr>
            <w:tcW w:w="8460" w:type="dxa"/>
            <w:vAlign w:val="bottom"/>
            <w:gridSpan w:val="19"/>
          </w:tcPr>
          <w:p>
            <w:pPr>
              <w:spacing w:after="0"/>
              <w:rPr>
                <w:rFonts w:ascii="Times New Roman" w:cs="Times New Roman" w:eastAsia="Times New Roman" w:hAnsi="Times New Roman"/>
                <w:sz w:val="14"/>
                <w:szCs w:val="14"/>
                <w:color w:val="0000FF"/>
              </w:rPr>
            </w:pPr>
            <w:hyperlink w:anchor="page3">
              <w:r>
                <w:rPr>
                  <w:rFonts w:ascii="Times New Roman" w:cs="Times New Roman" w:eastAsia="Times New Roman" w:hAnsi="Times New Roman"/>
                  <w:sz w:val="14"/>
                  <w:szCs w:val="14"/>
                  <w:color w:val="0000FF"/>
                </w:rPr>
                <w:t>FINANCIAL INFORMATION</w:t>
              </w:r>
            </w:hyperlink>
          </w:p>
        </w:tc>
        <w:tc>
          <w:tcPr>
            <w:tcW w:w="1680" w:type="dxa"/>
            <w:vAlign w:val="bottom"/>
            <w:gridSpan w:val="2"/>
          </w:tcPr>
          <w:p>
            <w:pPr>
              <w:jc w:val="right"/>
              <w:spacing w:after="0"/>
              <w:rPr>
                <w:rFonts w:ascii="Times New Roman" w:cs="Times New Roman" w:eastAsia="Times New Roman" w:hAnsi="Times New Roman"/>
                <w:sz w:val="14"/>
                <w:szCs w:val="14"/>
                <w:color w:val="0000FF"/>
              </w:rPr>
            </w:pPr>
            <w:hyperlink w:anchor="page3">
              <w:r>
                <w:rPr>
                  <w:rFonts w:ascii="Times New Roman" w:cs="Times New Roman" w:eastAsia="Times New Roman" w:hAnsi="Times New Roman"/>
                  <w:sz w:val="14"/>
                  <w:szCs w:val="14"/>
                  <w:color w:val="0000FF"/>
                </w:rPr>
                <w:t>3</w:t>
              </w:r>
            </w:hyperlink>
          </w:p>
        </w:tc>
      </w:tr>
      <w:tr>
        <w:trPr>
          <w:trHeight w:val="20"/>
        </w:trPr>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90"/>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3460" w:type="dxa"/>
            <w:vAlign w:val="bottom"/>
            <w:gridSpan w:val="11"/>
          </w:tcPr>
          <w:p>
            <w:pPr>
              <w:spacing w:after="0"/>
              <w:rPr>
                <w:rFonts w:ascii="Times New Roman" w:cs="Times New Roman" w:eastAsia="Times New Roman" w:hAnsi="Times New Roman"/>
                <w:sz w:val="14"/>
                <w:szCs w:val="14"/>
                <w:color w:val="0000FF"/>
              </w:rPr>
            </w:pPr>
            <w:hyperlink w:anchor="page3">
              <w:r>
                <w:rPr>
                  <w:rFonts w:ascii="Times New Roman" w:cs="Times New Roman" w:eastAsia="Times New Roman" w:hAnsi="Times New Roman"/>
                  <w:sz w:val="14"/>
                  <w:szCs w:val="14"/>
                  <w:color w:val="0000FF"/>
                </w:rPr>
                <w:t>FINANCIAL STATEMENTS (UNAUDITED):</w:t>
              </w:r>
            </w:hyperlink>
          </w:p>
        </w:tc>
        <w:tc>
          <w:tcPr>
            <w:tcW w:w="5000" w:type="dxa"/>
            <w:vAlign w:val="bottom"/>
            <w:gridSpan w:val="8"/>
          </w:tcPr>
          <w:p>
            <w:pPr>
              <w:spacing w:after="0"/>
              <w:rPr>
                <w:sz w:val="16"/>
                <w:szCs w:val="16"/>
                <w:color w:val="auto"/>
              </w:rPr>
            </w:pPr>
          </w:p>
        </w:tc>
        <w:tc>
          <w:tcPr>
            <w:tcW w:w="1680" w:type="dxa"/>
            <w:vAlign w:val="bottom"/>
            <w:gridSpan w:val="2"/>
          </w:tcPr>
          <w:p>
            <w:pPr>
              <w:jc w:val="right"/>
              <w:spacing w:after="0"/>
              <w:rPr>
                <w:rFonts w:ascii="Times New Roman" w:cs="Times New Roman" w:eastAsia="Times New Roman" w:hAnsi="Times New Roman"/>
                <w:sz w:val="14"/>
                <w:szCs w:val="14"/>
                <w:color w:val="0000FF"/>
              </w:rPr>
            </w:pPr>
            <w:hyperlink w:anchor="page3">
              <w:r>
                <w:rPr>
                  <w:rFonts w:ascii="Times New Roman" w:cs="Times New Roman" w:eastAsia="Times New Roman" w:hAnsi="Times New Roman"/>
                  <w:sz w:val="14"/>
                  <w:szCs w:val="14"/>
                  <w:color w:val="0000FF"/>
                </w:rPr>
                <w:t>3</w:t>
              </w:r>
            </w:hyperlink>
          </w:p>
        </w:tc>
      </w:tr>
      <w:tr>
        <w:trPr>
          <w:trHeight w:val="20"/>
        </w:trPr>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90"/>
        </w:trPr>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80" w:type="dxa"/>
            <w:vAlign w:val="bottom"/>
            <w:gridSpan w:val="11"/>
          </w:tcPr>
          <w:p>
            <w:pPr>
              <w:spacing w:after="0"/>
              <w:rPr>
                <w:rFonts w:ascii="Times New Roman" w:cs="Times New Roman" w:eastAsia="Times New Roman" w:hAnsi="Times New Roman"/>
                <w:sz w:val="14"/>
                <w:szCs w:val="14"/>
                <w:color w:val="0000FF"/>
                <w:w w:val="98"/>
              </w:rPr>
            </w:pPr>
            <w:hyperlink w:anchor="page3">
              <w:r>
                <w:rPr>
                  <w:rFonts w:ascii="Times New Roman" w:cs="Times New Roman" w:eastAsia="Times New Roman" w:hAnsi="Times New Roman"/>
                  <w:sz w:val="14"/>
                  <w:szCs w:val="14"/>
                  <w:color w:val="0000FF"/>
                  <w:w w:val="98"/>
                </w:rPr>
                <w:t>CONDENSED CONSOLIDATED STATEMENTS OF OPERATIONS</w:t>
              </w:r>
            </w:hyperlink>
          </w:p>
        </w:tc>
        <w:tc>
          <w:tcPr>
            <w:tcW w:w="4220" w:type="dxa"/>
            <w:vAlign w:val="bottom"/>
            <w:gridSpan w:val="7"/>
          </w:tcPr>
          <w:p>
            <w:pPr>
              <w:spacing w:after="0"/>
              <w:rPr>
                <w:sz w:val="16"/>
                <w:szCs w:val="16"/>
                <w:color w:val="auto"/>
              </w:rPr>
            </w:pPr>
          </w:p>
        </w:tc>
        <w:tc>
          <w:tcPr>
            <w:tcW w:w="1680" w:type="dxa"/>
            <w:vAlign w:val="bottom"/>
            <w:gridSpan w:val="2"/>
          </w:tcPr>
          <w:p>
            <w:pPr>
              <w:jc w:val="right"/>
              <w:spacing w:after="0"/>
              <w:rPr>
                <w:rFonts w:ascii="Times New Roman" w:cs="Times New Roman" w:eastAsia="Times New Roman" w:hAnsi="Times New Roman"/>
                <w:sz w:val="14"/>
                <w:szCs w:val="14"/>
                <w:color w:val="0000FF"/>
              </w:rPr>
            </w:pPr>
            <w:hyperlink w:anchor="page3">
              <w:r>
                <w:rPr>
                  <w:rFonts w:ascii="Times New Roman" w:cs="Times New Roman" w:eastAsia="Times New Roman" w:hAnsi="Times New Roman"/>
                  <w:sz w:val="14"/>
                  <w:szCs w:val="14"/>
                  <w:color w:val="0000FF"/>
                </w:rPr>
                <w:t>3</w:t>
              </w:r>
            </w:hyperlink>
          </w:p>
        </w:tc>
      </w:tr>
      <w:tr>
        <w:trPr>
          <w:trHeight w:val="20"/>
        </w:trPr>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90"/>
        </w:trPr>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80" w:type="dxa"/>
            <w:vAlign w:val="bottom"/>
            <w:gridSpan w:val="16"/>
          </w:tcPr>
          <w:p>
            <w:pPr>
              <w:spacing w:after="0"/>
              <w:rPr>
                <w:rFonts w:ascii="Times New Roman" w:cs="Times New Roman" w:eastAsia="Times New Roman" w:hAnsi="Times New Roman"/>
                <w:sz w:val="14"/>
                <w:szCs w:val="14"/>
                <w:color w:val="0000FF"/>
                <w:w w:val="98"/>
              </w:rPr>
            </w:pPr>
            <w:hyperlink w:anchor="page4">
              <w:r>
                <w:rPr>
                  <w:rFonts w:ascii="Times New Roman" w:cs="Times New Roman" w:eastAsia="Times New Roman" w:hAnsi="Times New Roman"/>
                  <w:sz w:val="14"/>
                  <w:szCs w:val="14"/>
                  <w:color w:val="0000FF"/>
                  <w:w w:val="98"/>
                </w:rPr>
                <w:t>CONDENSED CONSOLIDATED STATEMENTS OF COMPREHENSIVE INCOME</w:t>
              </w:r>
            </w:hyperlink>
          </w:p>
        </w:tc>
        <w:tc>
          <w:tcPr>
            <w:tcW w:w="3320" w:type="dxa"/>
            <w:vAlign w:val="bottom"/>
            <w:gridSpan w:val="2"/>
          </w:tcPr>
          <w:p>
            <w:pPr>
              <w:spacing w:after="0"/>
              <w:rPr>
                <w:sz w:val="16"/>
                <w:szCs w:val="16"/>
                <w:color w:val="auto"/>
              </w:rPr>
            </w:pPr>
          </w:p>
        </w:tc>
        <w:tc>
          <w:tcPr>
            <w:tcW w:w="1680" w:type="dxa"/>
            <w:vAlign w:val="bottom"/>
            <w:gridSpan w:val="2"/>
          </w:tcPr>
          <w:p>
            <w:pPr>
              <w:jc w:val="right"/>
              <w:spacing w:after="0"/>
              <w:rPr>
                <w:rFonts w:ascii="Times New Roman" w:cs="Times New Roman" w:eastAsia="Times New Roman" w:hAnsi="Times New Roman"/>
                <w:sz w:val="14"/>
                <w:szCs w:val="14"/>
                <w:color w:val="0000FF"/>
              </w:rPr>
            </w:pPr>
            <w:hyperlink w:anchor="page4">
              <w:r>
                <w:rPr>
                  <w:rFonts w:ascii="Times New Roman" w:cs="Times New Roman" w:eastAsia="Times New Roman" w:hAnsi="Times New Roman"/>
                  <w:sz w:val="14"/>
                  <w:szCs w:val="14"/>
                  <w:color w:val="0000FF"/>
                </w:rPr>
                <w:t>4</w:t>
              </w:r>
            </w:hyperlink>
          </w:p>
        </w:tc>
      </w:tr>
      <w:tr>
        <w:trPr>
          <w:trHeight w:val="20"/>
        </w:trPr>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90"/>
        </w:trPr>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gridSpan w:val="10"/>
          </w:tcPr>
          <w:p>
            <w:pPr>
              <w:spacing w:after="0"/>
              <w:rPr>
                <w:rFonts w:ascii="Times New Roman" w:cs="Times New Roman" w:eastAsia="Times New Roman" w:hAnsi="Times New Roman"/>
                <w:sz w:val="14"/>
                <w:szCs w:val="14"/>
                <w:color w:val="0000FF"/>
                <w:w w:val="99"/>
              </w:rPr>
            </w:pPr>
            <w:hyperlink w:anchor="page5">
              <w:r>
                <w:rPr>
                  <w:rFonts w:ascii="Times New Roman" w:cs="Times New Roman" w:eastAsia="Times New Roman" w:hAnsi="Times New Roman"/>
                  <w:sz w:val="14"/>
                  <w:szCs w:val="14"/>
                  <w:color w:val="0000FF"/>
                  <w:w w:val="99"/>
                </w:rPr>
                <w:t>CONDENSED CONSOLIDATED BALANCE SHEETS</w:t>
              </w:r>
            </w:hyperlink>
          </w:p>
        </w:tc>
        <w:tc>
          <w:tcPr>
            <w:tcW w:w="1680" w:type="dxa"/>
            <w:vAlign w:val="bottom"/>
            <w:gridSpan w:val="6"/>
          </w:tcPr>
          <w:p>
            <w:pPr>
              <w:spacing w:after="0"/>
              <w:rPr>
                <w:sz w:val="16"/>
                <w:szCs w:val="16"/>
                <w:color w:val="auto"/>
              </w:rPr>
            </w:pPr>
          </w:p>
        </w:tc>
        <w:tc>
          <w:tcPr>
            <w:tcW w:w="3320" w:type="dxa"/>
            <w:vAlign w:val="bottom"/>
            <w:gridSpan w:val="2"/>
          </w:tcPr>
          <w:p>
            <w:pPr>
              <w:spacing w:after="0"/>
              <w:rPr>
                <w:sz w:val="16"/>
                <w:szCs w:val="16"/>
                <w:color w:val="auto"/>
              </w:rPr>
            </w:pPr>
          </w:p>
        </w:tc>
        <w:tc>
          <w:tcPr>
            <w:tcW w:w="1680" w:type="dxa"/>
            <w:vAlign w:val="bottom"/>
            <w:gridSpan w:val="2"/>
          </w:tcPr>
          <w:p>
            <w:pPr>
              <w:jc w:val="right"/>
              <w:spacing w:after="0"/>
              <w:rPr>
                <w:rFonts w:ascii="Times New Roman" w:cs="Times New Roman" w:eastAsia="Times New Roman" w:hAnsi="Times New Roman"/>
                <w:sz w:val="14"/>
                <w:szCs w:val="14"/>
                <w:color w:val="0000FF"/>
              </w:rPr>
            </w:pPr>
            <w:hyperlink w:anchor="page5">
              <w:r>
                <w:rPr>
                  <w:rFonts w:ascii="Times New Roman" w:cs="Times New Roman" w:eastAsia="Times New Roman" w:hAnsi="Times New Roman"/>
                  <w:sz w:val="14"/>
                  <w:szCs w:val="14"/>
                  <w:color w:val="0000FF"/>
                </w:rPr>
                <w:t>5</w:t>
              </w:r>
            </w:hyperlink>
          </w:p>
        </w:tc>
      </w:tr>
      <w:tr>
        <w:trPr>
          <w:trHeight w:val="20"/>
        </w:trPr>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90"/>
        </w:trPr>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0" w:type="dxa"/>
            <w:vAlign w:val="bottom"/>
            <w:gridSpan w:val="12"/>
          </w:tcPr>
          <w:p>
            <w:pPr>
              <w:spacing w:after="0"/>
              <w:rPr>
                <w:rFonts w:ascii="Times New Roman" w:cs="Times New Roman" w:eastAsia="Times New Roman" w:hAnsi="Times New Roman"/>
                <w:sz w:val="14"/>
                <w:szCs w:val="14"/>
                <w:color w:val="0000FF"/>
                <w:w w:val="98"/>
              </w:rPr>
            </w:pPr>
            <w:hyperlink w:anchor="page6">
              <w:r>
                <w:rPr>
                  <w:rFonts w:ascii="Times New Roman" w:cs="Times New Roman" w:eastAsia="Times New Roman" w:hAnsi="Times New Roman"/>
                  <w:sz w:val="14"/>
                  <w:szCs w:val="14"/>
                  <w:color w:val="0000FF"/>
                  <w:w w:val="98"/>
                </w:rPr>
                <w:t>CONDENSED CONSOLIDATED STATEMENTS OF CASH FLOWS</w:t>
              </w:r>
            </w:hyperlink>
          </w:p>
        </w:tc>
        <w:tc>
          <w:tcPr>
            <w:tcW w:w="4200" w:type="dxa"/>
            <w:vAlign w:val="bottom"/>
            <w:gridSpan w:val="6"/>
          </w:tcPr>
          <w:p>
            <w:pPr>
              <w:spacing w:after="0"/>
              <w:rPr>
                <w:sz w:val="16"/>
                <w:szCs w:val="16"/>
                <w:color w:val="auto"/>
              </w:rPr>
            </w:pPr>
          </w:p>
        </w:tc>
        <w:tc>
          <w:tcPr>
            <w:tcW w:w="1680" w:type="dxa"/>
            <w:vAlign w:val="bottom"/>
            <w:gridSpan w:val="2"/>
          </w:tcPr>
          <w:p>
            <w:pPr>
              <w:jc w:val="right"/>
              <w:spacing w:after="0"/>
              <w:rPr>
                <w:rFonts w:ascii="Times New Roman" w:cs="Times New Roman" w:eastAsia="Times New Roman" w:hAnsi="Times New Roman"/>
                <w:sz w:val="14"/>
                <w:szCs w:val="14"/>
                <w:color w:val="0000FF"/>
              </w:rPr>
            </w:pPr>
            <w:hyperlink w:anchor="page6">
              <w:r>
                <w:rPr>
                  <w:rFonts w:ascii="Times New Roman" w:cs="Times New Roman" w:eastAsia="Times New Roman" w:hAnsi="Times New Roman"/>
                  <w:sz w:val="14"/>
                  <w:szCs w:val="14"/>
                  <w:color w:val="0000FF"/>
                </w:rPr>
                <w:t>6</w:t>
              </w:r>
            </w:hyperlink>
          </w:p>
        </w:tc>
      </w:tr>
      <w:tr>
        <w:trPr>
          <w:trHeight w:val="20"/>
        </w:trPr>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90"/>
        </w:trPr>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360" w:type="dxa"/>
            <w:vAlign w:val="bottom"/>
            <w:gridSpan w:val="13"/>
          </w:tcPr>
          <w:p>
            <w:pPr>
              <w:spacing w:after="0"/>
              <w:rPr>
                <w:rFonts w:ascii="Times New Roman" w:cs="Times New Roman" w:eastAsia="Times New Roman" w:hAnsi="Times New Roman"/>
                <w:sz w:val="14"/>
                <w:szCs w:val="14"/>
                <w:color w:val="0000FF"/>
                <w:w w:val="98"/>
              </w:rPr>
            </w:pPr>
            <w:hyperlink w:anchor="page7">
              <w:r>
                <w:rPr>
                  <w:rFonts w:ascii="Times New Roman" w:cs="Times New Roman" w:eastAsia="Times New Roman" w:hAnsi="Times New Roman"/>
                  <w:sz w:val="14"/>
                  <w:szCs w:val="14"/>
                  <w:color w:val="0000FF"/>
                  <w:w w:val="98"/>
                </w:rPr>
                <w:t>NOTES TO CONDENSED CONSOLIDATED FINANCIAL STATEMENTS</w:t>
              </w:r>
            </w:hyperlink>
          </w:p>
        </w:tc>
        <w:tc>
          <w:tcPr>
            <w:tcW w:w="3840" w:type="dxa"/>
            <w:vAlign w:val="bottom"/>
            <w:gridSpan w:val="5"/>
          </w:tcPr>
          <w:p>
            <w:pPr>
              <w:spacing w:after="0"/>
              <w:rPr>
                <w:sz w:val="16"/>
                <w:szCs w:val="16"/>
                <w:color w:val="auto"/>
              </w:rPr>
            </w:pPr>
          </w:p>
        </w:tc>
        <w:tc>
          <w:tcPr>
            <w:tcW w:w="1680" w:type="dxa"/>
            <w:vAlign w:val="bottom"/>
            <w:gridSpan w:val="2"/>
          </w:tcPr>
          <w:p>
            <w:pPr>
              <w:jc w:val="right"/>
              <w:spacing w:after="0"/>
              <w:rPr>
                <w:rFonts w:ascii="Times New Roman" w:cs="Times New Roman" w:eastAsia="Times New Roman" w:hAnsi="Times New Roman"/>
                <w:sz w:val="14"/>
                <w:szCs w:val="14"/>
                <w:color w:val="0000FF"/>
              </w:rPr>
            </w:pPr>
            <w:hyperlink w:anchor="page7">
              <w:r>
                <w:rPr>
                  <w:rFonts w:ascii="Times New Roman" w:cs="Times New Roman" w:eastAsia="Times New Roman" w:hAnsi="Times New Roman"/>
                  <w:sz w:val="14"/>
                  <w:szCs w:val="14"/>
                  <w:color w:val="0000FF"/>
                </w:rPr>
                <w:t>7</w:t>
              </w:r>
            </w:hyperlink>
          </w:p>
        </w:tc>
      </w:tr>
      <w:tr>
        <w:trPr>
          <w:trHeight w:val="20"/>
        </w:trPr>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90"/>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692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w w:val="98"/>
              </w:rPr>
            </w:pPr>
            <w:hyperlink w:anchor="page22">
              <w:r>
                <w:rPr>
                  <w:rFonts w:ascii="Times New Roman" w:cs="Times New Roman" w:eastAsia="Times New Roman" w:hAnsi="Times New Roman"/>
                  <w:sz w:val="14"/>
                  <w:szCs w:val="14"/>
                  <w:color w:val="0000FF"/>
                  <w:w w:val="98"/>
                </w:rPr>
                <w:t>MANAGEMENT’S DISCUSSION AND ANALYSIS OF FINANCIAL CONDITION AND RESULTS OF OPERATIONS</w:t>
              </w:r>
            </w:hyperlink>
          </w:p>
        </w:tc>
        <w:tc>
          <w:tcPr>
            <w:tcW w:w="1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Borders>
              <w:bottom w:val="single" w:sz="8" w:color="0000FF"/>
            </w:tcBorders>
          </w:tcPr>
          <w:p>
            <w:pPr>
              <w:jc w:val="right"/>
              <w:spacing w:after="0"/>
              <w:rPr>
                <w:rFonts w:ascii="Times New Roman" w:cs="Times New Roman" w:eastAsia="Times New Roman" w:hAnsi="Times New Roman"/>
                <w:sz w:val="14"/>
                <w:szCs w:val="14"/>
                <w:color w:val="0000FF"/>
                <w:w w:val="85"/>
              </w:rPr>
            </w:pPr>
            <w:hyperlink w:anchor="page22">
              <w:r>
                <w:rPr>
                  <w:rFonts w:ascii="Times New Roman" w:cs="Times New Roman" w:eastAsia="Times New Roman" w:hAnsi="Times New Roman"/>
                  <w:sz w:val="14"/>
                  <w:szCs w:val="14"/>
                  <w:color w:val="0000FF"/>
                  <w:w w:val="85"/>
                </w:rPr>
                <w:t>22</w:t>
              </w:r>
            </w:hyperlink>
          </w:p>
        </w:tc>
      </w:tr>
      <w:tr>
        <w:trPr>
          <w:trHeight w:val="190"/>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8460" w:type="dxa"/>
            <w:vAlign w:val="bottom"/>
            <w:gridSpan w:val="19"/>
          </w:tcPr>
          <w:p>
            <w:pPr>
              <w:spacing w:after="0"/>
              <w:rPr>
                <w:rFonts w:ascii="Times New Roman" w:cs="Times New Roman" w:eastAsia="Times New Roman" w:hAnsi="Times New Roman"/>
                <w:sz w:val="14"/>
                <w:szCs w:val="14"/>
                <w:color w:val="0000FF"/>
              </w:rPr>
            </w:pPr>
            <w:hyperlink w:anchor="page34">
              <w:r>
                <w:rPr>
                  <w:rFonts w:ascii="Times New Roman" w:cs="Times New Roman" w:eastAsia="Times New Roman" w:hAnsi="Times New Roman"/>
                  <w:sz w:val="14"/>
                  <w:szCs w:val="14"/>
                  <w:color w:val="0000FF"/>
                </w:rPr>
                <w:t>QUANTITATIVE AND QUALITATIVE DISCLOSURES ABOUT MARKET RISK</w:t>
              </w:r>
            </w:hyperlink>
          </w:p>
        </w:tc>
        <w:tc>
          <w:tcPr>
            <w:tcW w:w="1680" w:type="dxa"/>
            <w:vAlign w:val="bottom"/>
            <w:gridSpan w:val="2"/>
          </w:tcPr>
          <w:p>
            <w:pPr>
              <w:jc w:val="right"/>
              <w:spacing w:after="0"/>
              <w:rPr>
                <w:rFonts w:ascii="Times New Roman" w:cs="Times New Roman" w:eastAsia="Times New Roman" w:hAnsi="Times New Roman"/>
                <w:sz w:val="14"/>
                <w:szCs w:val="14"/>
                <w:color w:val="0000FF"/>
              </w:rPr>
            </w:pPr>
            <w:hyperlink w:anchor="page34">
              <w:r>
                <w:rPr>
                  <w:rFonts w:ascii="Times New Roman" w:cs="Times New Roman" w:eastAsia="Times New Roman" w:hAnsi="Times New Roman"/>
                  <w:sz w:val="14"/>
                  <w:szCs w:val="14"/>
                  <w:color w:val="0000FF"/>
                </w:rPr>
                <w:t>34</w:t>
              </w:r>
            </w:hyperlink>
          </w:p>
        </w:tc>
      </w:tr>
      <w:tr>
        <w:trPr>
          <w:trHeight w:val="190"/>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202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4"/>
                <w:szCs w:val="14"/>
                <w:color w:val="0000FF"/>
                <w:w w:val="98"/>
              </w:rPr>
            </w:pPr>
            <w:hyperlink w:anchor="page35">
              <w:r>
                <w:rPr>
                  <w:rFonts w:ascii="Times New Roman" w:cs="Times New Roman" w:eastAsia="Times New Roman" w:hAnsi="Times New Roman"/>
                  <w:sz w:val="14"/>
                  <w:szCs w:val="14"/>
                  <w:color w:val="0000FF"/>
                  <w:w w:val="98"/>
                </w:rPr>
                <w:t>CONTROLS AND PROCEDURES</w:t>
              </w:r>
            </w:hyperlink>
          </w:p>
        </w:tc>
        <w:tc>
          <w:tcPr>
            <w:tcW w:w="2740" w:type="dxa"/>
            <w:vAlign w:val="bottom"/>
            <w:tcBorders>
              <w:top w:val="single" w:sz="8" w:color="0000FF"/>
            </w:tcBorders>
            <w:gridSpan w:val="8"/>
          </w:tcPr>
          <w:p>
            <w:pPr>
              <w:spacing w:after="0"/>
              <w:rPr>
                <w:sz w:val="16"/>
                <w:szCs w:val="16"/>
                <w:color w:val="auto"/>
              </w:rPr>
            </w:pPr>
          </w:p>
        </w:tc>
        <w:tc>
          <w:tcPr>
            <w:tcW w:w="3700" w:type="dxa"/>
            <w:vAlign w:val="bottom"/>
            <w:gridSpan w:val="3"/>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Borders>
              <w:top w:val="single" w:sz="8" w:color="0000FF"/>
              <w:bottom w:val="single" w:sz="8" w:color="0000FF"/>
            </w:tcBorders>
          </w:tcPr>
          <w:p>
            <w:pPr>
              <w:jc w:val="right"/>
              <w:spacing w:after="0"/>
              <w:rPr>
                <w:rFonts w:ascii="Times New Roman" w:cs="Times New Roman" w:eastAsia="Times New Roman" w:hAnsi="Times New Roman"/>
                <w:sz w:val="14"/>
                <w:szCs w:val="14"/>
                <w:color w:val="0000FF"/>
                <w:w w:val="85"/>
              </w:rPr>
            </w:pPr>
            <w:hyperlink w:anchor="page35">
              <w:r>
                <w:rPr>
                  <w:rFonts w:ascii="Times New Roman" w:cs="Times New Roman" w:eastAsia="Times New Roman" w:hAnsi="Times New Roman"/>
                  <w:sz w:val="14"/>
                  <w:szCs w:val="14"/>
                  <w:color w:val="0000FF"/>
                  <w:w w:val="85"/>
                </w:rPr>
                <w:t>35</w:t>
              </w:r>
            </w:hyperlink>
          </w:p>
        </w:tc>
      </w:tr>
      <w:tr>
        <w:trPr>
          <w:trHeight w:val="190"/>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 II</w:t>
            </w:r>
          </w:p>
        </w:tc>
        <w:tc>
          <w:tcPr>
            <w:tcW w:w="146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w w:val="97"/>
              </w:rPr>
            </w:pPr>
            <w:hyperlink w:anchor="page36">
              <w:r>
                <w:rPr>
                  <w:rFonts w:ascii="Times New Roman" w:cs="Times New Roman" w:eastAsia="Times New Roman" w:hAnsi="Times New Roman"/>
                  <w:sz w:val="14"/>
                  <w:szCs w:val="14"/>
                  <w:color w:val="0000FF"/>
                  <w:w w:val="97"/>
                </w:rPr>
                <w:t>OTHER INFORMATION</w:t>
              </w:r>
            </w:hyperlink>
          </w:p>
        </w:tc>
        <w:tc>
          <w:tcPr>
            <w:tcW w:w="7000" w:type="dxa"/>
            <w:vAlign w:val="bottom"/>
            <w:gridSpan w:val="14"/>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Borders>
              <w:bottom w:val="single" w:sz="8" w:color="0000FF"/>
            </w:tcBorders>
          </w:tcPr>
          <w:p>
            <w:pPr>
              <w:jc w:val="right"/>
              <w:spacing w:after="0"/>
              <w:rPr>
                <w:rFonts w:ascii="Times New Roman" w:cs="Times New Roman" w:eastAsia="Times New Roman" w:hAnsi="Times New Roman"/>
                <w:sz w:val="14"/>
                <w:szCs w:val="14"/>
                <w:color w:val="0000FF"/>
                <w:w w:val="85"/>
              </w:rPr>
            </w:pPr>
            <w:hyperlink w:anchor="page36">
              <w:r>
                <w:rPr>
                  <w:rFonts w:ascii="Times New Roman" w:cs="Times New Roman" w:eastAsia="Times New Roman" w:hAnsi="Times New Roman"/>
                  <w:sz w:val="14"/>
                  <w:szCs w:val="14"/>
                  <w:color w:val="0000FF"/>
                  <w:w w:val="85"/>
                </w:rPr>
                <w:t>36</w:t>
              </w:r>
            </w:hyperlink>
          </w:p>
        </w:tc>
      </w:tr>
      <w:tr>
        <w:trPr>
          <w:trHeight w:val="190"/>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8460" w:type="dxa"/>
            <w:vAlign w:val="bottom"/>
            <w:gridSpan w:val="19"/>
          </w:tcPr>
          <w:p>
            <w:pPr>
              <w:spacing w:after="0"/>
              <w:rPr>
                <w:rFonts w:ascii="Times New Roman" w:cs="Times New Roman" w:eastAsia="Times New Roman" w:hAnsi="Times New Roman"/>
                <w:sz w:val="14"/>
                <w:szCs w:val="14"/>
                <w:color w:val="0000FF"/>
              </w:rPr>
            </w:pPr>
            <w:hyperlink w:anchor="page36">
              <w:r>
                <w:rPr>
                  <w:rFonts w:ascii="Times New Roman" w:cs="Times New Roman" w:eastAsia="Times New Roman" w:hAnsi="Times New Roman"/>
                  <w:sz w:val="14"/>
                  <w:szCs w:val="14"/>
                  <w:color w:val="0000FF"/>
                </w:rPr>
                <w:t>LEGAL PROCEEDINGS</w:t>
              </w:r>
            </w:hyperlink>
          </w:p>
        </w:tc>
        <w:tc>
          <w:tcPr>
            <w:tcW w:w="1680" w:type="dxa"/>
            <w:vAlign w:val="bottom"/>
            <w:gridSpan w:val="2"/>
          </w:tcPr>
          <w:p>
            <w:pPr>
              <w:jc w:val="right"/>
              <w:spacing w:after="0"/>
              <w:rPr>
                <w:rFonts w:ascii="Times New Roman" w:cs="Times New Roman" w:eastAsia="Times New Roman" w:hAnsi="Times New Roman"/>
                <w:sz w:val="14"/>
                <w:szCs w:val="14"/>
                <w:color w:val="0000FF"/>
              </w:rPr>
            </w:pPr>
            <w:hyperlink w:anchor="page36">
              <w:r>
                <w:rPr>
                  <w:rFonts w:ascii="Times New Roman" w:cs="Times New Roman" w:eastAsia="Times New Roman" w:hAnsi="Times New Roman"/>
                  <w:sz w:val="14"/>
                  <w:szCs w:val="14"/>
                  <w:color w:val="0000FF"/>
                </w:rPr>
                <w:t>36</w:t>
              </w:r>
            </w:hyperlink>
          </w:p>
        </w:tc>
      </w:tr>
      <w:tr>
        <w:trPr>
          <w:trHeight w:val="190"/>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1440" w:type="dxa"/>
            <w:vAlign w:val="bottom"/>
            <w:tcBorders>
              <w:top w:val="single" w:sz="8" w:color="0000FF"/>
            </w:tcBorders>
            <w:gridSpan w:val="4"/>
          </w:tcPr>
          <w:p>
            <w:pPr>
              <w:spacing w:after="0"/>
              <w:rPr>
                <w:rFonts w:ascii="Times New Roman" w:cs="Times New Roman" w:eastAsia="Times New Roman" w:hAnsi="Times New Roman"/>
                <w:sz w:val="14"/>
                <w:szCs w:val="14"/>
                <w:color w:val="0000FF"/>
              </w:rPr>
            </w:pPr>
            <w:hyperlink w:anchor="page37">
              <w:r>
                <w:rPr>
                  <w:rFonts w:ascii="Times New Roman" w:cs="Times New Roman" w:eastAsia="Times New Roman" w:hAnsi="Times New Roman"/>
                  <w:sz w:val="14"/>
                  <w:szCs w:val="14"/>
                  <w:color w:val="0000FF"/>
                </w:rPr>
                <w:t>RISK FACTORS</w:t>
              </w:r>
            </w:hyperlink>
          </w:p>
        </w:tc>
        <w:tc>
          <w:tcPr>
            <w:tcW w:w="7020" w:type="dxa"/>
            <w:vAlign w:val="bottom"/>
            <w:gridSpan w:val="15"/>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Borders>
              <w:top w:val="single" w:sz="8" w:color="0000FF"/>
            </w:tcBorders>
          </w:tcPr>
          <w:p>
            <w:pPr>
              <w:jc w:val="right"/>
              <w:spacing w:after="0"/>
              <w:rPr>
                <w:rFonts w:ascii="Times New Roman" w:cs="Times New Roman" w:eastAsia="Times New Roman" w:hAnsi="Times New Roman"/>
                <w:sz w:val="14"/>
                <w:szCs w:val="14"/>
                <w:color w:val="0000FF"/>
                <w:w w:val="85"/>
              </w:rPr>
            </w:pPr>
            <w:hyperlink w:anchor="page37">
              <w:r>
                <w:rPr>
                  <w:rFonts w:ascii="Times New Roman" w:cs="Times New Roman" w:eastAsia="Times New Roman" w:hAnsi="Times New Roman"/>
                  <w:sz w:val="14"/>
                  <w:szCs w:val="14"/>
                  <w:color w:val="0000FF"/>
                  <w:w w:val="85"/>
                </w:rPr>
                <w:t>37</w:t>
              </w:r>
            </w:hyperlink>
          </w:p>
        </w:tc>
      </w:tr>
      <w:tr>
        <w:trPr>
          <w:trHeight w:val="20"/>
        </w:trPr>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90"/>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8460" w:type="dxa"/>
            <w:vAlign w:val="bottom"/>
            <w:gridSpan w:val="19"/>
          </w:tcPr>
          <w:p>
            <w:pPr>
              <w:spacing w:after="0"/>
              <w:rPr>
                <w:rFonts w:ascii="Times New Roman" w:cs="Times New Roman" w:eastAsia="Times New Roman" w:hAnsi="Times New Roman"/>
                <w:sz w:val="14"/>
                <w:szCs w:val="14"/>
                <w:color w:val="0000FF"/>
              </w:rPr>
            </w:pPr>
            <w:hyperlink w:anchor="page51">
              <w:r>
                <w:rPr>
                  <w:rFonts w:ascii="Times New Roman" w:cs="Times New Roman" w:eastAsia="Times New Roman" w:hAnsi="Times New Roman"/>
                  <w:sz w:val="14"/>
                  <w:szCs w:val="14"/>
                  <w:color w:val="0000FF"/>
                </w:rPr>
                <w:t>UNREGISTERED SALES OF EQUITY SECURITIES AND USE OF PROCEEDS</w:t>
              </w:r>
            </w:hyperlink>
          </w:p>
        </w:tc>
        <w:tc>
          <w:tcPr>
            <w:tcW w:w="1680" w:type="dxa"/>
            <w:vAlign w:val="bottom"/>
            <w:gridSpan w:val="2"/>
          </w:tcPr>
          <w:p>
            <w:pPr>
              <w:jc w:val="right"/>
              <w:spacing w:after="0"/>
              <w:rPr>
                <w:rFonts w:ascii="Times New Roman" w:cs="Times New Roman" w:eastAsia="Times New Roman" w:hAnsi="Times New Roman"/>
                <w:sz w:val="14"/>
                <w:szCs w:val="14"/>
                <w:color w:val="0000FF"/>
              </w:rPr>
            </w:pPr>
            <w:hyperlink w:anchor="page51">
              <w:r>
                <w:rPr>
                  <w:rFonts w:ascii="Times New Roman" w:cs="Times New Roman" w:eastAsia="Times New Roman" w:hAnsi="Times New Roman"/>
                  <w:sz w:val="14"/>
                  <w:szCs w:val="14"/>
                  <w:color w:val="0000FF"/>
                </w:rPr>
                <w:t>51</w:t>
              </w:r>
            </w:hyperlink>
          </w:p>
        </w:tc>
      </w:tr>
      <w:tr>
        <w:trPr>
          <w:trHeight w:val="190"/>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4700" w:type="dxa"/>
            <w:vAlign w:val="bottom"/>
            <w:tcBorders>
              <w:top w:val="single" w:sz="8" w:color="0000FF"/>
            </w:tcBorders>
            <w:gridSpan w:val="15"/>
          </w:tcPr>
          <w:p>
            <w:pPr>
              <w:spacing w:after="0"/>
              <w:rPr>
                <w:rFonts w:ascii="Times New Roman" w:cs="Times New Roman" w:eastAsia="Times New Roman" w:hAnsi="Times New Roman"/>
                <w:sz w:val="14"/>
                <w:szCs w:val="14"/>
                <w:color w:val="0000FF"/>
              </w:rPr>
            </w:pPr>
            <w:hyperlink w:anchor="page51">
              <w:r>
                <w:rPr>
                  <w:rFonts w:ascii="Times New Roman" w:cs="Times New Roman" w:eastAsia="Times New Roman" w:hAnsi="Times New Roman"/>
                  <w:sz w:val="14"/>
                  <w:szCs w:val="14"/>
                  <w:color w:val="0000FF"/>
                </w:rPr>
                <w:t>DEFAULTS UPON SENIOR SECURITIES</w:t>
              </w:r>
            </w:hyperlink>
          </w:p>
        </w:tc>
        <w:tc>
          <w:tcPr>
            <w:tcW w:w="3760" w:type="dxa"/>
            <w:vAlign w:val="bottom"/>
            <w:gridSpan w:val="4"/>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Borders>
              <w:top w:val="single" w:sz="8" w:color="0000FF"/>
            </w:tcBorders>
          </w:tcPr>
          <w:p>
            <w:pPr>
              <w:jc w:val="right"/>
              <w:spacing w:after="0"/>
              <w:rPr>
                <w:rFonts w:ascii="Times New Roman" w:cs="Times New Roman" w:eastAsia="Times New Roman" w:hAnsi="Times New Roman"/>
                <w:sz w:val="14"/>
                <w:szCs w:val="14"/>
                <w:color w:val="0000FF"/>
                <w:w w:val="85"/>
              </w:rPr>
            </w:pPr>
            <w:hyperlink w:anchor="page51">
              <w:r>
                <w:rPr>
                  <w:rFonts w:ascii="Times New Roman" w:cs="Times New Roman" w:eastAsia="Times New Roman" w:hAnsi="Times New Roman"/>
                  <w:sz w:val="14"/>
                  <w:szCs w:val="14"/>
                  <w:color w:val="0000FF"/>
                  <w:w w:val="85"/>
                </w:rPr>
                <w:t>51</w:t>
              </w:r>
            </w:hyperlink>
          </w:p>
        </w:tc>
      </w:tr>
      <w:tr>
        <w:trPr>
          <w:trHeight w:val="190"/>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2460" w:type="dxa"/>
            <w:vAlign w:val="bottom"/>
            <w:tcBorders>
              <w:top w:val="single" w:sz="8" w:color="0000FF"/>
            </w:tcBorders>
            <w:gridSpan w:val="9"/>
          </w:tcPr>
          <w:p>
            <w:pPr>
              <w:spacing w:after="0"/>
              <w:rPr>
                <w:rFonts w:ascii="Times New Roman" w:cs="Times New Roman" w:eastAsia="Times New Roman" w:hAnsi="Times New Roman"/>
                <w:sz w:val="14"/>
                <w:szCs w:val="14"/>
                <w:color w:val="0000FF"/>
              </w:rPr>
            </w:pPr>
            <w:hyperlink w:anchor="page51">
              <w:r>
                <w:rPr>
                  <w:rFonts w:ascii="Times New Roman" w:cs="Times New Roman" w:eastAsia="Times New Roman" w:hAnsi="Times New Roman"/>
                  <w:sz w:val="14"/>
                  <w:szCs w:val="14"/>
                  <w:color w:val="0000FF"/>
                </w:rPr>
                <w:t>MINE SAFETY DISCLOSURES</w:t>
              </w:r>
            </w:hyperlink>
          </w:p>
        </w:tc>
        <w:tc>
          <w:tcPr>
            <w:tcW w:w="6000" w:type="dxa"/>
            <w:vAlign w:val="bottom"/>
            <w:gridSpan w:val="10"/>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Borders>
              <w:top w:val="single" w:sz="8" w:color="0000FF"/>
            </w:tcBorders>
          </w:tcPr>
          <w:p>
            <w:pPr>
              <w:jc w:val="right"/>
              <w:spacing w:after="0"/>
              <w:rPr>
                <w:rFonts w:ascii="Times New Roman" w:cs="Times New Roman" w:eastAsia="Times New Roman" w:hAnsi="Times New Roman"/>
                <w:sz w:val="14"/>
                <w:szCs w:val="14"/>
                <w:color w:val="0000FF"/>
                <w:w w:val="85"/>
              </w:rPr>
            </w:pPr>
            <w:hyperlink w:anchor="page51">
              <w:r>
                <w:rPr>
                  <w:rFonts w:ascii="Times New Roman" w:cs="Times New Roman" w:eastAsia="Times New Roman" w:hAnsi="Times New Roman"/>
                  <w:sz w:val="14"/>
                  <w:szCs w:val="14"/>
                  <w:color w:val="0000FF"/>
                  <w:w w:val="85"/>
                </w:rPr>
                <w:t>51</w:t>
              </w:r>
            </w:hyperlink>
          </w:p>
        </w:tc>
      </w:tr>
      <w:tr>
        <w:trPr>
          <w:trHeight w:val="190"/>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146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4"/>
                <w:szCs w:val="14"/>
                <w:color w:val="0000FF"/>
                <w:w w:val="97"/>
              </w:rPr>
            </w:pPr>
            <w:hyperlink w:anchor="page51">
              <w:r>
                <w:rPr>
                  <w:rFonts w:ascii="Times New Roman" w:cs="Times New Roman" w:eastAsia="Times New Roman" w:hAnsi="Times New Roman"/>
                  <w:sz w:val="14"/>
                  <w:szCs w:val="14"/>
                  <w:color w:val="0000FF"/>
                  <w:w w:val="97"/>
                </w:rPr>
                <w:t>OTHER INFORMATION</w:t>
              </w:r>
            </w:hyperlink>
          </w:p>
        </w:tc>
        <w:tc>
          <w:tcPr>
            <w:tcW w:w="420" w:type="dxa"/>
            <w:vAlign w:val="bottom"/>
            <w:tcBorders>
              <w:top w:val="single" w:sz="8" w:color="0000FF"/>
            </w:tcBorders>
            <w:gridSpan w:val="2"/>
          </w:tcPr>
          <w:p>
            <w:pPr>
              <w:spacing w:after="0"/>
              <w:rPr>
                <w:sz w:val="16"/>
                <w:szCs w:val="16"/>
                <w:color w:val="auto"/>
              </w:rPr>
            </w:pPr>
          </w:p>
        </w:tc>
        <w:tc>
          <w:tcPr>
            <w:tcW w:w="6580" w:type="dxa"/>
            <w:vAlign w:val="bottom"/>
            <w:gridSpan w:val="12"/>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Borders>
              <w:top w:val="single" w:sz="8" w:color="0000FF"/>
              <w:bottom w:val="single" w:sz="8" w:color="0000FF"/>
            </w:tcBorders>
          </w:tcPr>
          <w:p>
            <w:pPr>
              <w:jc w:val="right"/>
              <w:spacing w:after="0"/>
              <w:rPr>
                <w:rFonts w:ascii="Times New Roman" w:cs="Times New Roman" w:eastAsia="Times New Roman" w:hAnsi="Times New Roman"/>
                <w:sz w:val="14"/>
                <w:szCs w:val="14"/>
                <w:color w:val="0000FF"/>
                <w:w w:val="85"/>
              </w:rPr>
            </w:pPr>
            <w:hyperlink w:anchor="page51">
              <w:r>
                <w:rPr>
                  <w:rFonts w:ascii="Times New Roman" w:cs="Times New Roman" w:eastAsia="Times New Roman" w:hAnsi="Times New Roman"/>
                  <w:sz w:val="14"/>
                  <w:szCs w:val="14"/>
                  <w:color w:val="0000FF"/>
                  <w:w w:val="85"/>
                </w:rPr>
                <w:t>51</w:t>
              </w:r>
            </w:hyperlink>
          </w:p>
        </w:tc>
      </w:tr>
      <w:tr>
        <w:trPr>
          <w:trHeight w:val="190"/>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640" w:type="dxa"/>
            <w:vAlign w:val="bottom"/>
            <w:tcBorders>
              <w:bottom w:val="single" w:sz="8" w:color="0000FF"/>
            </w:tcBorders>
            <w:gridSpan w:val="2"/>
          </w:tcPr>
          <w:p>
            <w:pPr>
              <w:spacing w:after="0"/>
              <w:rPr>
                <w:rFonts w:ascii="Times New Roman" w:cs="Times New Roman" w:eastAsia="Times New Roman" w:hAnsi="Times New Roman"/>
                <w:sz w:val="14"/>
                <w:szCs w:val="14"/>
                <w:color w:val="0000FF"/>
                <w:w w:val="97"/>
              </w:rPr>
            </w:pPr>
            <w:hyperlink w:anchor="page51">
              <w:r>
                <w:rPr>
                  <w:rFonts w:ascii="Times New Roman" w:cs="Times New Roman" w:eastAsia="Times New Roman" w:hAnsi="Times New Roman"/>
                  <w:sz w:val="14"/>
                  <w:szCs w:val="14"/>
                  <w:color w:val="0000FF"/>
                  <w:w w:val="97"/>
                </w:rPr>
                <w:t>EXHIBITS</w:t>
              </w:r>
            </w:hyperlink>
          </w:p>
        </w:tc>
        <w:tc>
          <w:tcPr>
            <w:tcW w:w="7820" w:type="dxa"/>
            <w:vAlign w:val="bottom"/>
            <w:gridSpan w:val="17"/>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Borders>
              <w:bottom w:val="single" w:sz="8" w:color="0000FF"/>
            </w:tcBorders>
          </w:tcPr>
          <w:p>
            <w:pPr>
              <w:jc w:val="right"/>
              <w:spacing w:after="0"/>
              <w:rPr>
                <w:rFonts w:ascii="Times New Roman" w:cs="Times New Roman" w:eastAsia="Times New Roman" w:hAnsi="Times New Roman"/>
                <w:sz w:val="14"/>
                <w:szCs w:val="14"/>
                <w:color w:val="0000FF"/>
                <w:w w:val="85"/>
              </w:rPr>
            </w:pPr>
            <w:hyperlink w:anchor="page51">
              <w:r>
                <w:rPr>
                  <w:rFonts w:ascii="Times New Roman" w:cs="Times New Roman" w:eastAsia="Times New Roman" w:hAnsi="Times New Roman"/>
                  <w:sz w:val="14"/>
                  <w:szCs w:val="14"/>
                  <w:color w:val="0000FF"/>
                  <w:w w:val="85"/>
                </w:rPr>
                <w:t>51</w:t>
              </w:r>
            </w:hyperlink>
          </w:p>
        </w:tc>
      </w:tr>
      <w:tr>
        <w:trPr>
          <w:trHeight w:val="190"/>
        </w:trPr>
        <w:tc>
          <w:tcPr>
            <w:tcW w:w="860" w:type="dxa"/>
            <w:vAlign w:val="bottom"/>
            <w:tcBorders>
              <w:bottom w:val="single" w:sz="8" w:color="0000FF"/>
            </w:tcBorders>
          </w:tcPr>
          <w:p>
            <w:pPr>
              <w:spacing w:after="0"/>
              <w:rPr>
                <w:rFonts w:ascii="Times New Roman" w:cs="Times New Roman" w:eastAsia="Times New Roman" w:hAnsi="Times New Roman"/>
                <w:sz w:val="14"/>
                <w:szCs w:val="14"/>
                <w:color w:val="0000FF"/>
                <w:w w:val="96"/>
              </w:rPr>
            </w:pPr>
            <w:hyperlink w:anchor="page53">
              <w:r>
                <w:rPr>
                  <w:rFonts w:ascii="Times New Roman" w:cs="Times New Roman" w:eastAsia="Times New Roman" w:hAnsi="Times New Roman"/>
                  <w:sz w:val="14"/>
                  <w:szCs w:val="14"/>
                  <w:color w:val="0000FF"/>
                  <w:w w:val="96"/>
                </w:rPr>
                <w:t>SIGNATURES</w:t>
              </w:r>
            </w:hyperlink>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Borders>
              <w:bottom w:val="single" w:sz="8" w:color="0000FF"/>
            </w:tcBorders>
          </w:tcPr>
          <w:p>
            <w:pPr>
              <w:jc w:val="right"/>
              <w:spacing w:after="0"/>
              <w:rPr>
                <w:rFonts w:ascii="Times New Roman" w:cs="Times New Roman" w:eastAsia="Times New Roman" w:hAnsi="Times New Roman"/>
                <w:sz w:val="14"/>
                <w:szCs w:val="14"/>
                <w:color w:val="0000FF"/>
                <w:w w:val="85"/>
              </w:rPr>
            </w:pPr>
            <w:hyperlink w:anchor="page53">
              <w:r>
                <w:rPr>
                  <w:rFonts w:ascii="Times New Roman" w:cs="Times New Roman" w:eastAsia="Times New Roman" w:hAnsi="Times New Roman"/>
                  <w:sz w:val="14"/>
                  <w:szCs w:val="14"/>
                  <w:color w:val="0000FF"/>
                  <w:w w:val="85"/>
                </w:rPr>
                <w:t>53</w:t>
              </w:r>
            </w:hyperlink>
          </w:p>
        </w:tc>
      </w:tr>
    </w:tbl>
    <w:p>
      <w:pPr>
        <w:spacing w:after="0" w:line="19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i w:val="1"/>
          <w:iCs w:val="1"/>
          <w:color w:val="auto"/>
        </w:rPr>
        <w:t>Invisalign, Align, the Invisalign logo, ClinCheck, Invisalign Assist, Invisalign Teen, Vivera, SmartForce, SmartTrack, SmartStage, Power Ridge, iTero, iTero Element, Orthocad, iCast and iRecord, among others, are trademarks and/or service marks of Align Technology, Inc. or one of its subsidiaries or affiliated companies and may be registered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460"/>
          </w:cols>
          <w:pgMar w:left="220" w:top="125" w:right="21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3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ALIGN TECHNOLOGY,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gridSpan w:val="3"/>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gridSpan w:val="3"/>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60" w:type="dxa"/>
            <w:vAlign w:val="bottom"/>
            <w:gridSpan w:val="3"/>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2016</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2015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2016</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2015</w:t>
            </w:r>
          </w:p>
        </w:tc>
        <w:tc>
          <w:tcPr>
            <w:tcW w:w="0" w:type="dxa"/>
            <w:vAlign w:val="bottom"/>
          </w:tcPr>
          <w:p>
            <w:pPr>
              <w:spacing w:after="0"/>
              <w:rPr>
                <w:sz w:val="1"/>
                <w:szCs w:val="1"/>
                <w:color w:val="auto"/>
              </w:rPr>
            </w:pPr>
          </w:p>
        </w:tc>
      </w:tr>
      <w:tr>
        <w:trPr>
          <w:trHeight w:val="184"/>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revenues</w:t>
            </w:r>
          </w:p>
        </w:tc>
        <w:tc>
          <w:tcPr>
            <w:tcW w:w="90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278,589</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207,636</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786,671</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615,210</w:t>
            </w:r>
          </w:p>
        </w:tc>
        <w:tc>
          <w:tcPr>
            <w:tcW w:w="0" w:type="dxa"/>
            <w:vAlign w:val="bottom"/>
          </w:tcPr>
          <w:p>
            <w:pPr>
              <w:spacing w:after="0"/>
              <w:rPr>
                <w:sz w:val="1"/>
                <w:szCs w:val="1"/>
                <w:color w:val="auto"/>
              </w:rPr>
            </w:pPr>
          </w:p>
        </w:tc>
      </w:tr>
      <w:tr>
        <w:trPr>
          <w:trHeight w:val="189"/>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net revenues</w:t>
            </w:r>
          </w:p>
        </w:tc>
        <w:tc>
          <w:tcPr>
            <w:tcW w:w="900" w:type="dxa"/>
            <w:vAlign w:val="bottom"/>
          </w:tcPr>
          <w:p>
            <w:pPr>
              <w:spacing w:after="0"/>
              <w:rPr>
                <w:sz w:val="16"/>
                <w:szCs w:val="16"/>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69,387</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50,060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191,626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147,910</w:t>
            </w:r>
          </w:p>
        </w:tc>
        <w:tc>
          <w:tcPr>
            <w:tcW w:w="0" w:type="dxa"/>
            <w:vAlign w:val="bottom"/>
          </w:tcPr>
          <w:p>
            <w:pPr>
              <w:spacing w:after="0"/>
              <w:rPr>
                <w:sz w:val="1"/>
                <w:szCs w:val="1"/>
                <w:color w:val="auto"/>
              </w:rPr>
            </w:pP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209,202</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157,576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595,045</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467,300</w:t>
            </w:r>
          </w:p>
        </w:tc>
        <w:tc>
          <w:tcPr>
            <w:tcW w:w="0" w:type="dxa"/>
            <w:vAlign w:val="bottom"/>
          </w:tcPr>
          <w:p>
            <w:pPr>
              <w:spacing w:after="0"/>
              <w:rPr>
                <w:sz w:val="1"/>
                <w:szCs w:val="1"/>
                <w:color w:val="auto"/>
              </w:rPr>
            </w:pPr>
          </w:p>
        </w:tc>
      </w:tr>
      <w:tr>
        <w:trPr>
          <w:trHeight w:val="169"/>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9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9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126,708</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101,751</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360,385</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290,657</w:t>
            </w:r>
          </w:p>
        </w:tc>
        <w:tc>
          <w:tcPr>
            <w:tcW w:w="0" w:type="dxa"/>
            <w:vAlign w:val="bottom"/>
          </w:tcPr>
          <w:p>
            <w:pPr>
              <w:spacing w:after="0"/>
              <w:rPr>
                <w:sz w:val="1"/>
                <w:szCs w:val="1"/>
                <w:color w:val="auto"/>
              </w:rPr>
            </w:pPr>
          </w:p>
        </w:tc>
      </w:tr>
      <w:tr>
        <w:trPr>
          <w:trHeight w:val="189"/>
        </w:trPr>
        <w:tc>
          <w:tcPr>
            <w:tcW w:w="5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00" w:type="dxa"/>
            <w:vAlign w:val="bottom"/>
          </w:tcPr>
          <w:p>
            <w:pPr>
              <w:spacing w:after="0"/>
              <w:rPr>
                <w:sz w:val="16"/>
                <w:szCs w:val="16"/>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20,415</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17,779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54,111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47,348</w:t>
            </w:r>
          </w:p>
        </w:tc>
        <w:tc>
          <w:tcPr>
            <w:tcW w:w="0" w:type="dxa"/>
            <w:vAlign w:val="bottom"/>
          </w:tcPr>
          <w:p>
            <w:pPr>
              <w:spacing w:after="0"/>
              <w:rPr>
                <w:sz w:val="1"/>
                <w:szCs w:val="1"/>
                <w:color w:val="auto"/>
              </w:rPr>
            </w:pP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147,123</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119,530</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414,496</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338,005</w:t>
            </w:r>
          </w:p>
        </w:tc>
        <w:tc>
          <w:tcPr>
            <w:tcW w:w="0" w:type="dxa"/>
            <w:vAlign w:val="bottom"/>
          </w:tcPr>
          <w:p>
            <w:pPr>
              <w:spacing w:after="0"/>
              <w:rPr>
                <w:sz w:val="1"/>
                <w:szCs w:val="1"/>
                <w:color w:val="auto"/>
              </w:rPr>
            </w:pPr>
          </w:p>
        </w:tc>
      </w:tr>
      <w:tr>
        <w:trPr>
          <w:trHeight w:val="179"/>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9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62,079</w:t>
            </w: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38,046</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180,549</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129,295</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other income (expenses), net</w:t>
            </w:r>
          </w:p>
        </w:tc>
        <w:tc>
          <w:tcPr>
            <w:tcW w:w="9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1,463</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(1,568)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0" w:type="dxa"/>
            <w:vAlign w:val="bottom"/>
          </w:tcPr>
          <w:p>
            <w:pPr>
              <w:spacing w:after="0"/>
              <w:rPr>
                <w:sz w:val="1"/>
                <w:szCs w:val="1"/>
                <w:color w:val="auto"/>
              </w:rPr>
            </w:pPr>
          </w:p>
        </w:tc>
      </w:tr>
      <w:tr>
        <w:trPr>
          <w:trHeight w:val="179"/>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before provision for income taxes and equity in losses of investee</w:t>
            </w:r>
          </w:p>
        </w:tc>
        <w:tc>
          <w:tcPr>
            <w:tcW w:w="9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63,542</w:t>
            </w: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36,478</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181,710</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126,449</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11,698</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8,862</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39,172</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31,306</w:t>
            </w:r>
          </w:p>
        </w:tc>
        <w:tc>
          <w:tcPr>
            <w:tcW w:w="0" w:type="dxa"/>
            <w:vAlign w:val="bottom"/>
          </w:tcPr>
          <w:p>
            <w:pPr>
              <w:spacing w:after="0"/>
              <w:rPr>
                <w:sz w:val="1"/>
                <w:szCs w:val="1"/>
                <w:color w:val="auto"/>
              </w:rPr>
            </w:pPr>
          </w:p>
        </w:tc>
      </w:tr>
      <w:tr>
        <w:trPr>
          <w:trHeight w:val="189"/>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losses of investee, net of tax</w:t>
            </w:r>
          </w:p>
        </w:tc>
        <w:tc>
          <w:tcPr>
            <w:tcW w:w="900" w:type="dxa"/>
            <w:vAlign w:val="bottom"/>
          </w:tcPr>
          <w:p>
            <w:pPr>
              <w:spacing w:after="0"/>
              <w:rPr>
                <w:sz w:val="16"/>
                <w:szCs w:val="16"/>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477</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51,367</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27,616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142,061</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95,143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share:</w:t>
            </w:r>
          </w:p>
        </w:tc>
        <w:tc>
          <w:tcPr>
            <w:tcW w:w="9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900" w:type="dxa"/>
            <w:vAlign w:val="bottom"/>
          </w:tcPr>
          <w:p>
            <w:pPr>
              <w:jc w:val="right"/>
              <w:ind w:right="73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0.64</w:t>
            </w:r>
          </w:p>
        </w:tc>
        <w:tc>
          <w:tcPr>
            <w:tcW w:w="120" w:type="dxa"/>
            <w:vAlign w:val="bottom"/>
          </w:tcPr>
          <w:p>
            <w:pPr>
              <w:spacing w:after="0"/>
              <w:rPr>
                <w:sz w:val="16"/>
                <w:szCs w:val="16"/>
                <w:color w:val="auto"/>
              </w:rPr>
            </w:pP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0.35</w:t>
            </w:r>
          </w:p>
        </w:tc>
        <w:tc>
          <w:tcPr>
            <w:tcW w:w="12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6"/>
                <w:szCs w:val="16"/>
                <w:color w:val="auto"/>
              </w:rPr>
            </w:pP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61"/>
        </w:trPr>
        <w:tc>
          <w:tcPr>
            <w:tcW w:w="516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5160" w:type="dxa"/>
            <w:vAlign w:val="bottom"/>
            <w:tcBorders>
              <w:bottom w:val="single" w:sz="8" w:color="CCEEFF"/>
            </w:tcBorders>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90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0.63</w:t>
            </w: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0.34</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Shares used in computing net income per share: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1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5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9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79,977</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79,808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79,920</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80,173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6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81,466</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81,092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81,523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81,576</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460"/>
          </w:cols>
          <w:pgMar w:left="220" w:top="125" w:right="21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ALIGN TECHNOLOGY,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gridSpan w:val="3"/>
          </w:tcPr>
          <w:p>
            <w:pPr>
              <w:jc w:val="right"/>
              <w:ind w:right="1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gridSpan w:val="3"/>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940" w:type="dxa"/>
            <w:vAlign w:val="bottom"/>
          </w:tcPr>
          <w:p>
            <w:pPr>
              <w:spacing w:after="0"/>
              <w:rPr>
                <w:sz w:val="12"/>
                <w:szCs w:val="12"/>
                <w:color w:val="auto"/>
              </w:rPr>
            </w:pPr>
          </w:p>
        </w:tc>
      </w:tr>
      <w:tr>
        <w:trPr>
          <w:trHeight w:val="157"/>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60" w:type="dxa"/>
            <w:vAlign w:val="bottom"/>
            <w:gridSpan w:val="3"/>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940" w:type="dxa"/>
            <w:vAlign w:val="bottom"/>
          </w:tcPr>
          <w:p>
            <w:pPr>
              <w:spacing w:after="0"/>
              <w:rPr>
                <w:sz w:val="13"/>
                <w:szCs w:val="13"/>
                <w:color w:val="auto"/>
              </w:rPr>
            </w:pPr>
          </w:p>
        </w:tc>
      </w:tr>
      <w:tr>
        <w:trPr>
          <w:trHeight w:val="60"/>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00"/>
        </w:trPr>
        <w:tc>
          <w:tcPr>
            <w:tcW w:w="5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2016</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2015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2016</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2015</w:t>
            </w:r>
          </w:p>
        </w:tc>
      </w:tr>
      <w:tr>
        <w:trPr>
          <w:trHeight w:val="179"/>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51,367</w:t>
            </w:r>
          </w:p>
        </w:tc>
        <w:tc>
          <w:tcPr>
            <w:tcW w:w="120" w:type="dxa"/>
            <w:vAlign w:val="bottom"/>
          </w:tcPr>
          <w:p>
            <w:pPr>
              <w:spacing w:after="0"/>
              <w:rPr>
                <w:sz w:val="15"/>
                <w:szCs w:val="15"/>
                <w:color w:val="auto"/>
              </w:rPr>
            </w:pP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27,616</w:t>
            </w:r>
          </w:p>
        </w:tc>
        <w:tc>
          <w:tcPr>
            <w:tcW w:w="12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142,061</w:t>
            </w:r>
          </w:p>
        </w:tc>
        <w:tc>
          <w:tcPr>
            <w:tcW w:w="100" w:type="dxa"/>
            <w:vAlign w:val="bottom"/>
          </w:tcPr>
          <w:p>
            <w:pPr>
              <w:spacing w:after="0"/>
              <w:rPr>
                <w:sz w:val="15"/>
                <w:szCs w:val="15"/>
                <w:color w:val="auto"/>
              </w:rPr>
            </w:pP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95,143</w:t>
            </w: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0"/>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Net change in currency translation adjustment</w:t>
            </w: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89"/>
        </w:trPr>
        <w:tc>
          <w:tcPr>
            <w:tcW w:w="5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Change in unrealized gains (losses) on available-for-sale securities, net of tax</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1,038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260</w:t>
            </w: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895</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165</w:t>
            </w:r>
          </w:p>
        </w:tc>
      </w:tr>
      <w:tr>
        <w:trPr>
          <w:trHeight w:val="179"/>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3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50,854</w:t>
            </w:r>
          </w:p>
        </w:tc>
        <w:tc>
          <w:tcPr>
            <w:tcW w:w="120" w:type="dxa"/>
            <w:vAlign w:val="bottom"/>
          </w:tcPr>
          <w:p>
            <w:pPr>
              <w:spacing w:after="0"/>
              <w:rPr>
                <w:sz w:val="15"/>
                <w:szCs w:val="15"/>
                <w:color w:val="auto"/>
              </w:rPr>
            </w:pPr>
          </w:p>
        </w:tc>
        <w:tc>
          <w:tcPr>
            <w:tcW w:w="5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27,828</w:t>
            </w:r>
          </w:p>
        </w:tc>
        <w:tc>
          <w:tcPr>
            <w:tcW w:w="120" w:type="dxa"/>
            <w:vAlign w:val="bottom"/>
          </w:tcPr>
          <w:p>
            <w:pPr>
              <w:spacing w:after="0"/>
              <w:rPr>
                <w:sz w:val="15"/>
                <w:szCs w:val="15"/>
                <w:color w:val="auto"/>
              </w:rPr>
            </w:pPr>
          </w:p>
        </w:tc>
        <w:tc>
          <w:tcPr>
            <w:tcW w:w="3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142,956</w:t>
            </w:r>
          </w:p>
        </w:tc>
        <w:tc>
          <w:tcPr>
            <w:tcW w:w="100" w:type="dxa"/>
            <w:vAlign w:val="bottom"/>
          </w:tcPr>
          <w:p>
            <w:pPr>
              <w:spacing w:after="0"/>
              <w:rPr>
                <w:sz w:val="15"/>
                <w:szCs w:val="15"/>
                <w:color w:val="auto"/>
              </w:rPr>
            </w:pPr>
          </w:p>
        </w:tc>
        <w:tc>
          <w:tcPr>
            <w:tcW w:w="5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95,308</w:t>
            </w:r>
          </w:p>
        </w:tc>
      </w:tr>
      <w:tr>
        <w:trPr>
          <w:trHeight w:val="21"/>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460"/>
          </w:cols>
          <w:pgMar w:left="220" w:top="125" w:right="21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ALIGN TECHNOLOGY,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60" w:type="dxa"/>
            <w:vAlign w:val="bottom"/>
          </w:tcPr>
          <w:p>
            <w:pPr>
              <w:spacing w:after="0"/>
              <w:rPr>
                <w:sz w:val="11"/>
                <w:szCs w:val="11"/>
                <w:color w:val="auto"/>
              </w:rPr>
            </w:pPr>
          </w:p>
        </w:tc>
        <w:tc>
          <w:tcPr>
            <w:tcW w:w="122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8"/>
        </w:trPr>
        <w:tc>
          <w:tcPr>
            <w:tcW w:w="8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ind w:right="192"/>
              <w:spacing w:after="0"/>
              <w:rPr>
                <w:sz w:val="20"/>
                <w:szCs w:val="20"/>
                <w:color w:val="auto"/>
              </w:rPr>
            </w:pPr>
            <w:r>
              <w:rPr>
                <w:rFonts w:ascii="Times New Roman" w:cs="Times New Roman" w:eastAsia="Times New Roman" w:hAnsi="Times New Roman"/>
                <w:sz w:val="11"/>
                <w:szCs w:val="11"/>
                <w:b w:val="1"/>
                <w:bCs w:val="1"/>
                <w:color w:val="auto"/>
              </w:rPr>
              <w:t>2016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2015</w:t>
            </w:r>
          </w:p>
        </w:tc>
      </w:tr>
      <w:tr>
        <w:trPr>
          <w:trHeight w:val="214"/>
        </w:trPr>
        <w:tc>
          <w:tcPr>
            <w:tcW w:w="8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84"/>
        </w:trPr>
        <w:tc>
          <w:tcPr>
            <w:tcW w:w="8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89"/>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
        </w:trPr>
        <w:tc>
          <w:tcPr>
            <w:tcW w:w="8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419,948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167,714</w:t>
            </w:r>
          </w:p>
        </w:tc>
      </w:tr>
      <w:tr>
        <w:trPr>
          <w:trHeight w:val="189"/>
        </w:trPr>
        <w:tc>
          <w:tcPr>
            <w:tcW w:w="8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Marketable securities, short-term</w:t>
            </w:r>
          </w:p>
        </w:tc>
        <w:tc>
          <w:tcPr>
            <w:tcW w:w="240" w:type="dxa"/>
            <w:vAlign w:val="bottom"/>
          </w:tcPr>
          <w:p>
            <w:pPr>
              <w:spacing w:after="0"/>
              <w:rPr>
                <w:sz w:val="16"/>
                <w:szCs w:val="16"/>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193,018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359,581</w:t>
            </w:r>
          </w:p>
        </w:tc>
      </w:tr>
      <w:tr>
        <w:trPr>
          <w:trHeight w:val="21"/>
        </w:trPr>
        <w:tc>
          <w:tcPr>
            <w:tcW w:w="8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Accounts receivable, net of allowances for doubtful accounts and returns of $3,925 and $2,472, respectively</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244,992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158,550</w:t>
            </w:r>
          </w:p>
        </w:tc>
      </w:tr>
      <w:tr>
        <w:trPr>
          <w:trHeight w:val="189"/>
        </w:trPr>
        <w:tc>
          <w:tcPr>
            <w:tcW w:w="8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tcPr>
          <w:p>
            <w:pPr>
              <w:spacing w:after="0"/>
              <w:rPr>
                <w:sz w:val="16"/>
                <w:szCs w:val="16"/>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26,341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19,465</w:t>
            </w:r>
          </w:p>
        </w:tc>
      </w:tr>
      <w:tr>
        <w:trPr>
          <w:trHeight w:val="21"/>
        </w:trPr>
        <w:tc>
          <w:tcPr>
            <w:tcW w:w="8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0"/>
        </w:trPr>
        <w:tc>
          <w:tcPr>
            <w:tcW w:w="83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27,469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26,700</w:t>
            </w:r>
          </w:p>
        </w:tc>
      </w:tr>
      <w:tr>
        <w:trPr>
          <w:trHeight w:val="179"/>
        </w:trPr>
        <w:tc>
          <w:tcPr>
            <w:tcW w:w="83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911,768</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732,010</w:t>
            </w:r>
          </w:p>
        </w:tc>
      </w:tr>
      <w:tr>
        <w:trPr>
          <w:trHeight w:val="21"/>
        </w:trPr>
        <w:tc>
          <w:tcPr>
            <w:tcW w:w="8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 long-term</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62,820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151,370</w:t>
            </w:r>
          </w:p>
        </w:tc>
      </w:tr>
      <w:tr>
        <w:trPr>
          <w:trHeight w:val="189"/>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40" w:type="dxa"/>
            <w:vAlign w:val="bottom"/>
          </w:tcPr>
          <w:p>
            <w:pPr>
              <w:spacing w:after="0"/>
              <w:rPr>
                <w:sz w:val="16"/>
                <w:szCs w:val="16"/>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172,658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136,473</w:t>
            </w:r>
          </w:p>
        </w:tc>
      </w:tr>
      <w:tr>
        <w:trPr>
          <w:trHeight w:val="21"/>
        </w:trPr>
        <w:tc>
          <w:tcPr>
            <w:tcW w:w="8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46,268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and intangible assets, net</w:t>
            </w:r>
          </w:p>
        </w:tc>
        <w:tc>
          <w:tcPr>
            <w:tcW w:w="240" w:type="dxa"/>
            <w:vAlign w:val="bottom"/>
          </w:tcPr>
          <w:p>
            <w:pPr>
              <w:spacing w:after="0"/>
              <w:rPr>
                <w:sz w:val="16"/>
                <w:szCs w:val="16"/>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82,987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79,162</w:t>
            </w:r>
          </w:p>
        </w:tc>
      </w:tr>
      <w:tr>
        <w:trPr>
          <w:trHeight w:val="21"/>
        </w:trPr>
        <w:tc>
          <w:tcPr>
            <w:tcW w:w="8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68,918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51,416</w:t>
            </w:r>
          </w:p>
        </w:tc>
      </w:tr>
      <w:tr>
        <w:trPr>
          <w:trHeight w:val="189"/>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6"/>
                <w:szCs w:val="16"/>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13,474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8,202</w:t>
            </w:r>
          </w:p>
        </w:tc>
      </w:tr>
      <w:tr>
        <w:trPr>
          <w:trHeight w:val="21"/>
        </w:trPr>
        <w:tc>
          <w:tcPr>
            <w:tcW w:w="8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5"/>
        </w:trPr>
        <w:tc>
          <w:tcPr>
            <w:tcW w:w="83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1,358,893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1,158,633</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8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r>
      <w:tr>
        <w:trPr>
          <w:trHeight w:val="189"/>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
        </w:trPr>
        <w:tc>
          <w:tcPr>
            <w:tcW w:w="8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33,104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34,354</w:t>
            </w:r>
          </w:p>
        </w:tc>
      </w:tr>
      <w:tr>
        <w:trPr>
          <w:trHeight w:val="189"/>
        </w:trPr>
        <w:tc>
          <w:tcPr>
            <w:tcW w:w="8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tcPr>
          <w:p>
            <w:pPr>
              <w:spacing w:after="0"/>
              <w:rPr>
                <w:sz w:val="16"/>
                <w:szCs w:val="16"/>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132,538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107,765</w:t>
            </w:r>
          </w:p>
        </w:tc>
      </w:tr>
      <w:tr>
        <w:trPr>
          <w:trHeight w:val="21"/>
        </w:trPr>
        <w:tc>
          <w:tcPr>
            <w:tcW w:w="8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0"/>
        </w:trPr>
        <w:tc>
          <w:tcPr>
            <w:tcW w:w="83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Deferred revenues</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177,409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129,553</w:t>
            </w:r>
          </w:p>
        </w:tc>
      </w:tr>
      <w:tr>
        <w:trPr>
          <w:trHeight w:val="179"/>
        </w:trPr>
        <w:tc>
          <w:tcPr>
            <w:tcW w:w="83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343,051</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271,672</w:t>
            </w:r>
          </w:p>
        </w:tc>
      </w:tr>
      <w:tr>
        <w:trPr>
          <w:trHeight w:val="21"/>
        </w:trPr>
        <w:tc>
          <w:tcPr>
            <w:tcW w:w="8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payable</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42,539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37,512</w:t>
            </w:r>
          </w:p>
        </w:tc>
      </w:tr>
      <w:tr>
        <w:trPr>
          <w:trHeight w:val="189"/>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tcPr>
          <w:p>
            <w:pPr>
              <w:spacing w:after="0"/>
              <w:rPr>
                <w:sz w:val="16"/>
                <w:szCs w:val="16"/>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1,523</w:t>
            </w:r>
          </w:p>
        </w:tc>
      </w:tr>
      <w:tr>
        <w:trPr>
          <w:trHeight w:val="21"/>
        </w:trPr>
        <w:tc>
          <w:tcPr>
            <w:tcW w:w="8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0"/>
        </w:trPr>
        <w:tc>
          <w:tcPr>
            <w:tcW w:w="83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386,583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310,707</w:t>
            </w:r>
          </w:p>
        </w:tc>
      </w:tr>
      <w:tr>
        <w:trPr>
          <w:trHeight w:val="169"/>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7 and 8)</w:t>
            </w:r>
          </w:p>
        </w:tc>
        <w:tc>
          <w:tcPr>
            <w:tcW w:w="2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r>
      <w:tr>
        <w:trPr>
          <w:trHeight w:val="31"/>
        </w:trPr>
        <w:tc>
          <w:tcPr>
            <w:tcW w:w="8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90"/>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r>
      <w:tr>
        <w:trPr>
          <w:trHeight w:val="189"/>
        </w:trPr>
        <w:tc>
          <w:tcPr>
            <w:tcW w:w="8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Preferred stock, $0.0001 par value (5,000 shares authorized; none issued)</w:t>
            </w:r>
          </w:p>
        </w:tc>
        <w:tc>
          <w:tcPr>
            <w:tcW w:w="24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8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Common stock, $0.0001 par value (200,000 shares authorized; 79,867 and 79,500 issued and outstanding, respectively)</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w:t>
            </w:r>
          </w:p>
        </w:tc>
      </w:tr>
      <w:tr>
        <w:trPr>
          <w:trHeight w:val="189"/>
        </w:trPr>
        <w:tc>
          <w:tcPr>
            <w:tcW w:w="8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6"/>
                <w:szCs w:val="16"/>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854,422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821,507</w:t>
            </w:r>
          </w:p>
        </w:tc>
      </w:tr>
      <w:tr>
        <w:trPr>
          <w:trHeight w:val="21"/>
        </w:trPr>
        <w:tc>
          <w:tcPr>
            <w:tcW w:w="8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Accumulated other comprehensive income (loss), net</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r>
      <w:tr>
        <w:trPr>
          <w:trHeight w:val="189"/>
        </w:trPr>
        <w:tc>
          <w:tcPr>
            <w:tcW w:w="8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16"/>
                <w:szCs w:val="16"/>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117,965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27,391</w:t>
            </w:r>
          </w:p>
        </w:tc>
      </w:tr>
      <w:tr>
        <w:trPr>
          <w:trHeight w:val="21"/>
        </w:trPr>
        <w:tc>
          <w:tcPr>
            <w:tcW w:w="8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0"/>
        </w:trPr>
        <w:tc>
          <w:tcPr>
            <w:tcW w:w="83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972,310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847,926</w:t>
            </w:r>
          </w:p>
        </w:tc>
      </w:tr>
      <w:tr>
        <w:trPr>
          <w:trHeight w:val="179"/>
        </w:trPr>
        <w:tc>
          <w:tcPr>
            <w:tcW w:w="83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1,358,893</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1,158,633</w:t>
            </w:r>
          </w:p>
        </w:tc>
      </w:tr>
      <w:tr>
        <w:trPr>
          <w:trHeight w:val="21"/>
        </w:trPr>
        <w:tc>
          <w:tcPr>
            <w:tcW w:w="8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460"/>
          </w:cols>
          <w:pgMar w:left="220" w:top="125" w:right="21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ALIGN TECHNOLOGY,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gridSpan w:val="3"/>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960" w:type="dxa"/>
            <w:vAlign w:val="bottom"/>
          </w:tcPr>
          <w:p>
            <w:pPr>
              <w:spacing w:after="0"/>
              <w:rPr>
                <w:sz w:val="12"/>
                <w:szCs w:val="12"/>
                <w:color w:val="auto"/>
              </w:rPr>
            </w:pPr>
          </w:p>
        </w:tc>
      </w:tr>
      <w:tr>
        <w:trPr>
          <w:trHeight w:val="214"/>
        </w:trPr>
        <w:tc>
          <w:tcPr>
            <w:tcW w:w="83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960" w:type="dxa"/>
            <w:vAlign w:val="bottom"/>
            <w:tcBorders>
              <w:bottom w:val="single" w:sz="8" w:color="auto"/>
            </w:tcBorders>
          </w:tcPr>
          <w:p>
            <w:pPr>
              <w:spacing w:after="0"/>
              <w:rPr>
                <w:sz w:val="18"/>
                <w:szCs w:val="18"/>
                <w:color w:val="auto"/>
              </w:rPr>
            </w:pPr>
          </w:p>
        </w:tc>
      </w:tr>
      <w:tr>
        <w:trPr>
          <w:trHeight w:val="200"/>
        </w:trPr>
        <w:tc>
          <w:tcPr>
            <w:tcW w:w="83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2016</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2015</w:t>
            </w:r>
          </w:p>
        </w:tc>
      </w:tr>
      <w:tr>
        <w:trPr>
          <w:trHeight w:val="184"/>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89"/>
        </w:trPr>
        <w:tc>
          <w:tcPr>
            <w:tcW w:w="8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Pr>
          <w:p>
            <w:pPr>
              <w:jc w:val="right"/>
              <w:ind w:right="715"/>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142,061</w:t>
            </w:r>
          </w:p>
        </w:tc>
        <w:tc>
          <w:tcPr>
            <w:tcW w:w="100" w:type="dxa"/>
            <w:vAlign w:val="bottom"/>
          </w:tcPr>
          <w:p>
            <w:pPr>
              <w:spacing w:after="0"/>
              <w:rPr>
                <w:sz w:val="16"/>
                <w:szCs w:val="16"/>
                <w:color w:val="auto"/>
              </w:rPr>
            </w:pPr>
          </w:p>
        </w:tc>
        <w:tc>
          <w:tcPr>
            <w:tcW w:w="520" w:type="dxa"/>
            <w:vAlign w:val="bottom"/>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95,143</w:t>
            </w:r>
          </w:p>
        </w:tc>
      </w:tr>
      <w:tr>
        <w:trPr>
          <w:trHeight w:val="21"/>
        </w:trPr>
        <w:tc>
          <w:tcPr>
            <w:tcW w:w="8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8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89"/>
        </w:trPr>
        <w:tc>
          <w:tcPr>
            <w:tcW w:w="83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Deferred taxes</w:t>
            </w:r>
          </w:p>
        </w:tc>
        <w:tc>
          <w:tcPr>
            <w:tcW w:w="86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(17,476)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(4,646)</w:t>
            </w:r>
          </w:p>
        </w:tc>
      </w:tr>
      <w:tr>
        <w:trPr>
          <w:trHeight w:val="21"/>
        </w:trPr>
        <w:tc>
          <w:tcPr>
            <w:tcW w:w="8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16,786</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13,141</w:t>
            </w:r>
          </w:p>
        </w:tc>
      </w:tr>
      <w:tr>
        <w:trPr>
          <w:trHeight w:val="189"/>
        </w:trPr>
        <w:tc>
          <w:tcPr>
            <w:tcW w:w="83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39,934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39,135</w:t>
            </w:r>
          </w:p>
        </w:tc>
      </w:tr>
      <w:tr>
        <w:trPr>
          <w:trHeight w:val="21"/>
        </w:trPr>
        <w:tc>
          <w:tcPr>
            <w:tcW w:w="8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Net tax benefits from stock-based awards</w:t>
            </w:r>
          </w:p>
        </w:tc>
        <w:tc>
          <w:tcPr>
            <w:tcW w:w="8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13,057</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8,663</w:t>
            </w:r>
          </w:p>
        </w:tc>
      </w:tr>
      <w:tr>
        <w:trPr>
          <w:trHeight w:val="189"/>
        </w:trPr>
        <w:tc>
          <w:tcPr>
            <w:tcW w:w="83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Excess tax benefit from share-based payment arrangements</w:t>
            </w:r>
          </w:p>
        </w:tc>
        <w:tc>
          <w:tcPr>
            <w:tcW w:w="86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(13,943)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(8,663)</w:t>
            </w:r>
          </w:p>
        </w:tc>
      </w:tr>
      <w:tr>
        <w:trPr>
          <w:trHeight w:val="21"/>
        </w:trPr>
        <w:tc>
          <w:tcPr>
            <w:tcW w:w="8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Equity in losses of investee, net of tax</w:t>
            </w:r>
          </w:p>
        </w:tc>
        <w:tc>
          <w:tcPr>
            <w:tcW w:w="8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3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Other non-cash operating activities</w:t>
            </w:r>
          </w:p>
        </w:tc>
        <w:tc>
          <w:tcPr>
            <w:tcW w:w="86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9,525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9,252</w:t>
            </w:r>
          </w:p>
        </w:tc>
      </w:tr>
      <w:tr>
        <w:trPr>
          <w:trHeight w:val="21"/>
        </w:trPr>
        <w:tc>
          <w:tcPr>
            <w:tcW w:w="8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8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89"/>
        </w:trPr>
        <w:tc>
          <w:tcPr>
            <w:tcW w:w="83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Accounts receivable</w:t>
            </w:r>
          </w:p>
        </w:tc>
        <w:tc>
          <w:tcPr>
            <w:tcW w:w="86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(93,122)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(27,123)</w:t>
            </w:r>
          </w:p>
        </w:tc>
      </w:tr>
      <w:tr>
        <w:trPr>
          <w:trHeight w:val="21"/>
        </w:trPr>
        <w:tc>
          <w:tcPr>
            <w:tcW w:w="8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Inventories</w:t>
            </w:r>
          </w:p>
        </w:tc>
        <w:tc>
          <w:tcPr>
            <w:tcW w:w="8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(6,873)</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w:t>
            </w:r>
          </w:p>
        </w:tc>
      </w:tr>
      <w:tr>
        <w:trPr>
          <w:trHeight w:val="189"/>
        </w:trPr>
        <w:tc>
          <w:tcPr>
            <w:tcW w:w="83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86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(5,069)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w:t>
            </w:r>
          </w:p>
        </w:tc>
      </w:tr>
      <w:tr>
        <w:trPr>
          <w:trHeight w:val="21"/>
        </w:trPr>
        <w:tc>
          <w:tcPr>
            <w:tcW w:w="8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Accounts payable</w:t>
            </w:r>
          </w:p>
        </w:tc>
        <w:tc>
          <w:tcPr>
            <w:tcW w:w="8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(4,134)</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4,408</w:t>
            </w:r>
          </w:p>
        </w:tc>
      </w:tr>
      <w:tr>
        <w:trPr>
          <w:trHeight w:val="189"/>
        </w:trPr>
        <w:tc>
          <w:tcPr>
            <w:tcW w:w="83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Accrued and other long-term liabilities</w:t>
            </w:r>
          </w:p>
        </w:tc>
        <w:tc>
          <w:tcPr>
            <w:tcW w:w="86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38,969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6,712</w:t>
            </w:r>
          </w:p>
        </w:tc>
      </w:tr>
      <w:tr>
        <w:trPr>
          <w:trHeight w:val="21"/>
        </w:trPr>
        <w:tc>
          <w:tcPr>
            <w:tcW w:w="8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83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Deferred revenues</w:t>
            </w:r>
          </w:p>
        </w:tc>
        <w:tc>
          <w:tcPr>
            <w:tcW w:w="8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46,482</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28,182</w:t>
            </w:r>
          </w:p>
        </w:tc>
      </w:tr>
      <w:tr>
        <w:trPr>
          <w:trHeight w:val="179"/>
        </w:trPr>
        <w:tc>
          <w:tcPr>
            <w:tcW w:w="83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166,674</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158,642</w:t>
            </w:r>
          </w:p>
        </w:tc>
      </w:tr>
      <w:tr>
        <w:trPr>
          <w:trHeight w:val="21"/>
        </w:trPr>
        <w:tc>
          <w:tcPr>
            <w:tcW w:w="83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0"/>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r>
      <w:tr>
        <w:trPr>
          <w:trHeight w:val="189"/>
        </w:trPr>
        <w:tc>
          <w:tcPr>
            <w:tcW w:w="8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86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(56,368)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(36,663)</w:t>
            </w:r>
          </w:p>
        </w:tc>
      </w:tr>
      <w:tr>
        <w:trPr>
          <w:trHeight w:val="21"/>
        </w:trPr>
        <w:tc>
          <w:tcPr>
            <w:tcW w:w="8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Purchase of marketable securities</w:t>
            </w:r>
          </w:p>
        </w:tc>
        <w:tc>
          <w:tcPr>
            <w:tcW w:w="8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8"/>
              </w:rPr>
              <w:t>(283,797)</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(306,938)</w:t>
            </w:r>
          </w:p>
        </w:tc>
      </w:tr>
      <w:tr>
        <w:trPr>
          <w:trHeight w:val="189"/>
        </w:trPr>
        <w:tc>
          <w:tcPr>
            <w:tcW w:w="8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86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328,498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238,412</w:t>
            </w:r>
          </w:p>
        </w:tc>
      </w:tr>
      <w:tr>
        <w:trPr>
          <w:trHeight w:val="21"/>
        </w:trPr>
        <w:tc>
          <w:tcPr>
            <w:tcW w:w="8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Purchase of equity method investments</w:t>
            </w:r>
          </w:p>
        </w:tc>
        <w:tc>
          <w:tcPr>
            <w:tcW w:w="8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(46,745)</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Proceeds from sales of marketable securities</w:t>
            </w:r>
          </w:p>
        </w:tc>
        <w:tc>
          <w:tcPr>
            <w:tcW w:w="86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209,302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12,518</w:t>
            </w:r>
          </w:p>
        </w:tc>
      </w:tr>
      <w:tr>
        <w:trPr>
          <w:trHeight w:val="21"/>
        </w:trPr>
        <w:tc>
          <w:tcPr>
            <w:tcW w:w="8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83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8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(8,031)</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46</w:t>
            </w:r>
          </w:p>
        </w:tc>
      </w:tr>
      <w:tr>
        <w:trPr>
          <w:trHeight w:val="179"/>
        </w:trPr>
        <w:tc>
          <w:tcPr>
            <w:tcW w:w="83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142,859</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(92,625)</w:t>
            </w:r>
          </w:p>
        </w:tc>
      </w:tr>
      <w:tr>
        <w:trPr>
          <w:trHeight w:val="21"/>
        </w:trPr>
        <w:tc>
          <w:tcPr>
            <w:tcW w:w="83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0"/>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r>
      <w:tr>
        <w:trPr>
          <w:trHeight w:val="189"/>
        </w:trPr>
        <w:tc>
          <w:tcPr>
            <w:tcW w:w="8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86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12,877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10,559</w:t>
            </w:r>
          </w:p>
        </w:tc>
      </w:tr>
      <w:tr>
        <w:trPr>
          <w:trHeight w:val="21"/>
        </w:trPr>
        <w:tc>
          <w:tcPr>
            <w:tcW w:w="8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Common stock repurchases</w:t>
            </w:r>
          </w:p>
        </w:tc>
        <w:tc>
          <w:tcPr>
            <w:tcW w:w="8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(58,174)</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(90,603)</w:t>
            </w:r>
          </w:p>
        </w:tc>
      </w:tr>
      <w:tr>
        <w:trPr>
          <w:trHeight w:val="189"/>
        </w:trPr>
        <w:tc>
          <w:tcPr>
            <w:tcW w:w="8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Excess tax benefit from share-based payment arrangements</w:t>
            </w:r>
          </w:p>
        </w:tc>
        <w:tc>
          <w:tcPr>
            <w:tcW w:w="86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13,943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8,663</w:t>
            </w:r>
          </w:p>
        </w:tc>
      </w:tr>
      <w:tr>
        <w:trPr>
          <w:trHeight w:val="21"/>
        </w:trPr>
        <w:tc>
          <w:tcPr>
            <w:tcW w:w="8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83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Employees’ taxes paid upon the vesting of restricted stock units</w:t>
            </w:r>
          </w:p>
        </w:tc>
        <w:tc>
          <w:tcPr>
            <w:tcW w:w="8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(26,265)</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(17,574)</w:t>
            </w:r>
          </w:p>
        </w:tc>
      </w:tr>
      <w:tr>
        <w:trPr>
          <w:trHeight w:val="179"/>
        </w:trPr>
        <w:tc>
          <w:tcPr>
            <w:tcW w:w="83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8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(57,619)</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(88,955)</w:t>
            </w:r>
          </w:p>
        </w:tc>
      </w:tr>
      <w:tr>
        <w:trPr>
          <w:trHeight w:val="21"/>
        </w:trPr>
        <w:tc>
          <w:tcPr>
            <w:tcW w:w="83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0"/>
        </w:trPr>
        <w:tc>
          <w:tcPr>
            <w:tcW w:w="83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8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w:t>
            </w:r>
          </w:p>
        </w:tc>
      </w:tr>
      <w:tr>
        <w:trPr>
          <w:trHeight w:val="179"/>
        </w:trPr>
        <w:tc>
          <w:tcPr>
            <w:tcW w:w="83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8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252,234</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(25,831)</w:t>
            </w:r>
          </w:p>
        </w:tc>
      </w:tr>
      <w:tr>
        <w:trPr>
          <w:trHeight w:val="21"/>
        </w:trPr>
        <w:tc>
          <w:tcPr>
            <w:tcW w:w="8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83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Cash and cash equivalents, beginning of the period</w:t>
            </w:r>
          </w:p>
        </w:tc>
        <w:tc>
          <w:tcPr>
            <w:tcW w:w="8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167,714</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199,871</w:t>
            </w:r>
          </w:p>
        </w:tc>
      </w:tr>
      <w:tr>
        <w:trPr>
          <w:trHeight w:val="179"/>
        </w:trPr>
        <w:tc>
          <w:tcPr>
            <w:tcW w:w="83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Cash and cash equivalents, end of the period</w:t>
            </w:r>
          </w:p>
        </w:tc>
        <w:tc>
          <w:tcPr>
            <w:tcW w:w="860" w:type="dxa"/>
            <w:vAlign w:val="bottom"/>
            <w:tcBorders>
              <w:top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419,948</w:t>
            </w:r>
          </w:p>
        </w:tc>
        <w:tc>
          <w:tcPr>
            <w:tcW w:w="100" w:type="dxa"/>
            <w:vAlign w:val="bottom"/>
          </w:tcPr>
          <w:p>
            <w:pPr>
              <w:spacing w:after="0"/>
              <w:rPr>
                <w:sz w:val="15"/>
                <w:szCs w:val="15"/>
                <w:color w:val="auto"/>
              </w:rPr>
            </w:pPr>
          </w:p>
        </w:tc>
        <w:tc>
          <w:tcPr>
            <w:tcW w:w="5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174,040</w:t>
            </w:r>
          </w:p>
        </w:tc>
      </w:tr>
      <w:tr>
        <w:trPr>
          <w:trHeight w:val="21"/>
        </w:trPr>
        <w:tc>
          <w:tcPr>
            <w:tcW w:w="8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8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460"/>
          </w:cols>
          <w:pgMar w:left="220" w:top="125" w:right="21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ALIGN TECHNOLOGY,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Summary of Significant Accounting Policies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24"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have been prepared by Align Technology, Inc. (“we”, “our”, or “Align”) in accordance with the rules and regulations of the Securities and Exchange Commission ("SEC") and contain all adjustments, including normal recurring adjustments, necessary to state fairly our results of operations for the three and nine months ended September 30, 2016 and 2015, our comprehensive income for the three and nine months ended September 30, 2016 and 2015, our financial position as of September 30, 2016 and our cash flows for the nine months ended September 30, 2016 and 2015. The Condensed Consolidated Balance Sheet as of December 31, 2015 was derived from the December 31, 2015 audited financial statements but does not include all disclosures required by accounting principles generally accepted in the United States of America.</w:t>
      </w:r>
    </w:p>
    <w:p>
      <w:pPr>
        <w:spacing w:after="0" w:line="141"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The results of operations for the three and nine months ended September 30, 2016 are not necessarily indicative of the results that may be expected for the year ending December 31, 2016 or any other future period, and we make no representations related thereto. The information included in this Quarterly Report on Form 10-Q should be read in conjunction with “Management’s Discussion and Analysis of Financial Condition and Results of Operations,” “Quantitative and Qualitative Disclosures About Market Risk” and the Consolidated Financial Statements and notes thereto included in Items 7, 7A and 8, respectively, in our Annual Report on Form 10-K for the year ended December 31, 2015.</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24"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generally accepted accounting principles ("GAAP") in the United States of America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long-lived assets and goodwill, useful lives of intangible assets and property and equipment, revenue recognition, stock-based compensation,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Variable Interest Entities</w:t>
      </w:r>
    </w:p>
    <w:p>
      <w:pPr>
        <w:spacing w:after="0" w:line="114" w:lineRule="exact"/>
        <w:rPr>
          <w:sz w:val="20"/>
          <w:szCs w:val="20"/>
          <w:color w:val="auto"/>
        </w:rPr>
      </w:pPr>
    </w:p>
    <w:p>
      <w:pPr>
        <w:jc w:val="both"/>
        <w:ind w:firstLine="252"/>
        <w:spacing w:after="0" w:line="256" w:lineRule="auto"/>
        <w:rPr>
          <w:sz w:val="20"/>
          <w:szCs w:val="20"/>
          <w:color w:val="auto"/>
        </w:rPr>
      </w:pPr>
      <w:r>
        <w:rPr>
          <w:rFonts w:ascii="Times New Roman" w:cs="Times New Roman" w:eastAsia="Times New Roman" w:hAnsi="Times New Roman"/>
          <w:sz w:val="14"/>
          <w:szCs w:val="14"/>
          <w:color w:val="auto"/>
        </w:rPr>
        <w:t>We have interests in entities determined to be Variable Interest Entities (“VIEs”). If we determine we are the primary beneficiary of these VIEs, we would consolidate the VIE into our financial statements. In determining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our VIEs require significant assumptions and judgments. We have concluded that we are not the primary beneficiary of our VIE investments; therefore, we do not consolidate their results into our consolidated financials.</w:t>
      </w: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Investments in Privately-Held Companies</w:t>
      </w:r>
    </w:p>
    <w:p>
      <w:pPr>
        <w:spacing w:after="0" w:line="114"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Investments in privately held companies in which we can exercise significant influence but do not own a majority equity interest or otherwise control, are accounted for under the equity method of accounting. Equity method investments are reported on our balance sheet as a single amount, and we record our share of their operating results within equity in losses of investee in our results of operation.</w:t>
      </w:r>
    </w:p>
    <w:p>
      <w:pPr>
        <w:spacing w:after="0" w:line="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75" w:lineRule="exact"/>
        <w:rPr>
          <w:sz w:val="20"/>
          <w:szCs w:val="20"/>
          <w:color w:val="auto"/>
        </w:rPr>
      </w:pPr>
    </w:p>
    <w:p>
      <w:pPr>
        <w:jc w:val="both"/>
        <w:ind w:firstLine="315"/>
        <w:spacing w:after="0" w:line="261" w:lineRule="auto"/>
        <w:rPr>
          <w:sz w:val="20"/>
          <w:szCs w:val="20"/>
          <w:color w:val="auto"/>
        </w:rPr>
      </w:pPr>
      <w:r>
        <w:rPr>
          <w:rFonts w:ascii="Times New Roman" w:cs="Times New Roman" w:eastAsia="Times New Roman" w:hAnsi="Times New Roman"/>
          <w:sz w:val="14"/>
          <w:szCs w:val="14"/>
          <w:color w:val="auto"/>
        </w:rPr>
        <w:t>In May 2014, the Financial Accounting Standards Board (" FASB") released Accounting Standards Update ("ASU") 2014-9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(Topic 606) to supersede nearly all existing revenue recognition guidance under GAAP. The core principle of the standard is to recognize revenues when promised goods or services are transferred to customers in an amount that reflects the consideration that is expected to be received for the goods or services. The new standard defines a five step process to achieve this core principle and, in doing so, it is possible more judgment and estimates may be required within the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460"/>
          </w:cols>
          <w:pgMar w:left="220" w:top="125" w:right="21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revenue recognition process than required under existing GAAP including identifying performance obligations in the contract, estimating the amount of variable consideration to include in the transaction price and allocating the transaction price to each separate performance obligation. In addition, the new standard requires that reporting companies disclose the nature, amount, timing, and uncertainty of revenue and cash flows arising from contracts with customers. We are required to adopt this standard starting in the first quarter of fiscal year 2018 using either of two methods: (i) retrospective to each prior reporting period presented with the option to elect certain practical expedients as defined within the standard; or (ii) retrospective with the cumulative effect of initially applying the standard recognized at the date of initial application and providing certain additional disclosures as defined per the standard. We have not yet selected a transition method, and are in the process of determining the impact that the new standard will have on our consolidated financial statements.</w:t>
      </w:r>
    </w:p>
    <w:p>
      <w:pPr>
        <w:spacing w:after="0" w:line="142"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4"/>
          <w:szCs w:val="14"/>
          <w:color w:val="auto"/>
        </w:rPr>
        <w:t xml:space="preserve">In April 2016, the Financial Accounting Standards Board (" FASB") released </w:t>
      </w:r>
      <w:r>
        <w:rPr>
          <w:rFonts w:ascii="Times New Roman" w:cs="Times New Roman" w:eastAsia="Times New Roman" w:hAnsi="Times New Roman"/>
          <w:sz w:val="14"/>
          <w:szCs w:val="14"/>
          <w:color w:val="252525"/>
        </w:rPr>
        <w:t>ASU No. 2016-10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to clarify the following two aspects of Topic 606: identifying performance obligations and the licensing implementation guidance, while retaining the principles for those areas of the ASU 2014-9 issued in May 2014. The effective date and the transition requirement of the amendments in this update are the same as the effective date and transition requirements of Topic 606.</w:t>
      </w:r>
    </w:p>
    <w:p>
      <w:pPr>
        <w:spacing w:after="0" w:line="134" w:lineRule="exact"/>
        <w:rPr>
          <w:sz w:val="20"/>
          <w:szCs w:val="20"/>
          <w:color w:val="auto"/>
        </w:rPr>
      </w:pPr>
    </w:p>
    <w:p>
      <w:pPr>
        <w:jc w:val="both"/>
        <w:ind w:firstLine="315"/>
        <w:spacing w:after="0" w:line="261" w:lineRule="auto"/>
        <w:rPr>
          <w:sz w:val="20"/>
          <w:szCs w:val="20"/>
          <w:color w:val="auto"/>
        </w:rPr>
      </w:pPr>
      <w:r>
        <w:rPr>
          <w:rFonts w:ascii="Times New Roman" w:cs="Times New Roman" w:eastAsia="Times New Roman" w:hAnsi="Times New Roman"/>
          <w:sz w:val="14"/>
          <w:szCs w:val="14"/>
          <w:color w:val="auto"/>
        </w:rPr>
        <w:t xml:space="preserve">In May 2016, the Financial Accounting Standards Board (" FASB") released </w:t>
      </w:r>
      <w:r>
        <w:rPr>
          <w:rFonts w:ascii="Times New Roman" w:cs="Times New Roman" w:eastAsia="Times New Roman" w:hAnsi="Times New Roman"/>
          <w:sz w:val="14"/>
          <w:szCs w:val="14"/>
          <w:color w:val="252525"/>
        </w:rPr>
        <w:t>ASU No. 2016-12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to address certain issues in the Topic 606 guidance on assessing the collectibility, presentation of sales taxes, non-cash consideration, and completed contracts and contract modifications at transition. The ASU provides narrow-scope improvements and practical expedients to the ASU 2014-9 issued in May 2014. The effective date and the transition requirement of the amendments in this update are the same as the effective date and transition requirements of Topic 606.</w:t>
      </w:r>
    </w:p>
    <w:p>
      <w:pPr>
        <w:spacing w:after="0" w:line="139" w:lineRule="exact"/>
        <w:rPr>
          <w:sz w:val="20"/>
          <w:szCs w:val="20"/>
          <w:color w:val="auto"/>
        </w:rPr>
      </w:pPr>
    </w:p>
    <w:p>
      <w:pPr>
        <w:jc w:val="both"/>
        <w:ind w:firstLine="315"/>
        <w:spacing w:after="0" w:line="261" w:lineRule="auto"/>
        <w:rPr>
          <w:sz w:val="20"/>
          <w:szCs w:val="20"/>
          <w:color w:val="auto"/>
        </w:rPr>
      </w:pPr>
      <w:r>
        <w:rPr>
          <w:rFonts w:ascii="Times New Roman" w:cs="Times New Roman" w:eastAsia="Times New Roman" w:hAnsi="Times New Roman"/>
          <w:sz w:val="14"/>
          <w:szCs w:val="14"/>
          <w:color w:val="auto"/>
        </w:rPr>
        <w:t>In February 2016, the FASB issued ASU No. 2016-02,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(Topic 842). The FASB issued this update to increase transparency and comparability among organizations by recognizing lease assets and lease liabilities on the balance sheet and disclosing key information about leasing arrangements. The updated guidance is effective for annual periods beginning after December 15, 2018, including interim periods within those fiscal years. Early adoption of the standard is permitted. The Company is evaluating the impact of the adoption of this update on our consolidated financial statements and related disclosures.</w:t>
      </w:r>
    </w:p>
    <w:p>
      <w:pPr>
        <w:spacing w:after="0" w:line="139" w:lineRule="exact"/>
        <w:rPr>
          <w:sz w:val="20"/>
          <w:szCs w:val="20"/>
          <w:color w:val="auto"/>
        </w:rPr>
      </w:pPr>
    </w:p>
    <w:p>
      <w:pPr>
        <w:jc w:val="both"/>
        <w:ind w:firstLine="315"/>
        <w:spacing w:after="0" w:line="261" w:lineRule="auto"/>
        <w:rPr>
          <w:sz w:val="20"/>
          <w:szCs w:val="20"/>
          <w:color w:val="auto"/>
        </w:rPr>
      </w:pPr>
      <w:r>
        <w:rPr>
          <w:rFonts w:ascii="Times New Roman" w:cs="Times New Roman" w:eastAsia="Times New Roman" w:hAnsi="Times New Roman"/>
          <w:sz w:val="14"/>
          <w:szCs w:val="14"/>
          <w:color w:val="auto"/>
        </w:rPr>
        <w:t>In March 2016, the FASB issued ASU No. 2016-09, "</w:t>
      </w:r>
      <w:r>
        <w:rPr>
          <w:rFonts w:ascii="Times New Roman" w:cs="Times New Roman" w:eastAsia="Times New Roman" w:hAnsi="Times New Roman"/>
          <w:sz w:val="14"/>
          <w:szCs w:val="14"/>
          <w:i w:val="1"/>
          <w:iCs w:val="1"/>
          <w:color w:val="auto"/>
        </w:rPr>
        <w:t>Improvements to Employee Share-Based Payment Accounting</w:t>
      </w:r>
      <w:r>
        <w:rPr>
          <w:rFonts w:ascii="Times New Roman" w:cs="Times New Roman" w:eastAsia="Times New Roman" w:hAnsi="Times New Roman"/>
          <w:sz w:val="14"/>
          <w:szCs w:val="14"/>
          <w:color w:val="auto"/>
        </w:rPr>
        <w:t>" This ASU affects entities that issue share-based payment awards to their employees. The ASU is designed to simplify several aspects of accounting for share-based payment award transactions, which include the income tax consequences, classification of awards as either equity or liabilities, classification on the statement of cash flows and forfeiture rate calculations. This ASU will become effective for Align on January 1, 2017. Early adoption is permitted in any interim or annual period. We are currently evaluating the impact of this guidance on our consolidated financial statements.</w:t>
      </w:r>
    </w:p>
    <w:p>
      <w:pPr>
        <w:spacing w:after="0" w:line="139" w:lineRule="exact"/>
        <w:rPr>
          <w:sz w:val="20"/>
          <w:szCs w:val="20"/>
          <w:color w:val="auto"/>
        </w:rPr>
      </w:pPr>
    </w:p>
    <w:p>
      <w:pPr>
        <w:jc w:val="both"/>
        <w:ind w:firstLine="315"/>
        <w:spacing w:after="0" w:line="257" w:lineRule="auto"/>
        <w:rPr>
          <w:sz w:val="20"/>
          <w:szCs w:val="20"/>
          <w:color w:val="auto"/>
        </w:rPr>
      </w:pPr>
      <w:r>
        <w:rPr>
          <w:rFonts w:ascii="Times New Roman" w:cs="Times New Roman" w:eastAsia="Times New Roman" w:hAnsi="Times New Roman"/>
          <w:sz w:val="14"/>
          <w:szCs w:val="14"/>
          <w:color w:val="252525"/>
        </w:rPr>
        <w:t>In June 2016, the FASB issued ASU No. 2016-13, “</w:t>
      </w:r>
      <w:r>
        <w:rPr>
          <w:rFonts w:ascii="Times New Roman" w:cs="Times New Roman" w:eastAsia="Times New Roman" w:hAnsi="Times New Roman"/>
          <w:sz w:val="14"/>
          <w:szCs w:val="14"/>
          <w:i w:val="1"/>
          <w:iCs w:val="1"/>
          <w:color w:val="252525"/>
        </w:rPr>
        <w:t>Financial Instruments - Credit Losses</w:t>
      </w:r>
      <w:r>
        <w:rPr>
          <w:rFonts w:ascii="Times New Roman" w:cs="Times New Roman" w:eastAsia="Times New Roman" w:hAnsi="Times New Roman"/>
          <w:sz w:val="14"/>
          <w:szCs w:val="14"/>
          <w:color w:val="252525"/>
        </w:rPr>
        <w:t>” (Topic 326)</w:t>
      </w:r>
      <w:r>
        <w:rPr>
          <w:rFonts w:ascii="Times New Roman" w:cs="Times New Roman" w:eastAsia="Times New Roman" w:hAnsi="Times New Roman"/>
          <w:sz w:val="14"/>
          <w:szCs w:val="14"/>
          <w:i w:val="1"/>
          <w:iCs w:val="1"/>
          <w:color w:val="252525"/>
        </w:rPr>
        <w:t>.</w:t>
      </w:r>
      <w:r>
        <w:rPr>
          <w:rFonts w:ascii="Times New Roman" w:cs="Times New Roman" w:eastAsia="Times New Roman" w:hAnsi="Times New Roman"/>
          <w:sz w:val="14"/>
          <w:szCs w:val="14"/>
          <w:color w:val="252525"/>
        </w:rPr>
        <w:t xml:space="preserve"> </w:t>
      </w:r>
      <w:r>
        <w:rPr>
          <w:rFonts w:ascii="Times New Roman" w:cs="Times New Roman" w:eastAsia="Times New Roman" w:hAnsi="Times New Roman"/>
          <w:sz w:val="14"/>
          <w:szCs w:val="14"/>
          <w:color w:val="000000"/>
        </w:rPr>
        <w:t>The FASB issued this update to provide financial statement users with more decision-useful</w:t>
      </w:r>
      <w:r>
        <w:rPr>
          <w:rFonts w:ascii="Times New Roman" w:cs="Times New Roman" w:eastAsia="Times New Roman" w:hAnsi="Times New Roman"/>
          <w:sz w:val="14"/>
          <w:szCs w:val="14"/>
          <w:color w:val="252525"/>
        </w:rPr>
        <w:t xml:space="preserve"> </w:t>
      </w:r>
      <w:r>
        <w:rPr>
          <w:rFonts w:ascii="Times New Roman" w:cs="Times New Roman" w:eastAsia="Times New Roman" w:hAnsi="Times New Roman"/>
          <w:sz w:val="14"/>
          <w:szCs w:val="14"/>
          <w:color w:val="000000"/>
        </w:rPr>
        <w:t xml:space="preserve">information about the expected credit losses on financial instruments and other commitments to extend credit held by a reporting entity at each reporting date. The amendments in this update replace the existing guidance of incurred loss impairment methodology with an approach that reflects expected credit losses and requires consideration of a broader range of reasonable and supportable information to inform credit loss estimates. </w:t>
      </w:r>
      <w:r>
        <w:rPr>
          <w:rFonts w:ascii="Times New Roman" w:cs="Times New Roman" w:eastAsia="Times New Roman" w:hAnsi="Times New Roman"/>
          <w:sz w:val="14"/>
          <w:szCs w:val="14"/>
          <w:color w:val="252525"/>
        </w:rPr>
        <w:t>The updated guidance is effective for annual periods beginning after December 15, 2019, including interim periods within those fiscal years. Early adoption of the update is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52525"/>
        </w:rPr>
        <w:t xml:space="preserve">permitted as of the fiscal years beginning after December 15, 2018, including interim periods within those fiscal years. We are </w:t>
      </w:r>
      <w:r>
        <w:rPr>
          <w:rFonts w:ascii="Times New Roman" w:cs="Times New Roman" w:eastAsia="Times New Roman" w:hAnsi="Times New Roman"/>
          <w:sz w:val="14"/>
          <w:szCs w:val="14"/>
          <w:color w:val="000000"/>
        </w:rPr>
        <w:t>evaluating the impact of the adoption of this update on our consolidated</w:t>
      </w:r>
      <w:r>
        <w:rPr>
          <w:rFonts w:ascii="Times New Roman" w:cs="Times New Roman" w:eastAsia="Times New Roman" w:hAnsi="Times New Roman"/>
          <w:sz w:val="14"/>
          <w:szCs w:val="14"/>
          <w:color w:val="252525"/>
        </w:rPr>
        <w:t xml:space="preserve"> </w:t>
      </w:r>
      <w:r>
        <w:rPr>
          <w:rFonts w:ascii="Times New Roman" w:cs="Times New Roman" w:eastAsia="Times New Roman" w:hAnsi="Times New Roman"/>
          <w:sz w:val="14"/>
          <w:szCs w:val="14"/>
          <w:color w:val="000000"/>
        </w:rPr>
        <w:t>financial statements and related disclosures.</w:t>
      </w:r>
    </w:p>
    <w:p>
      <w:pPr>
        <w:spacing w:after="0" w:line="142" w:lineRule="exact"/>
        <w:rPr>
          <w:sz w:val="20"/>
          <w:szCs w:val="20"/>
          <w:color w:val="auto"/>
        </w:rPr>
      </w:pPr>
    </w:p>
    <w:p>
      <w:pPr>
        <w:jc w:val="both"/>
        <w:ind w:firstLine="315"/>
        <w:spacing w:after="0" w:line="266" w:lineRule="auto"/>
        <w:rPr>
          <w:sz w:val="20"/>
          <w:szCs w:val="20"/>
          <w:color w:val="auto"/>
        </w:rPr>
      </w:pPr>
      <w:r>
        <w:rPr>
          <w:rFonts w:ascii="Times New Roman" w:cs="Times New Roman" w:eastAsia="Times New Roman" w:hAnsi="Times New Roman"/>
          <w:sz w:val="14"/>
          <w:szCs w:val="14"/>
          <w:color w:val="auto"/>
        </w:rPr>
        <w:t>In August 2016, the FASB issued ASU 2016-15, Classification of Certain Cash Receipts and Cash Payments ("ASU 2016-15"). ASU 2016-15 clarifies the presentation and classification of certain cash receipts and cash payments in the statement of cash flows. This ASU is effective for fiscal years, and interim periods within those years, beginning after December 15, 2017. Early adoption is permitted. We are currently assessing the potential impact of ASU 2016-15 on our financial statements and related disclosures.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Marketable Securities and Fair Value Measurements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September 30, 2016 and December 31, 2015, the estimated fair value of our short-term and long-term marketable securities, classified as available for sale, are as follows (in thousands):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460"/>
          </w:cols>
          <w:pgMar w:left="220" w:top="125" w:right="219" w:bottom="1440" w:gutter="0" w:footer="0" w:header="0"/>
        </w:sectPr>
      </w:pPr>
    </w:p>
    <w:bookmarkStart w:id="8" w:name="page9"/>
    <w:bookmarkEnd w:id="8"/>
    <w:p>
      <w:pPr>
        <w:jc w:val="center"/>
        <w:ind w:right="10460"/>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Short-term</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2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8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shd w:val="clear" w:color="auto" w:fill="CCEEFF"/>
          </w:tcPr>
          <w:p>
            <w:pPr>
              <w:spacing w:after="0"/>
              <w:rPr>
                <w:sz w:val="10"/>
                <w:szCs w:val="10"/>
                <w:color w:val="auto"/>
              </w:rPr>
            </w:pPr>
          </w:p>
        </w:tc>
        <w:tc>
          <w:tcPr>
            <w:tcW w:w="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99"/>
              </w:rPr>
              <w:t>September 30, 2016</w:t>
            </w:r>
          </w:p>
        </w:tc>
        <w:tc>
          <w:tcPr>
            <w:tcW w:w="4200" w:type="dxa"/>
            <w:vAlign w:val="bottom"/>
            <w:vMerge w:val="restart"/>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20" w:type="dxa"/>
            <w:vAlign w:val="bottom"/>
            <w:gridSpan w:val="2"/>
            <w:vMerge w:val="continue"/>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center"/>
              <w:ind w:right="420"/>
              <w:spacing w:after="0" w:line="115"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8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400"/>
              <w:spacing w:after="0" w:line="115"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8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64"/>
        </w:trPr>
        <w:tc>
          <w:tcPr>
            <w:tcW w:w="20" w:type="dxa"/>
            <w:vAlign w:val="bottom"/>
            <w:tcBorders>
              <w:bottom w:val="single" w:sz="8" w:color="CCEEFF"/>
            </w:tcBorders>
            <w:vMerge w:val="continue"/>
            <w:shd w:val="clear" w:color="auto" w:fill="CCEEFF"/>
          </w:tcPr>
          <w:p>
            <w:pPr>
              <w:spacing w:after="0"/>
              <w:rPr>
                <w:sz w:val="14"/>
                <w:szCs w:val="14"/>
                <w:color w:val="auto"/>
              </w:rPr>
            </w:pPr>
          </w:p>
        </w:tc>
        <w:tc>
          <w:tcPr>
            <w:tcW w:w="940" w:type="dxa"/>
            <w:vAlign w:val="bottom"/>
            <w:tcBorders>
              <w:bottom w:val="single" w:sz="8" w:color="auto"/>
            </w:tcBorders>
            <w:gridSpan w:val="2"/>
            <w:vMerge w:val="continue"/>
            <w:shd w:val="clear" w:color="auto" w:fill="CCEEFF"/>
          </w:tcPr>
          <w:p>
            <w:pPr>
              <w:spacing w:after="0"/>
              <w:rPr>
                <w:sz w:val="14"/>
                <w:szCs w:val="14"/>
                <w:color w:val="auto"/>
              </w:rPr>
            </w:pPr>
          </w:p>
        </w:tc>
        <w:tc>
          <w:tcPr>
            <w:tcW w:w="4200" w:type="dxa"/>
            <w:vAlign w:val="bottom"/>
            <w:tcBorders>
              <w:bottom w:val="single" w:sz="8" w:color="CCEEFF"/>
            </w:tcBorders>
            <w:vMerge w:val="continue"/>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center"/>
              <w:ind w:right="234"/>
              <w:spacing w:after="0" w:line="124" w:lineRule="exact"/>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center"/>
              <w:ind w:right="235"/>
              <w:spacing w:after="0" w:line="124" w:lineRule="exact"/>
              <w:rPr>
                <w:sz w:val="20"/>
                <w:szCs w:val="20"/>
                <w:color w:val="auto"/>
              </w:rPr>
            </w:pPr>
            <w:r>
              <w:rPr>
                <w:rFonts w:ascii="Times New Roman" w:cs="Times New Roman" w:eastAsia="Times New Roman" w:hAnsi="Times New Roman"/>
                <w:sz w:val="11"/>
                <w:szCs w:val="11"/>
                <w:b w:val="1"/>
                <w:bCs w:val="1"/>
                <w:color w:val="auto"/>
              </w:rPr>
              <w:t>Gains</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center"/>
              <w:ind w:right="235"/>
              <w:spacing w:after="0" w:line="124" w:lineRule="exact"/>
              <w:rPr>
                <w:sz w:val="20"/>
                <w:szCs w:val="20"/>
                <w:color w:val="auto"/>
              </w:rPr>
            </w:pPr>
            <w:r>
              <w:rPr>
                <w:rFonts w:ascii="Times New Roman" w:cs="Times New Roman" w:eastAsia="Times New Roman" w:hAnsi="Times New Roman"/>
                <w:sz w:val="11"/>
                <w:szCs w:val="11"/>
                <w:b w:val="1"/>
                <w:bCs w:val="1"/>
                <w:color w:val="auto"/>
              </w:rPr>
              <w:t>Losses</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19,029</w:t>
            </w:r>
          </w:p>
        </w:tc>
        <w:tc>
          <w:tcPr>
            <w:tcW w:w="120" w:type="dxa"/>
            <w:vAlign w:val="bottom"/>
          </w:tcPr>
          <w:p>
            <w:pPr>
              <w:spacing w:after="0"/>
              <w:rPr>
                <w:sz w:val="14"/>
                <w:szCs w:val="14"/>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19,029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3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81,955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81,944</w:t>
            </w:r>
          </w:p>
        </w:tc>
        <w:tc>
          <w:tcPr>
            <w:tcW w:w="0" w:type="dxa"/>
            <w:vAlign w:val="bottom"/>
          </w:tcPr>
          <w:p>
            <w:pPr>
              <w:spacing w:after="0"/>
              <w:rPr>
                <w:sz w:val="1"/>
                <w:szCs w:val="1"/>
                <w:color w:val="auto"/>
              </w:rPr>
            </w:pPr>
          </w:p>
        </w:tc>
      </w:tr>
      <w:tr>
        <w:trPr>
          <w:trHeight w:val="189"/>
        </w:trPr>
        <w:tc>
          <w:tcPr>
            <w:tcW w:w="51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Municipal securities</w:t>
            </w:r>
          </w:p>
        </w:tc>
        <w:tc>
          <w:tcPr>
            <w:tcW w:w="300" w:type="dxa"/>
            <w:vAlign w:val="bottom"/>
          </w:tcPr>
          <w:p>
            <w:pPr>
              <w:spacing w:after="0"/>
              <w:rPr>
                <w:sz w:val="16"/>
                <w:szCs w:val="16"/>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9,205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9,201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agency bonds</w:t>
            </w:r>
          </w:p>
        </w:tc>
        <w:tc>
          <w:tcPr>
            <w:tcW w:w="3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30,587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30,611</w:t>
            </w:r>
          </w:p>
        </w:tc>
        <w:tc>
          <w:tcPr>
            <w:tcW w:w="0" w:type="dxa"/>
            <w:vAlign w:val="bottom"/>
          </w:tcPr>
          <w:p>
            <w:pPr>
              <w:spacing w:after="0"/>
              <w:rPr>
                <w:sz w:val="1"/>
                <w:szCs w:val="1"/>
                <w:color w:val="auto"/>
              </w:rPr>
            </w:pPr>
          </w:p>
        </w:tc>
      </w:tr>
      <w:tr>
        <w:trPr>
          <w:trHeight w:val="189"/>
        </w:trPr>
        <w:tc>
          <w:tcPr>
            <w:tcW w:w="51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U.S. government treasury bonds</w:t>
            </w:r>
          </w:p>
        </w:tc>
        <w:tc>
          <w:tcPr>
            <w:tcW w:w="300" w:type="dxa"/>
            <w:vAlign w:val="bottom"/>
          </w:tcPr>
          <w:p>
            <w:pPr>
              <w:spacing w:after="0"/>
              <w:rPr>
                <w:sz w:val="16"/>
                <w:szCs w:val="16"/>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47,702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47,733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deposits</w:t>
            </w: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4,500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4,500</w:t>
            </w:r>
          </w:p>
        </w:tc>
        <w:tc>
          <w:tcPr>
            <w:tcW w:w="0" w:type="dxa"/>
            <w:vAlign w:val="bottom"/>
          </w:tcPr>
          <w:p>
            <w:pPr>
              <w:spacing w:after="0"/>
              <w:rPr>
                <w:sz w:val="1"/>
                <w:szCs w:val="1"/>
                <w:color w:val="auto"/>
              </w:rPr>
            </w:pPr>
          </w:p>
        </w:tc>
      </w:tr>
      <w:tr>
        <w:trPr>
          <w:trHeight w:val="191"/>
        </w:trPr>
        <w:tc>
          <w:tcPr>
            <w:tcW w:w="51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Total Marketable Securities, Short-Term</w:t>
            </w: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color w:val="auto"/>
              </w:rPr>
              <w:t>192,978</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193,018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Long-term</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514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280" w:type="dxa"/>
            <w:vAlign w:val="bottom"/>
          </w:tcPr>
          <w:p>
            <w:pPr>
              <w:spacing w:after="0"/>
              <w:rPr>
                <w:sz w:val="19"/>
                <w:szCs w:val="19"/>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80" w:type="dxa"/>
            <w:vAlign w:val="bottom"/>
          </w:tcPr>
          <w:p>
            <w:pPr>
              <w:spacing w:after="0"/>
              <w:rPr>
                <w:sz w:val="19"/>
                <w:szCs w:val="19"/>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516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30, 2016</w:t>
            </w:r>
          </w:p>
        </w:tc>
        <w:tc>
          <w:tcPr>
            <w:tcW w:w="3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gridSpan w:val="2"/>
          </w:tcPr>
          <w:p>
            <w:pPr>
              <w:jc w:val="center"/>
              <w:ind w:right="420"/>
              <w:spacing w:after="0" w:line="115"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80" w:type="dxa"/>
            <w:vAlign w:val="bottom"/>
          </w:tcPr>
          <w:p>
            <w:pPr>
              <w:spacing w:after="0"/>
              <w:rPr>
                <w:sz w:val="10"/>
                <w:szCs w:val="10"/>
                <w:color w:val="auto"/>
              </w:rPr>
            </w:pPr>
          </w:p>
        </w:tc>
        <w:tc>
          <w:tcPr>
            <w:tcW w:w="1320" w:type="dxa"/>
            <w:vAlign w:val="bottom"/>
            <w:gridSpan w:val="2"/>
          </w:tcPr>
          <w:p>
            <w:pPr>
              <w:jc w:val="center"/>
              <w:ind w:right="400"/>
              <w:spacing w:after="0" w:line="115"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80" w:type="dxa"/>
            <w:vAlign w:val="bottom"/>
          </w:tcPr>
          <w:p>
            <w:pPr>
              <w:spacing w:after="0"/>
              <w:rPr>
                <w:sz w:val="10"/>
                <w:szCs w:val="10"/>
                <w:color w:val="auto"/>
              </w:rPr>
            </w:pPr>
          </w:p>
        </w:tc>
        <w:tc>
          <w:tcPr>
            <w:tcW w:w="1180" w:type="dxa"/>
            <w:vAlign w:val="bottom"/>
            <w:vMerge w:val="restart"/>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24"/>
        </w:trPr>
        <w:tc>
          <w:tcPr>
            <w:tcW w:w="5160" w:type="dxa"/>
            <w:vAlign w:val="bottom"/>
            <w:gridSpan w:val="4"/>
            <w:vMerge w:val="continue"/>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gridSpan w:val="2"/>
          </w:tcPr>
          <w:p>
            <w:pPr>
              <w:jc w:val="center"/>
              <w:ind w:right="420"/>
              <w:spacing w:after="0" w:line="124" w:lineRule="exact"/>
              <w:rPr>
                <w:sz w:val="20"/>
                <w:szCs w:val="20"/>
                <w:color w:val="auto"/>
              </w:rPr>
            </w:pPr>
            <w:r>
              <w:rPr>
                <w:rFonts w:ascii="Times New Roman" w:cs="Times New Roman" w:eastAsia="Times New Roman" w:hAnsi="Times New Roman"/>
                <w:sz w:val="11"/>
                <w:szCs w:val="11"/>
                <w:b w:val="1"/>
                <w:bCs w:val="1"/>
                <w:color w:val="auto"/>
              </w:rPr>
              <w:t>Cost</w:t>
            </w:r>
          </w:p>
        </w:tc>
        <w:tc>
          <w:tcPr>
            <w:tcW w:w="280" w:type="dxa"/>
            <w:vAlign w:val="bottom"/>
          </w:tcPr>
          <w:p>
            <w:pPr>
              <w:spacing w:after="0"/>
              <w:rPr>
                <w:sz w:val="10"/>
                <w:szCs w:val="10"/>
                <w:color w:val="auto"/>
              </w:rPr>
            </w:pPr>
          </w:p>
        </w:tc>
        <w:tc>
          <w:tcPr>
            <w:tcW w:w="1340" w:type="dxa"/>
            <w:vAlign w:val="bottom"/>
            <w:gridSpan w:val="2"/>
          </w:tcPr>
          <w:p>
            <w:pPr>
              <w:jc w:val="center"/>
              <w:ind w:right="420"/>
              <w:spacing w:after="0" w:line="124" w:lineRule="exact"/>
              <w:rPr>
                <w:sz w:val="20"/>
                <w:szCs w:val="20"/>
                <w:color w:val="auto"/>
              </w:rPr>
            </w:pPr>
            <w:r>
              <w:rPr>
                <w:rFonts w:ascii="Times New Roman" w:cs="Times New Roman" w:eastAsia="Times New Roman" w:hAnsi="Times New Roman"/>
                <w:sz w:val="11"/>
                <w:szCs w:val="11"/>
                <w:b w:val="1"/>
                <w:bCs w:val="1"/>
                <w:color w:val="auto"/>
              </w:rPr>
              <w:t>Gains</w:t>
            </w:r>
          </w:p>
        </w:tc>
        <w:tc>
          <w:tcPr>
            <w:tcW w:w="280" w:type="dxa"/>
            <w:vAlign w:val="bottom"/>
          </w:tcPr>
          <w:p>
            <w:pPr>
              <w:spacing w:after="0"/>
              <w:rPr>
                <w:sz w:val="10"/>
                <w:szCs w:val="10"/>
                <w:color w:val="auto"/>
              </w:rPr>
            </w:pPr>
          </w:p>
        </w:tc>
        <w:tc>
          <w:tcPr>
            <w:tcW w:w="1320" w:type="dxa"/>
            <w:vAlign w:val="bottom"/>
            <w:gridSpan w:val="2"/>
          </w:tcPr>
          <w:p>
            <w:pPr>
              <w:jc w:val="center"/>
              <w:ind w:right="400"/>
              <w:spacing w:after="0" w:line="124" w:lineRule="exact"/>
              <w:rPr>
                <w:sz w:val="20"/>
                <w:szCs w:val="20"/>
                <w:color w:val="auto"/>
              </w:rPr>
            </w:pPr>
            <w:r>
              <w:rPr>
                <w:rFonts w:ascii="Times New Roman" w:cs="Times New Roman" w:eastAsia="Times New Roman" w:hAnsi="Times New Roman"/>
                <w:sz w:val="11"/>
                <w:szCs w:val="11"/>
                <w:b w:val="1"/>
                <w:bCs w:val="1"/>
                <w:color w:val="auto"/>
              </w:rPr>
              <w:t>Losses</w:t>
            </w:r>
          </w:p>
        </w:tc>
        <w:tc>
          <w:tcPr>
            <w:tcW w:w="2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1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agency bonds</w:t>
            </w:r>
          </w:p>
        </w:tc>
        <w:tc>
          <w:tcPr>
            <w:tcW w:w="3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9,249</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9,260</w:t>
            </w:r>
          </w:p>
        </w:tc>
        <w:tc>
          <w:tcPr>
            <w:tcW w:w="0" w:type="dxa"/>
            <w:vAlign w:val="bottom"/>
          </w:tcPr>
          <w:p>
            <w:pPr>
              <w:spacing w:after="0"/>
              <w:rPr>
                <w:sz w:val="1"/>
                <w:szCs w:val="1"/>
                <w:color w:val="auto"/>
              </w:rPr>
            </w:pPr>
          </w:p>
        </w:tc>
      </w:tr>
      <w:tr>
        <w:trPr>
          <w:trHeight w:val="189"/>
        </w:trPr>
        <w:tc>
          <w:tcPr>
            <w:tcW w:w="51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300" w:type="dxa"/>
            <w:vAlign w:val="bottom"/>
          </w:tcPr>
          <w:p>
            <w:pPr>
              <w:spacing w:after="0"/>
              <w:rPr>
                <w:sz w:val="16"/>
                <w:szCs w:val="16"/>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43,101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43,212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treasury bonds</w:t>
            </w:r>
          </w:p>
        </w:tc>
        <w:tc>
          <w:tcPr>
            <w:tcW w:w="3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10,027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10,048</w:t>
            </w:r>
          </w:p>
        </w:tc>
        <w:tc>
          <w:tcPr>
            <w:tcW w:w="0" w:type="dxa"/>
            <w:vAlign w:val="bottom"/>
          </w:tcPr>
          <w:p>
            <w:pPr>
              <w:spacing w:after="0"/>
              <w:rPr>
                <w:sz w:val="1"/>
                <w:szCs w:val="1"/>
                <w:color w:val="auto"/>
              </w:rPr>
            </w:pPr>
          </w:p>
        </w:tc>
      </w:tr>
      <w:tr>
        <w:trPr>
          <w:trHeight w:val="189"/>
        </w:trPr>
        <w:tc>
          <w:tcPr>
            <w:tcW w:w="51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300" w:type="dxa"/>
            <w:vAlign w:val="bottom"/>
          </w:tcPr>
          <w:p>
            <w:pPr>
              <w:spacing w:after="0"/>
              <w:rPr>
                <w:sz w:val="16"/>
                <w:szCs w:val="16"/>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1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Marketable Securities, Long-Term</w:t>
            </w: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62,677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62,820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Short-term</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0" w:type="dxa"/>
            <w:vAlign w:val="bottom"/>
          </w:tcPr>
          <w:p>
            <w:pPr>
              <w:spacing w:after="0"/>
              <w:rPr>
                <w:sz w:val="24"/>
                <w:szCs w:val="24"/>
                <w:color w:val="auto"/>
              </w:rPr>
            </w:pPr>
          </w:p>
        </w:tc>
        <w:tc>
          <w:tcPr>
            <w:tcW w:w="514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20" w:type="dxa"/>
            <w:vAlign w:val="bottom"/>
            <w:gridSpan w:val="2"/>
            <w:vMerge w:val="restart"/>
            <w:shd w:val="clear" w:color="auto" w:fill="CCEEFF"/>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28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center"/>
              <w:ind w:right="420"/>
              <w:spacing w:after="0" w:line="118" w:lineRule="exact"/>
              <w:rPr>
                <w:sz w:val="20"/>
                <w:szCs w:val="20"/>
                <w:color w:val="auto"/>
              </w:rPr>
            </w:pPr>
            <w:r>
              <w:rPr>
                <w:rFonts w:ascii="Times New Roman" w:cs="Times New Roman" w:eastAsia="Times New Roman" w:hAnsi="Times New Roman"/>
                <w:sz w:val="11"/>
                <w:szCs w:val="11"/>
                <w:b w:val="1"/>
                <w:bCs w:val="1"/>
                <w:color w:val="auto"/>
              </w:rPr>
              <w:t>Gross</w:t>
            </w:r>
          </w:p>
        </w:tc>
        <w:tc>
          <w:tcPr>
            <w:tcW w:w="28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400"/>
              <w:spacing w:after="0" w:line="118" w:lineRule="exact"/>
              <w:rPr>
                <w:sz w:val="20"/>
                <w:szCs w:val="20"/>
                <w:color w:val="auto"/>
              </w:rPr>
            </w:pPr>
            <w:r>
              <w:rPr>
                <w:rFonts w:ascii="Times New Roman" w:cs="Times New Roman" w:eastAsia="Times New Roman" w:hAnsi="Times New Roman"/>
                <w:sz w:val="11"/>
                <w:szCs w:val="11"/>
                <w:b w:val="1"/>
                <w:bCs w:val="1"/>
                <w:color w:val="auto"/>
              </w:rPr>
              <w:t>Gross</w:t>
            </w:r>
          </w:p>
        </w:tc>
        <w:tc>
          <w:tcPr>
            <w:tcW w:w="2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shd w:val="clear" w:color="auto" w:fill="CCEEFF"/>
          </w:tcPr>
          <w:p>
            <w:pPr>
              <w:spacing w:after="0"/>
              <w:rPr>
                <w:sz w:val="10"/>
                <w:szCs w:val="10"/>
                <w:color w:val="auto"/>
              </w:rPr>
            </w:pPr>
          </w:p>
        </w:tc>
        <w:tc>
          <w:tcPr>
            <w:tcW w:w="51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December 31, 2015</w:t>
            </w:r>
          </w:p>
        </w:tc>
        <w:tc>
          <w:tcPr>
            <w:tcW w:w="300" w:type="dxa"/>
            <w:vAlign w:val="bottom"/>
            <w:shd w:val="clear" w:color="auto" w:fill="CCEEFF"/>
          </w:tcPr>
          <w:p>
            <w:pPr>
              <w:spacing w:after="0"/>
              <w:rPr>
                <w:sz w:val="10"/>
                <w:szCs w:val="10"/>
                <w:color w:val="auto"/>
              </w:rPr>
            </w:pPr>
          </w:p>
        </w:tc>
        <w:tc>
          <w:tcPr>
            <w:tcW w:w="1320" w:type="dxa"/>
            <w:vAlign w:val="bottom"/>
            <w:gridSpan w:val="2"/>
            <w:vMerge w:val="continue"/>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center"/>
              <w:ind w:right="420"/>
              <w:spacing w:after="0" w:line="115"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8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400"/>
              <w:spacing w:after="0" w:line="115"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8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44"/>
        </w:trPr>
        <w:tc>
          <w:tcPr>
            <w:tcW w:w="20" w:type="dxa"/>
            <w:vAlign w:val="bottom"/>
            <w:vMerge w:val="continue"/>
            <w:shd w:val="clear" w:color="auto" w:fill="CCEEFF"/>
          </w:tcPr>
          <w:p>
            <w:pPr>
              <w:spacing w:after="0"/>
              <w:rPr>
                <w:sz w:val="12"/>
                <w:szCs w:val="12"/>
                <w:color w:val="auto"/>
              </w:rPr>
            </w:pPr>
          </w:p>
        </w:tc>
        <w:tc>
          <w:tcPr>
            <w:tcW w:w="5140" w:type="dxa"/>
            <w:vAlign w:val="bottom"/>
            <w:gridSpan w:val="3"/>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420"/>
              <w:spacing w:after="0" w:line="124" w:lineRule="exact"/>
              <w:rPr>
                <w:sz w:val="20"/>
                <w:szCs w:val="20"/>
                <w:color w:val="auto"/>
              </w:rPr>
            </w:pPr>
            <w:r>
              <w:rPr>
                <w:rFonts w:ascii="Times New Roman" w:cs="Times New Roman" w:eastAsia="Times New Roman" w:hAnsi="Times New Roman"/>
                <w:sz w:val="11"/>
                <w:szCs w:val="11"/>
                <w:b w:val="1"/>
                <w:bCs w:val="1"/>
                <w:color w:val="auto"/>
              </w:rPr>
              <w:t>Cost</w:t>
            </w: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420"/>
              <w:spacing w:after="0" w:line="124" w:lineRule="exact"/>
              <w:rPr>
                <w:sz w:val="20"/>
                <w:szCs w:val="20"/>
                <w:color w:val="auto"/>
              </w:rPr>
            </w:pPr>
            <w:r>
              <w:rPr>
                <w:rFonts w:ascii="Times New Roman" w:cs="Times New Roman" w:eastAsia="Times New Roman" w:hAnsi="Times New Roman"/>
                <w:sz w:val="11"/>
                <w:szCs w:val="11"/>
                <w:b w:val="1"/>
                <w:bCs w:val="1"/>
                <w:color w:val="auto"/>
              </w:rPr>
              <w:t>Gains</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400"/>
              <w:spacing w:after="0" w:line="124" w:lineRule="exact"/>
              <w:rPr>
                <w:sz w:val="20"/>
                <w:szCs w:val="20"/>
                <w:color w:val="auto"/>
              </w:rPr>
            </w:pPr>
            <w:r>
              <w:rPr>
                <w:rFonts w:ascii="Times New Roman" w:cs="Times New Roman" w:eastAsia="Times New Roman" w:hAnsi="Times New Roman"/>
                <w:sz w:val="11"/>
                <w:szCs w:val="11"/>
                <w:b w:val="1"/>
                <w:bCs w:val="1"/>
                <w:color w:val="auto"/>
              </w:rPr>
              <w:t>Losses</w:t>
            </w:r>
          </w:p>
        </w:tc>
        <w:tc>
          <w:tcPr>
            <w:tcW w:w="28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Commercial paper</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38,537</w:t>
            </w:r>
          </w:p>
        </w:tc>
        <w:tc>
          <w:tcPr>
            <w:tcW w:w="120" w:type="dxa"/>
            <w:vAlign w:val="bottom"/>
          </w:tcPr>
          <w:p>
            <w:pPr>
              <w:spacing w:after="0"/>
              <w:rPr>
                <w:sz w:val="14"/>
                <w:szCs w:val="14"/>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38,537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3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179,765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179,520</w:t>
            </w:r>
          </w:p>
        </w:tc>
        <w:tc>
          <w:tcPr>
            <w:tcW w:w="0" w:type="dxa"/>
            <w:vAlign w:val="bottom"/>
          </w:tcPr>
          <w:p>
            <w:pPr>
              <w:spacing w:after="0"/>
              <w:rPr>
                <w:sz w:val="1"/>
                <w:szCs w:val="1"/>
                <w:color w:val="auto"/>
              </w:rPr>
            </w:pPr>
          </w:p>
        </w:tc>
      </w:tr>
      <w:tr>
        <w:trPr>
          <w:trHeight w:val="189"/>
        </w:trPr>
        <w:tc>
          <w:tcPr>
            <w:tcW w:w="51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U.S. dollar denominated foreign corporate bonds</w:t>
            </w:r>
          </w:p>
        </w:tc>
        <w:tc>
          <w:tcPr>
            <w:tcW w:w="300" w:type="dxa"/>
            <w:vAlign w:val="bottom"/>
          </w:tcPr>
          <w:p>
            <w:pPr>
              <w:spacing w:after="0"/>
              <w:rPr>
                <w:sz w:val="16"/>
                <w:szCs w:val="16"/>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510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 securities</w:t>
            </w:r>
          </w:p>
        </w:tc>
        <w:tc>
          <w:tcPr>
            <w:tcW w:w="3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14,209</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14,214</w:t>
            </w:r>
          </w:p>
        </w:tc>
        <w:tc>
          <w:tcPr>
            <w:tcW w:w="0" w:type="dxa"/>
            <w:vAlign w:val="bottom"/>
          </w:tcPr>
          <w:p>
            <w:pPr>
              <w:spacing w:after="0"/>
              <w:rPr>
                <w:sz w:val="1"/>
                <w:szCs w:val="1"/>
                <w:color w:val="auto"/>
              </w:rPr>
            </w:pPr>
          </w:p>
        </w:tc>
      </w:tr>
      <w:tr>
        <w:trPr>
          <w:trHeight w:val="189"/>
        </w:trPr>
        <w:tc>
          <w:tcPr>
            <w:tcW w:w="51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U.S. government agency bonds</w:t>
            </w:r>
          </w:p>
        </w:tc>
        <w:tc>
          <w:tcPr>
            <w:tcW w:w="300" w:type="dxa"/>
            <w:vAlign w:val="bottom"/>
          </w:tcPr>
          <w:p>
            <w:pPr>
              <w:spacing w:after="0"/>
              <w:rPr>
                <w:sz w:val="16"/>
                <w:szCs w:val="16"/>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75,172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75,119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treasury bonds</w:t>
            </w: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51,763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51,683</w:t>
            </w:r>
          </w:p>
        </w:tc>
        <w:tc>
          <w:tcPr>
            <w:tcW w:w="0" w:type="dxa"/>
            <w:vAlign w:val="bottom"/>
          </w:tcPr>
          <w:p>
            <w:pPr>
              <w:spacing w:after="0"/>
              <w:rPr>
                <w:sz w:val="1"/>
                <w:szCs w:val="1"/>
                <w:color w:val="auto"/>
              </w:rPr>
            </w:pPr>
          </w:p>
        </w:tc>
      </w:tr>
      <w:tr>
        <w:trPr>
          <w:trHeight w:val="191"/>
        </w:trPr>
        <w:tc>
          <w:tcPr>
            <w:tcW w:w="51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Total Marketable Securities, Short-Term</w:t>
            </w: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color w:val="auto"/>
              </w:rPr>
              <w:t>359,956</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359,581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Long-term</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514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20" w:type="dxa"/>
            <w:vAlign w:val="bottom"/>
            <w:gridSpan w:val="2"/>
            <w:vMerge w:val="restart"/>
            <w:shd w:val="clear" w:color="auto" w:fill="CCEEFF"/>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28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center"/>
              <w:ind w:right="420"/>
              <w:spacing w:after="0" w:line="118" w:lineRule="exact"/>
              <w:rPr>
                <w:sz w:val="20"/>
                <w:szCs w:val="20"/>
                <w:color w:val="auto"/>
              </w:rPr>
            </w:pPr>
            <w:r>
              <w:rPr>
                <w:rFonts w:ascii="Times New Roman" w:cs="Times New Roman" w:eastAsia="Times New Roman" w:hAnsi="Times New Roman"/>
                <w:sz w:val="11"/>
                <w:szCs w:val="11"/>
                <w:b w:val="1"/>
                <w:bCs w:val="1"/>
                <w:color w:val="auto"/>
              </w:rPr>
              <w:t>Gross</w:t>
            </w:r>
          </w:p>
        </w:tc>
        <w:tc>
          <w:tcPr>
            <w:tcW w:w="28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400"/>
              <w:spacing w:after="0" w:line="118" w:lineRule="exact"/>
              <w:rPr>
                <w:sz w:val="20"/>
                <w:szCs w:val="20"/>
                <w:color w:val="auto"/>
              </w:rPr>
            </w:pPr>
            <w:r>
              <w:rPr>
                <w:rFonts w:ascii="Times New Roman" w:cs="Times New Roman" w:eastAsia="Times New Roman" w:hAnsi="Times New Roman"/>
                <w:sz w:val="11"/>
                <w:szCs w:val="11"/>
                <w:b w:val="1"/>
                <w:bCs w:val="1"/>
                <w:color w:val="auto"/>
              </w:rPr>
              <w:t>Gross</w:t>
            </w:r>
          </w:p>
        </w:tc>
        <w:tc>
          <w:tcPr>
            <w:tcW w:w="2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shd w:val="clear" w:color="auto" w:fill="CCEEFF"/>
          </w:tcPr>
          <w:p>
            <w:pPr>
              <w:spacing w:after="0"/>
              <w:rPr>
                <w:sz w:val="10"/>
                <w:szCs w:val="10"/>
                <w:color w:val="auto"/>
              </w:rPr>
            </w:pPr>
          </w:p>
        </w:tc>
        <w:tc>
          <w:tcPr>
            <w:tcW w:w="51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December 31, 2015</w:t>
            </w:r>
          </w:p>
        </w:tc>
        <w:tc>
          <w:tcPr>
            <w:tcW w:w="300" w:type="dxa"/>
            <w:vAlign w:val="bottom"/>
            <w:shd w:val="clear" w:color="auto" w:fill="CCEEFF"/>
          </w:tcPr>
          <w:p>
            <w:pPr>
              <w:spacing w:after="0"/>
              <w:rPr>
                <w:sz w:val="10"/>
                <w:szCs w:val="10"/>
                <w:color w:val="auto"/>
              </w:rPr>
            </w:pPr>
          </w:p>
        </w:tc>
        <w:tc>
          <w:tcPr>
            <w:tcW w:w="1320" w:type="dxa"/>
            <w:vAlign w:val="bottom"/>
            <w:gridSpan w:val="2"/>
            <w:vMerge w:val="continue"/>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center"/>
              <w:ind w:right="420"/>
              <w:spacing w:after="0" w:line="115"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8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400"/>
              <w:spacing w:after="0" w:line="115"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8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24"/>
        </w:trPr>
        <w:tc>
          <w:tcPr>
            <w:tcW w:w="20" w:type="dxa"/>
            <w:vAlign w:val="bottom"/>
            <w:vMerge w:val="continue"/>
            <w:shd w:val="clear" w:color="auto" w:fill="CCEEFF"/>
          </w:tcPr>
          <w:p>
            <w:pPr>
              <w:spacing w:after="0"/>
              <w:rPr>
                <w:sz w:val="10"/>
                <w:szCs w:val="10"/>
                <w:color w:val="auto"/>
              </w:rPr>
            </w:pPr>
          </w:p>
        </w:tc>
        <w:tc>
          <w:tcPr>
            <w:tcW w:w="5140" w:type="dxa"/>
            <w:vAlign w:val="bottom"/>
            <w:gridSpan w:val="3"/>
            <w:vMerge w:val="continue"/>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420"/>
              <w:spacing w:after="0" w:line="124" w:lineRule="exact"/>
              <w:rPr>
                <w:sz w:val="20"/>
                <w:szCs w:val="20"/>
                <w:color w:val="auto"/>
              </w:rPr>
            </w:pPr>
            <w:r>
              <w:rPr>
                <w:rFonts w:ascii="Times New Roman" w:cs="Times New Roman" w:eastAsia="Times New Roman" w:hAnsi="Times New Roman"/>
                <w:sz w:val="11"/>
                <w:szCs w:val="11"/>
                <w:b w:val="1"/>
                <w:bCs w:val="1"/>
                <w:color w:val="auto"/>
              </w:rPr>
              <w:t>Cost</w:t>
            </w:r>
          </w:p>
        </w:tc>
        <w:tc>
          <w:tcPr>
            <w:tcW w:w="28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center"/>
              <w:ind w:right="420"/>
              <w:spacing w:after="0" w:line="124" w:lineRule="exact"/>
              <w:rPr>
                <w:sz w:val="20"/>
                <w:szCs w:val="20"/>
                <w:color w:val="auto"/>
              </w:rPr>
            </w:pPr>
            <w:r>
              <w:rPr>
                <w:rFonts w:ascii="Times New Roman" w:cs="Times New Roman" w:eastAsia="Times New Roman" w:hAnsi="Times New Roman"/>
                <w:sz w:val="11"/>
                <w:szCs w:val="11"/>
                <w:b w:val="1"/>
                <w:bCs w:val="1"/>
                <w:color w:val="auto"/>
              </w:rPr>
              <w:t>Gains</w:t>
            </w:r>
          </w:p>
        </w:tc>
        <w:tc>
          <w:tcPr>
            <w:tcW w:w="28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right="400"/>
              <w:spacing w:after="0" w:line="124" w:lineRule="exact"/>
              <w:rPr>
                <w:sz w:val="20"/>
                <w:szCs w:val="20"/>
                <w:color w:val="auto"/>
              </w:rPr>
            </w:pPr>
            <w:r>
              <w:rPr>
                <w:rFonts w:ascii="Times New Roman" w:cs="Times New Roman" w:eastAsia="Times New Roman" w:hAnsi="Times New Roman"/>
                <w:sz w:val="11"/>
                <w:szCs w:val="11"/>
                <w:b w:val="1"/>
                <w:bCs w:val="1"/>
                <w:color w:val="auto"/>
              </w:rPr>
              <w:t>Losses</w:t>
            </w:r>
          </w:p>
        </w:tc>
        <w:tc>
          <w:tcPr>
            <w:tcW w:w="280" w:type="dxa"/>
            <w:vAlign w:val="bottom"/>
            <w:shd w:val="clear" w:color="auto" w:fill="CCEEFF"/>
          </w:tcPr>
          <w:p>
            <w:pPr>
              <w:spacing w:after="0"/>
              <w:rPr>
                <w:sz w:val="10"/>
                <w:szCs w:val="10"/>
                <w:color w:val="auto"/>
              </w:rPr>
            </w:pPr>
          </w:p>
        </w:tc>
        <w:tc>
          <w:tcPr>
            <w:tcW w:w="11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 government agency bonds</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43,853</w:t>
            </w:r>
          </w:p>
        </w:tc>
        <w:tc>
          <w:tcPr>
            <w:tcW w:w="120" w:type="dxa"/>
            <w:vAlign w:val="bottom"/>
          </w:tcPr>
          <w:p>
            <w:pPr>
              <w:spacing w:after="0"/>
              <w:rPr>
                <w:sz w:val="14"/>
                <w:szCs w:val="14"/>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4"/>
                <w:szCs w:val="14"/>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43,675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3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64,012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63,803</w:t>
            </w:r>
          </w:p>
        </w:tc>
        <w:tc>
          <w:tcPr>
            <w:tcW w:w="0" w:type="dxa"/>
            <w:vAlign w:val="bottom"/>
          </w:tcPr>
          <w:p>
            <w:pPr>
              <w:spacing w:after="0"/>
              <w:rPr>
                <w:sz w:val="1"/>
                <w:szCs w:val="1"/>
                <w:color w:val="auto"/>
              </w:rPr>
            </w:pPr>
          </w:p>
        </w:tc>
      </w:tr>
      <w:tr>
        <w:trPr>
          <w:trHeight w:val="189"/>
        </w:trPr>
        <w:tc>
          <w:tcPr>
            <w:tcW w:w="51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U.S. government treasury bonds</w:t>
            </w:r>
          </w:p>
        </w:tc>
        <w:tc>
          <w:tcPr>
            <w:tcW w:w="300" w:type="dxa"/>
            <w:vAlign w:val="bottom"/>
          </w:tcPr>
          <w:p>
            <w:pPr>
              <w:spacing w:after="0"/>
              <w:rPr>
                <w:sz w:val="16"/>
                <w:szCs w:val="16"/>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37,673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37,566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 securities</w:t>
            </w:r>
          </w:p>
        </w:tc>
        <w:tc>
          <w:tcPr>
            <w:tcW w:w="3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3,993</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3,991</w:t>
            </w:r>
          </w:p>
        </w:tc>
        <w:tc>
          <w:tcPr>
            <w:tcW w:w="0" w:type="dxa"/>
            <w:vAlign w:val="bottom"/>
          </w:tcPr>
          <w:p>
            <w:pPr>
              <w:spacing w:after="0"/>
              <w:rPr>
                <w:sz w:val="1"/>
                <w:szCs w:val="1"/>
                <w:color w:val="auto"/>
              </w:rPr>
            </w:pPr>
          </w:p>
        </w:tc>
      </w:tr>
      <w:tr>
        <w:trPr>
          <w:trHeight w:val="189"/>
        </w:trPr>
        <w:tc>
          <w:tcPr>
            <w:tcW w:w="51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300" w:type="dxa"/>
            <w:vAlign w:val="bottom"/>
          </w:tcPr>
          <w:p>
            <w:pPr>
              <w:spacing w:after="0"/>
              <w:rPr>
                <w:sz w:val="16"/>
                <w:szCs w:val="16"/>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2,338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2,335</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1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Marketable Securities, Long-Term</w:t>
            </w: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151,869</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151,370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jc w:val="both"/>
        <w:ind w:firstLine="293"/>
        <w:spacing w:after="0" w:line="260" w:lineRule="auto"/>
        <w:rPr>
          <w:sz w:val="20"/>
          <w:szCs w:val="20"/>
          <w:color w:val="auto"/>
        </w:rPr>
      </w:pPr>
      <w:r>
        <w:rPr>
          <w:rFonts w:ascii="Times New Roman" w:cs="Times New Roman" w:eastAsia="Times New Roman" w:hAnsi="Times New Roman"/>
          <w:sz w:val="14"/>
          <w:szCs w:val="14"/>
          <w:color w:val="auto"/>
        </w:rPr>
        <w:t>Cash and cash equivalents are not included in the table above as the gross unrealized gains and losses are not material. We have no material short-term or long-term investments that have been in a continuous unrealized loss position for greater than twelve months as of September 30, 2016 and December 31, 2015. Amounts reclassified to earnings from accumulated other comprehensive income related to unrealized gains or losses were immaterial for the three and nine months ended September 30, 2016 and 2015. For the three and nine months ended September 30, 2016 and 2015, realized gains or losses were immaterial.</w:t>
      </w:r>
    </w:p>
    <w:p>
      <w:pPr>
        <w:spacing w:after="0" w:line="141"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Our fixed-income securities investment portfolio consists of commercial paper, corporate bonds, municipal securities, U.S. government agency bonds, U.S. government treasury bonds, U.S. dollar denominated foreign corporate bonds, certificates of deposits, and asset-backed securities that have a maximum effective maturity of 27 months. The securities that we invest in are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460"/>
          </w:cols>
          <w:pgMar w:left="220" w:top="125" w:right="21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 these investments upon maturity or sale. The weighted average remaining duration of these securities was approximately 8 months and 9 months as of September 30, 2016 and December 31, 2015, respectively.</w:t>
      </w:r>
    </w:p>
    <w:p>
      <w:pPr>
        <w:spacing w:after="0" w:line="141"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As the carrying value approximates the fair value for our short-term and long-term marketable securities shown in the tables above, the following table summarizes the fair value of our short-term and long-term marketable securities classified by maturity as of September 30, 2016 and December 31, 2015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September 30, 2016</w:t>
            </w:r>
          </w:p>
        </w:tc>
        <w:tc>
          <w:tcPr>
            <w:tcW w:w="160" w:type="dxa"/>
            <w:vAlign w:val="bottom"/>
          </w:tcPr>
          <w:p>
            <w:pPr>
              <w:spacing w:after="0"/>
              <w:rPr>
                <w:sz w:val="13"/>
                <w:szCs w:val="13"/>
                <w:color w:val="auto"/>
              </w:rPr>
            </w:pP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December 31, 2015</w:t>
            </w:r>
          </w:p>
        </w:tc>
      </w:tr>
      <w:tr>
        <w:trPr>
          <w:trHeight w:val="184"/>
        </w:trPr>
        <w:tc>
          <w:tcPr>
            <w:tcW w:w="8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in one year or less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193,018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359,581</w:t>
            </w:r>
          </w:p>
        </w:tc>
      </w:tr>
      <w:tr>
        <w:trPr>
          <w:trHeight w:val="189"/>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in greater than one year</w:t>
            </w:r>
          </w:p>
        </w:tc>
        <w:tc>
          <w:tcPr>
            <w:tcW w:w="160" w:type="dxa"/>
            <w:vAlign w:val="bottom"/>
          </w:tcPr>
          <w:p>
            <w:pPr>
              <w:spacing w:after="0"/>
              <w:rPr>
                <w:sz w:val="16"/>
                <w:szCs w:val="16"/>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62,820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151,370</w:t>
            </w:r>
          </w:p>
        </w:tc>
      </w:tr>
      <w:tr>
        <w:trPr>
          <w:trHeight w:val="21"/>
        </w:trPr>
        <w:tc>
          <w:tcPr>
            <w:tcW w:w="8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5"/>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available for sale short-term and long-term marketable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255,838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510,951</w:t>
            </w:r>
          </w:p>
        </w:tc>
      </w:tr>
      <w:tr>
        <w:trPr>
          <w:trHeight w:val="20"/>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124"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We measure the fair value of our cash equivalents and marketable securities as the price that would be received from selling an asset or paid to transfer a liability in an orderly transaction between market participants at the measurement date. We use the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Level 1 </w:t>
      </w:r>
      <w:r>
        <w:rPr>
          <w:rFonts w:ascii="Times New Roman" w:cs="Times New Roman" w:eastAsia="Times New Roman" w:hAnsi="Times New Roman"/>
          <w:sz w:val="14"/>
          <w:szCs w:val="14"/>
          <w:color w:val="auto"/>
        </w:rPr>
        <w:t>— Quoted (unadjusted) prices in active markets for identical assets or liabilities.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Level 1 assets consist of money market funds and U.S. government treasury bonds. We did not hold any Level 1 liabilities as of September 30, 2016 and December 31, 2015.</w:t>
      </w:r>
    </w:p>
    <w:p>
      <w:pPr>
        <w:spacing w:after="0" w:line="173" w:lineRule="exact"/>
        <w:rPr>
          <w:sz w:val="20"/>
          <w:szCs w:val="20"/>
          <w:color w:val="auto"/>
        </w:rPr>
      </w:pPr>
    </w:p>
    <w:p>
      <w:pPr>
        <w:jc w:val="both"/>
        <w:ind w:firstLine="252"/>
        <w:spacing w:after="0" w:line="285" w:lineRule="auto"/>
        <w:rPr>
          <w:sz w:val="20"/>
          <w:szCs w:val="20"/>
          <w:color w:val="auto"/>
        </w:rPr>
      </w:pPr>
      <w:r>
        <w:rPr>
          <w:rFonts w:ascii="Times New Roman" w:cs="Times New Roman" w:eastAsia="Times New Roman" w:hAnsi="Times New Roman"/>
          <w:sz w:val="14"/>
          <w:szCs w:val="14"/>
          <w:i w:val="1"/>
          <w:iCs w:val="1"/>
          <w:color w:val="auto"/>
        </w:rPr>
        <w:t xml:space="preserve">Level 2 </w:t>
      </w:r>
      <w:r>
        <w:rPr>
          <w:rFonts w:ascii="Times New Roman" w:cs="Times New Roman" w:eastAsia="Times New Roman" w:hAnsi="Times New Roman"/>
          <w:sz w:val="14"/>
          <w:szCs w:val="14"/>
          <w:color w:val="auto"/>
        </w:rPr>
        <w:t>— Observable inputs other than quoted prices included in Level 1, such as quoted prices for similar assets or liabilities in active markets, quoted prices for identical or similar assets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liabilities in markets that are not active, or other inputs that are observable or can be corroborated by observable market data for substantially the full term of the asset or liability.</w:t>
      </w:r>
    </w:p>
    <w:p>
      <w:pPr>
        <w:spacing w:after="0" w:line="123"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4"/>
          <w:szCs w:val="14"/>
          <w:color w:val="auto"/>
        </w:rPr>
        <w:t>Our Level 2 assets consist of commercial paper, corporate bonds, certificates of deposits, U.S. government agency bonds, asset-backed securities, municipal securities, U.S. dollar denominated foreign corporate bonds and our Israeli funds that are mainly invested in insurance policies and foreign currency forward contracts. We obtain fair values for our Level 2 investments.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 The foreign currency forward contracts are valued using observable inputs such as quotations on forward foreign exchange rates. We did not hold any Level 2 liabilities as of September 30, 2016 or December 31, 2015.</w:t>
      </w:r>
    </w:p>
    <w:p>
      <w:pPr>
        <w:spacing w:after="0" w:line="139" w:lineRule="exact"/>
        <w:rPr>
          <w:sz w:val="20"/>
          <w:szCs w:val="20"/>
          <w:color w:val="auto"/>
        </w:rPr>
      </w:pPr>
    </w:p>
    <w:p>
      <w:pPr>
        <w:jc w:val="both"/>
        <w:ind w:firstLine="252"/>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Level 3 </w:t>
      </w:r>
      <w:r>
        <w:rPr>
          <w:rFonts w:ascii="Times New Roman" w:cs="Times New Roman" w:eastAsia="Times New Roman" w:hAnsi="Times New Roman"/>
          <w:sz w:val="14"/>
          <w:szCs w:val="14"/>
          <w:color w:val="auto"/>
        </w:rPr>
        <w:t>— Unobservable inputs to the valuation methodology that are supported by little or no market activity and that are significant to the measurement of the fair value of the assets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liabilities. Level 3 assets and liabilities include those whose fair value measurements are determined using pricing models, discounted cash flow methodologies or similar valuation techniques, as well as significant management judgment or estimation.</w:t>
      </w:r>
    </w:p>
    <w:p>
      <w:pPr>
        <w:spacing w:after="0" w:line="136"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Our Level 3 assets consist of long-term notes receivable and are included in other assets on our consolidated balance sheet. In the third quarter of 2016, we entered into long-term notes receivable and, as of September 30, 2016, the fair value approximated its carrying value of $2.0 million.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460"/>
          </w:cols>
          <w:pgMar w:left="220" w:top="125" w:right="21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summarize our financial assets measured at fair value on a recurring basis as of September 30, 2016 and December 31, 2015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Quoted Prices in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340" w:type="dxa"/>
            <w:vAlign w:val="bottom"/>
          </w:tcPr>
          <w:p>
            <w:pPr>
              <w:spacing w:after="0"/>
              <w:rPr>
                <w:sz w:val="11"/>
                <w:szCs w:val="11"/>
                <w:color w:val="auto"/>
              </w:rPr>
            </w:pPr>
          </w:p>
        </w:tc>
        <w:tc>
          <w:tcPr>
            <w:tcW w:w="1340" w:type="dxa"/>
            <w:vAlign w:val="bottom"/>
            <w:vMerge w:val="restart"/>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0" w:type="dxa"/>
            <w:vAlign w:val="bottom"/>
          </w:tcPr>
          <w:p>
            <w:pPr>
              <w:spacing w:after="0"/>
              <w:rPr>
                <w:sz w:val="1"/>
                <w:szCs w:val="1"/>
                <w:color w:val="auto"/>
              </w:rPr>
            </w:pPr>
          </w:p>
        </w:tc>
      </w:tr>
      <w:tr>
        <w:trPr>
          <w:trHeight w:val="115"/>
        </w:trPr>
        <w:tc>
          <w:tcPr>
            <w:tcW w:w="5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b w:val="1"/>
                <w:bCs w:val="1"/>
                <w:color w:val="auto"/>
              </w:rPr>
              <w:t>Balance as of</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4"/>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Active Markets for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4"/>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Identical Assets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Observable Inputs</w:t>
            </w:r>
          </w:p>
        </w:tc>
        <w:tc>
          <w:tcPr>
            <w:tcW w:w="340" w:type="dxa"/>
            <w:vAlign w:val="bottom"/>
          </w:tcPr>
          <w:p>
            <w:pPr>
              <w:spacing w:after="0"/>
              <w:rPr>
                <w:sz w:val="10"/>
                <w:szCs w:val="10"/>
                <w:color w:val="auto"/>
              </w:rPr>
            </w:pPr>
          </w:p>
        </w:tc>
        <w:tc>
          <w:tcPr>
            <w:tcW w:w="1340" w:type="dxa"/>
            <w:vAlign w:val="bottom"/>
          </w:tcPr>
          <w:p>
            <w:pPr>
              <w:jc w:val="center"/>
              <w:ind w:right="52"/>
              <w:spacing w:after="0" w:line="115" w:lineRule="exact"/>
              <w:rPr>
                <w:sz w:val="20"/>
                <w:szCs w:val="20"/>
                <w:color w:val="auto"/>
              </w:rPr>
            </w:pPr>
            <w:r>
              <w:rPr>
                <w:rFonts w:ascii="Times New Roman" w:cs="Times New Roman" w:eastAsia="Times New Roman" w:hAnsi="Times New Roman"/>
                <w:sz w:val="11"/>
                <w:szCs w:val="11"/>
                <w:b w:val="1"/>
                <w:bCs w:val="1"/>
                <w:color w:val="auto"/>
              </w:rPr>
              <w:t>Observable Inputs</w:t>
            </w:r>
          </w:p>
        </w:tc>
        <w:tc>
          <w:tcPr>
            <w:tcW w:w="0" w:type="dxa"/>
            <w:vAlign w:val="bottom"/>
          </w:tcPr>
          <w:p>
            <w:pPr>
              <w:spacing w:after="0"/>
              <w:rPr>
                <w:sz w:val="1"/>
                <w:szCs w:val="1"/>
                <w:color w:val="auto"/>
              </w:rPr>
            </w:pPr>
          </w:p>
        </w:tc>
      </w:tr>
      <w:tr>
        <w:trPr>
          <w:trHeight w:val="152"/>
        </w:trPr>
        <w:tc>
          <w:tcPr>
            <w:tcW w:w="51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rPr>
              <w:t>September 30, 2016</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84"/>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Money market funds</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92,931</w:t>
            </w:r>
          </w:p>
        </w:tc>
        <w:tc>
          <w:tcPr>
            <w:tcW w:w="1100" w:type="dxa"/>
            <w:vAlign w:val="bottom"/>
            <w:gridSpan w:val="3"/>
          </w:tcPr>
          <w:p>
            <w:pPr>
              <w:jc w:val="right"/>
              <w:ind w:right="78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92,931</w:t>
            </w:r>
          </w:p>
        </w:tc>
        <w:tc>
          <w:tcPr>
            <w:tcW w:w="26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Short-term investments:</w:t>
            </w: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Commercial paper</w:t>
            </w:r>
          </w:p>
        </w:tc>
        <w:tc>
          <w:tcPr>
            <w:tcW w:w="180" w:type="dxa"/>
            <w:vAlign w:val="bottom"/>
          </w:tcPr>
          <w:p>
            <w:pPr>
              <w:spacing w:after="0"/>
              <w:rPr>
                <w:sz w:val="16"/>
                <w:szCs w:val="16"/>
                <w:color w:val="auto"/>
              </w:rPr>
            </w:pPr>
          </w:p>
        </w:tc>
        <w:tc>
          <w:tcPr>
            <w:tcW w:w="126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19,029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19,029</w:t>
            </w:r>
          </w:p>
        </w:tc>
        <w:tc>
          <w:tcPr>
            <w:tcW w:w="340" w:type="dxa"/>
            <w:vAlign w:val="bottom"/>
          </w:tcPr>
          <w:p>
            <w:pPr>
              <w:spacing w:after="0"/>
              <w:rPr>
                <w:sz w:val="16"/>
                <w:szCs w:val="16"/>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Corporate bonds</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81,944</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81,944</w:t>
            </w:r>
          </w:p>
        </w:tc>
        <w:tc>
          <w:tcPr>
            <w:tcW w:w="3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5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Municipal securities</w:t>
            </w:r>
          </w:p>
        </w:tc>
        <w:tc>
          <w:tcPr>
            <w:tcW w:w="180" w:type="dxa"/>
            <w:vAlign w:val="bottom"/>
          </w:tcPr>
          <w:p>
            <w:pPr>
              <w:spacing w:after="0"/>
              <w:rPr>
                <w:sz w:val="16"/>
                <w:szCs w:val="16"/>
                <w:color w:val="auto"/>
              </w:rPr>
            </w:pPr>
          </w:p>
        </w:tc>
        <w:tc>
          <w:tcPr>
            <w:tcW w:w="126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9,201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9,201</w:t>
            </w:r>
          </w:p>
        </w:tc>
        <w:tc>
          <w:tcPr>
            <w:tcW w:w="340" w:type="dxa"/>
            <w:vAlign w:val="bottom"/>
          </w:tcPr>
          <w:p>
            <w:pPr>
              <w:spacing w:after="0"/>
              <w:rPr>
                <w:sz w:val="16"/>
                <w:szCs w:val="16"/>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U.S. government agency bonds</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30,611</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30,611</w:t>
            </w:r>
          </w:p>
        </w:tc>
        <w:tc>
          <w:tcPr>
            <w:tcW w:w="3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5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U.S. government treasury bonds</w:t>
            </w:r>
          </w:p>
        </w:tc>
        <w:tc>
          <w:tcPr>
            <w:tcW w:w="180" w:type="dxa"/>
            <w:vAlign w:val="bottom"/>
          </w:tcPr>
          <w:p>
            <w:pPr>
              <w:spacing w:after="0"/>
              <w:rPr>
                <w:sz w:val="16"/>
                <w:szCs w:val="16"/>
                <w:color w:val="auto"/>
              </w:rPr>
            </w:pPr>
          </w:p>
        </w:tc>
        <w:tc>
          <w:tcPr>
            <w:tcW w:w="126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47,733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47,733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Certificates of deposits</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4,500</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3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investments:</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U.S. government agency bonds</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9,260</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9,260</w:t>
            </w:r>
          </w:p>
        </w:tc>
        <w:tc>
          <w:tcPr>
            <w:tcW w:w="3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5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Corporate bonds</w:t>
            </w:r>
          </w:p>
        </w:tc>
        <w:tc>
          <w:tcPr>
            <w:tcW w:w="180" w:type="dxa"/>
            <w:vAlign w:val="bottom"/>
          </w:tcPr>
          <w:p>
            <w:pPr>
              <w:spacing w:after="0"/>
              <w:rPr>
                <w:sz w:val="16"/>
                <w:szCs w:val="16"/>
                <w:color w:val="auto"/>
              </w:rPr>
            </w:pPr>
          </w:p>
        </w:tc>
        <w:tc>
          <w:tcPr>
            <w:tcW w:w="126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43,212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43,212</w:t>
            </w:r>
          </w:p>
        </w:tc>
        <w:tc>
          <w:tcPr>
            <w:tcW w:w="340" w:type="dxa"/>
            <w:vAlign w:val="bottom"/>
          </w:tcPr>
          <w:p>
            <w:pPr>
              <w:spacing w:after="0"/>
              <w:rPr>
                <w:sz w:val="16"/>
                <w:szCs w:val="16"/>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U.S. government treasury bonds</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10,048</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10,048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5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Asset-backed securities</w:t>
            </w:r>
          </w:p>
        </w:tc>
        <w:tc>
          <w:tcPr>
            <w:tcW w:w="180" w:type="dxa"/>
            <w:vAlign w:val="bottom"/>
          </w:tcPr>
          <w:p>
            <w:pPr>
              <w:spacing w:after="0"/>
              <w:rPr>
                <w:sz w:val="16"/>
                <w:szCs w:val="16"/>
                <w:color w:val="auto"/>
              </w:rPr>
            </w:pPr>
          </w:p>
        </w:tc>
        <w:tc>
          <w:tcPr>
            <w:tcW w:w="126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300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340" w:type="dxa"/>
            <w:vAlign w:val="bottom"/>
          </w:tcPr>
          <w:p>
            <w:pPr>
              <w:spacing w:after="0"/>
              <w:rPr>
                <w:sz w:val="16"/>
                <w:szCs w:val="16"/>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Prepaid expenses and other current assets:</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Israeli funds</w:t>
            </w:r>
          </w:p>
        </w:tc>
        <w:tc>
          <w:tcPr>
            <w:tcW w:w="180" w:type="dxa"/>
            <w:vAlign w:val="bottom"/>
          </w:tcPr>
          <w:p>
            <w:pPr>
              <w:spacing w:after="0"/>
              <w:rPr>
                <w:sz w:val="16"/>
                <w:szCs w:val="16"/>
                <w:color w:val="auto"/>
              </w:rPr>
            </w:pPr>
          </w:p>
        </w:tc>
        <w:tc>
          <w:tcPr>
            <w:tcW w:w="126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2,527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2,527</w:t>
            </w:r>
          </w:p>
        </w:tc>
        <w:tc>
          <w:tcPr>
            <w:tcW w:w="340" w:type="dxa"/>
            <w:vAlign w:val="bottom"/>
          </w:tcPr>
          <w:p>
            <w:pPr>
              <w:spacing w:after="0"/>
              <w:rPr>
                <w:sz w:val="16"/>
                <w:szCs w:val="16"/>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Long-term notes receivable</w:t>
            </w:r>
          </w:p>
        </w:tc>
        <w:tc>
          <w:tcPr>
            <w:tcW w:w="180" w:type="dxa"/>
            <w:vAlign w:val="bottom"/>
          </w:tcPr>
          <w:p>
            <w:pPr>
              <w:spacing w:after="0"/>
              <w:rPr>
                <w:sz w:val="16"/>
                <w:szCs w:val="16"/>
                <w:color w:val="auto"/>
              </w:rPr>
            </w:pPr>
          </w:p>
        </w:tc>
        <w:tc>
          <w:tcPr>
            <w:tcW w:w="126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2,000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5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353,296</w:t>
            </w:r>
          </w:p>
        </w:tc>
        <w:tc>
          <w:tcPr>
            <w:tcW w:w="1100" w:type="dxa"/>
            <w:vAlign w:val="bottom"/>
            <w:tcBorders>
              <w:bottom w:val="single" w:sz="8" w:color="CCEEFF"/>
            </w:tcBorders>
            <w:gridSpan w:val="3"/>
            <w:shd w:val="clear" w:color="auto" w:fill="CCEEFF"/>
          </w:tcPr>
          <w:p>
            <w:pPr>
              <w:jc w:val="right"/>
              <w:ind w:right="78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96"/>
              </w:rPr>
              <w:t>150,712</w:t>
            </w:r>
          </w:p>
        </w:tc>
        <w:tc>
          <w:tcPr>
            <w:tcW w:w="260" w:type="dxa"/>
            <w:vAlign w:val="bottom"/>
            <w:tcBorders>
              <w:bottom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200,584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center"/>
              <w:ind w:right="580"/>
              <w:spacing w:after="0"/>
              <w:rPr>
                <w:sz w:val="20"/>
                <w:szCs w:val="20"/>
                <w:color w:val="auto"/>
              </w:rPr>
            </w:pPr>
            <w:r>
              <w:rPr>
                <w:rFonts w:ascii="Times New Roman" w:cs="Times New Roman" w:eastAsia="Times New Roman" w:hAnsi="Times New Roman"/>
                <w:sz w:val="11"/>
                <w:szCs w:val="11"/>
                <w:b w:val="1"/>
                <w:bCs w:val="1"/>
                <w:color w:val="auto"/>
              </w:rPr>
              <w:t>Quoted Prices in</w:t>
            </w:r>
          </w:p>
        </w:tc>
        <w:tc>
          <w:tcPr>
            <w:tcW w:w="340" w:type="dxa"/>
            <w:vAlign w:val="bottom"/>
          </w:tcPr>
          <w:p>
            <w:pPr>
              <w:spacing w:after="0"/>
              <w:rPr>
                <w:sz w:val="24"/>
                <w:szCs w:val="24"/>
                <w:color w:val="auto"/>
              </w:rPr>
            </w:pPr>
          </w:p>
        </w:tc>
        <w:tc>
          <w:tcPr>
            <w:tcW w:w="13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0" w:type="dxa"/>
            <w:vAlign w:val="bottom"/>
          </w:tcPr>
          <w:p>
            <w:pPr>
              <w:spacing w:after="0"/>
              <w:rPr>
                <w:sz w:val="1"/>
                <w:szCs w:val="1"/>
                <w:color w:val="auto"/>
              </w:rPr>
            </w:pPr>
          </w:p>
        </w:tc>
      </w:tr>
      <w:tr>
        <w:trPr>
          <w:trHeight w:val="115"/>
        </w:trPr>
        <w:tc>
          <w:tcPr>
            <w:tcW w:w="5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gridSpan w:val="3"/>
            <w:vMerge w:val="restart"/>
          </w:tcPr>
          <w:p>
            <w:pPr>
              <w:jc w:val="right"/>
              <w:ind w:right="384"/>
              <w:spacing w:after="0"/>
              <w:rPr>
                <w:sz w:val="20"/>
                <w:szCs w:val="20"/>
                <w:color w:val="auto"/>
              </w:rPr>
            </w:pPr>
            <w:r>
              <w:rPr>
                <w:rFonts w:ascii="Times New Roman" w:cs="Times New Roman" w:eastAsia="Times New Roman" w:hAnsi="Times New Roman"/>
                <w:sz w:val="11"/>
                <w:szCs w:val="11"/>
                <w:b w:val="1"/>
                <w:bCs w:val="1"/>
                <w:color w:val="auto"/>
              </w:rPr>
              <w:t>Balance as of</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00" w:type="dxa"/>
            <w:vAlign w:val="bottom"/>
            <w:gridSpan w:val="5"/>
          </w:tcPr>
          <w:p>
            <w:pPr>
              <w:jc w:val="center"/>
              <w:ind w:right="480"/>
              <w:spacing w:after="0" w:line="115" w:lineRule="exact"/>
              <w:rPr>
                <w:sz w:val="20"/>
                <w:szCs w:val="20"/>
                <w:color w:val="auto"/>
              </w:rPr>
            </w:pPr>
            <w:r>
              <w:rPr>
                <w:rFonts w:ascii="Times New Roman" w:cs="Times New Roman" w:eastAsia="Times New Roman" w:hAnsi="Times New Roman"/>
                <w:sz w:val="11"/>
                <w:szCs w:val="11"/>
                <w:b w:val="1"/>
                <w:bCs w:val="1"/>
                <w:color w:val="auto"/>
              </w:rPr>
              <w:t>Active Markets for</w:t>
            </w:r>
          </w:p>
        </w:tc>
        <w:tc>
          <w:tcPr>
            <w:tcW w:w="3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4"/>
          </w:tcPr>
          <w:p>
            <w:pPr>
              <w:jc w:val="center"/>
              <w:ind w:right="600"/>
              <w:spacing w:after="0" w:line="115" w:lineRule="exact"/>
              <w:rPr>
                <w:sz w:val="20"/>
                <w:szCs w:val="20"/>
                <w:color w:val="auto"/>
              </w:rPr>
            </w:pPr>
            <w:r>
              <w:rPr>
                <w:rFonts w:ascii="Times New Roman" w:cs="Times New Roman" w:eastAsia="Times New Roman" w:hAnsi="Times New Roman"/>
                <w:sz w:val="11"/>
                <w:szCs w:val="11"/>
                <w:b w:val="1"/>
                <w:bCs w:val="1"/>
                <w:color w:val="auto"/>
              </w:rPr>
              <w:t>Identical Assets</w:t>
            </w:r>
          </w:p>
        </w:tc>
        <w:tc>
          <w:tcPr>
            <w:tcW w:w="340" w:type="dxa"/>
            <w:vAlign w:val="bottom"/>
          </w:tcPr>
          <w:p>
            <w:pPr>
              <w:spacing w:after="0"/>
              <w:rPr>
                <w:sz w:val="10"/>
                <w:szCs w:val="10"/>
                <w:color w:val="auto"/>
              </w:rPr>
            </w:pPr>
          </w:p>
        </w:tc>
        <w:tc>
          <w:tcPr>
            <w:tcW w:w="1340" w:type="dxa"/>
            <w:vAlign w:val="bottom"/>
          </w:tcPr>
          <w:p>
            <w:pPr>
              <w:jc w:val="center"/>
              <w:ind w:right="272"/>
              <w:spacing w:after="0" w:line="115" w:lineRule="exact"/>
              <w:rPr>
                <w:sz w:val="20"/>
                <w:szCs w:val="20"/>
                <w:color w:val="auto"/>
              </w:rPr>
            </w:pPr>
            <w:r>
              <w:rPr>
                <w:rFonts w:ascii="Times New Roman" w:cs="Times New Roman" w:eastAsia="Times New Roman" w:hAnsi="Times New Roman"/>
                <w:sz w:val="11"/>
                <w:szCs w:val="11"/>
                <w:b w:val="1"/>
                <w:bCs w:val="1"/>
                <w:color w:val="auto"/>
              </w:rPr>
              <w:t>Observable Inputs</w:t>
            </w:r>
          </w:p>
        </w:tc>
        <w:tc>
          <w:tcPr>
            <w:tcW w:w="0" w:type="dxa"/>
            <w:vAlign w:val="bottom"/>
          </w:tcPr>
          <w:p>
            <w:pPr>
              <w:spacing w:after="0"/>
              <w:rPr>
                <w:sz w:val="1"/>
                <w:szCs w:val="1"/>
                <w:color w:val="auto"/>
              </w:rPr>
            </w:pPr>
          </w:p>
        </w:tc>
      </w:tr>
      <w:tr>
        <w:trPr>
          <w:trHeight w:val="152"/>
        </w:trPr>
        <w:tc>
          <w:tcPr>
            <w:tcW w:w="51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20" w:type="dxa"/>
            <w:vAlign w:val="bottom"/>
            <w:gridSpan w:val="4"/>
          </w:tcPr>
          <w:p>
            <w:pPr>
              <w:jc w:val="right"/>
              <w:ind w:right="244"/>
              <w:spacing w:after="0"/>
              <w:rPr>
                <w:sz w:val="20"/>
                <w:szCs w:val="20"/>
                <w:color w:val="auto"/>
              </w:rPr>
            </w:pPr>
            <w:r>
              <w:rPr>
                <w:rFonts w:ascii="Times New Roman" w:cs="Times New Roman" w:eastAsia="Times New Roman" w:hAnsi="Times New Roman"/>
                <w:sz w:val="11"/>
                <w:szCs w:val="11"/>
                <w:b w:val="1"/>
                <w:bCs w:val="1"/>
                <w:color w:val="auto"/>
              </w:rPr>
              <w:t>December 31, 2015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tcPr>
          <w:p>
            <w:pPr>
              <w:jc w:val="center"/>
              <w:ind w:right="7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340" w:type="dxa"/>
            <w:vAlign w:val="bottom"/>
          </w:tcPr>
          <w:p>
            <w:pPr>
              <w:spacing w:after="0"/>
              <w:rPr>
                <w:sz w:val="13"/>
                <w:szCs w:val="13"/>
                <w:color w:val="auto"/>
              </w:rPr>
            </w:pPr>
          </w:p>
        </w:tc>
        <w:tc>
          <w:tcPr>
            <w:tcW w:w="1340" w:type="dxa"/>
            <w:vAlign w:val="bottom"/>
          </w:tcPr>
          <w:p>
            <w:pPr>
              <w:jc w:val="center"/>
              <w:ind w:right="292"/>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0" w:type="dxa"/>
            <w:vAlign w:val="bottom"/>
          </w:tcPr>
          <w:p>
            <w:pPr>
              <w:spacing w:after="0"/>
              <w:rPr>
                <w:sz w:val="1"/>
                <w:szCs w:val="1"/>
                <w:color w:val="auto"/>
              </w:rPr>
            </w:pPr>
          </w:p>
        </w:tc>
      </w:tr>
      <w:tr>
        <w:trPr>
          <w:trHeight w:val="184"/>
        </w:trPr>
        <w:tc>
          <w:tcPr>
            <w:tcW w:w="5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Money market funds</w:t>
            </w:r>
          </w:p>
        </w:tc>
        <w:tc>
          <w:tcPr>
            <w:tcW w:w="180" w:type="dxa"/>
            <w:vAlign w:val="bottom"/>
          </w:tcPr>
          <w:p>
            <w:pPr>
              <w:spacing w:after="0"/>
              <w:rPr>
                <w:sz w:val="16"/>
                <w:szCs w:val="16"/>
                <w:color w:val="auto"/>
              </w:rPr>
            </w:pPr>
          </w:p>
        </w:tc>
        <w:tc>
          <w:tcPr>
            <w:tcW w:w="1260" w:type="dxa"/>
            <w:vAlign w:val="bottom"/>
            <w:gridSpan w:val="2"/>
          </w:tcPr>
          <w:p>
            <w:pPr>
              <w:jc w:val="right"/>
              <w:ind w:right="364"/>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70,148</w:t>
            </w:r>
          </w:p>
        </w:tc>
        <w:tc>
          <w:tcPr>
            <w:tcW w:w="58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70,148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Commercial paper</w:t>
            </w: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36,887</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36,887</w:t>
            </w:r>
          </w:p>
        </w:tc>
        <w:tc>
          <w:tcPr>
            <w:tcW w:w="0" w:type="dxa"/>
            <w:vAlign w:val="bottom"/>
          </w:tcPr>
          <w:p>
            <w:pPr>
              <w:spacing w:after="0"/>
              <w:rPr>
                <w:sz w:val="1"/>
                <w:szCs w:val="1"/>
                <w:color w:val="auto"/>
              </w:rPr>
            </w:pPr>
          </w:p>
        </w:tc>
      </w:tr>
      <w:tr>
        <w:trPr>
          <w:trHeight w:val="189"/>
        </w:trPr>
        <w:tc>
          <w:tcPr>
            <w:tcW w:w="5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U.S. government agency bonds</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3,599</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Corporate bonds</w:t>
            </w: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189"/>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Short-term investments:</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Commercial paper</w:t>
            </w: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38,537</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38,537</w:t>
            </w:r>
          </w:p>
        </w:tc>
        <w:tc>
          <w:tcPr>
            <w:tcW w:w="0" w:type="dxa"/>
            <w:vAlign w:val="bottom"/>
          </w:tcPr>
          <w:p>
            <w:pPr>
              <w:spacing w:after="0"/>
              <w:rPr>
                <w:sz w:val="1"/>
                <w:szCs w:val="1"/>
                <w:color w:val="auto"/>
              </w:rPr>
            </w:pPr>
          </w:p>
        </w:tc>
      </w:tr>
      <w:tr>
        <w:trPr>
          <w:trHeight w:val="189"/>
        </w:trPr>
        <w:tc>
          <w:tcPr>
            <w:tcW w:w="5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Corporate bonds</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179,520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179,520</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U.S. dollar denominated foreign corporate bonds</w:t>
            </w: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189"/>
        </w:trPr>
        <w:tc>
          <w:tcPr>
            <w:tcW w:w="5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Municipal securities</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14,214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14,214</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U.S. government agency bonds</w:t>
            </w: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75,119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75,119</w:t>
            </w:r>
          </w:p>
        </w:tc>
        <w:tc>
          <w:tcPr>
            <w:tcW w:w="0" w:type="dxa"/>
            <w:vAlign w:val="bottom"/>
          </w:tcPr>
          <w:p>
            <w:pPr>
              <w:spacing w:after="0"/>
              <w:rPr>
                <w:sz w:val="1"/>
                <w:szCs w:val="1"/>
                <w:color w:val="auto"/>
              </w:rPr>
            </w:pPr>
          </w:p>
        </w:tc>
      </w:tr>
      <w:tr>
        <w:trPr>
          <w:trHeight w:val="189"/>
        </w:trPr>
        <w:tc>
          <w:tcPr>
            <w:tcW w:w="5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U.S. government treasury bonds</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51,683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51,683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investments:</w:t>
            </w: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 government agency bonds</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43,675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43,675</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Corporate bonds</w:t>
            </w: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63,803</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63,803</w:t>
            </w:r>
          </w:p>
        </w:tc>
        <w:tc>
          <w:tcPr>
            <w:tcW w:w="0" w:type="dxa"/>
            <w:vAlign w:val="bottom"/>
          </w:tcPr>
          <w:p>
            <w:pPr>
              <w:spacing w:after="0"/>
              <w:rPr>
                <w:sz w:val="1"/>
                <w:szCs w:val="1"/>
                <w:color w:val="auto"/>
              </w:rPr>
            </w:pPr>
          </w:p>
        </w:tc>
      </w:tr>
      <w:tr>
        <w:trPr>
          <w:trHeight w:val="189"/>
        </w:trPr>
        <w:tc>
          <w:tcPr>
            <w:tcW w:w="5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 government treasury bonds</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37,566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37,566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Municipal securities</w:t>
            </w: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3,991</w:t>
            </w:r>
          </w:p>
        </w:tc>
        <w:tc>
          <w:tcPr>
            <w:tcW w:w="0" w:type="dxa"/>
            <w:vAlign w:val="bottom"/>
          </w:tcPr>
          <w:p>
            <w:pPr>
              <w:spacing w:after="0"/>
              <w:rPr>
                <w:sz w:val="1"/>
                <w:szCs w:val="1"/>
                <w:color w:val="auto"/>
              </w:rPr>
            </w:pPr>
          </w:p>
        </w:tc>
      </w:tr>
      <w:tr>
        <w:trPr>
          <w:trHeight w:val="189"/>
        </w:trPr>
        <w:tc>
          <w:tcPr>
            <w:tcW w:w="5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Asset-backed securities</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2,335</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Prepaid expenses and other current assets:</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Israeli funds</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2,436</w:t>
            </w:r>
          </w:p>
        </w:tc>
        <w:tc>
          <w:tcPr>
            <w:tcW w:w="0" w:type="dxa"/>
            <w:vAlign w:val="bottom"/>
          </w:tcPr>
          <w:p>
            <w:pPr>
              <w:spacing w:after="0"/>
              <w:rPr>
                <w:sz w:val="1"/>
                <w:szCs w:val="1"/>
                <w:color w:val="auto"/>
              </w:rPr>
            </w:pP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5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624,646</w:t>
            </w:r>
          </w:p>
        </w:tc>
        <w:tc>
          <w:tcPr>
            <w:tcW w:w="58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159,397</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465,249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ind w:right="212"/>
              <w:spacing w:after="0"/>
              <w:rPr>
                <w:sz w:val="20"/>
                <w:szCs w:val="20"/>
                <w:color w:val="auto"/>
              </w:rPr>
            </w:pPr>
            <w:r>
              <w:rPr>
                <w:rFonts w:ascii="Times New Roman" w:cs="Times New Roman" w:eastAsia="Times New Roman" w:hAnsi="Times New Roman"/>
                <w:sz w:val="14"/>
                <w:szCs w:val="14"/>
                <w:color w:val="auto"/>
              </w:rPr>
              <w:t>11</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5" w:right="21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Derivative Financial Instruments</w:t>
      </w:r>
    </w:p>
    <w:p>
      <w:pPr>
        <w:spacing w:after="0" w:line="177"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4"/>
          <w:szCs w:val="14"/>
          <w:color w:val="auto"/>
        </w:rPr>
        <w:t>We have in the past and may in the future enter into foreign currency forward contracts to minimize the short-term impact of foreign currency exchange rate fluctuations on certain trade and intercompany receivables and payables, which are classified within level 2 of the fair value hierarchy. The net loss on these forward contracts was immaterial for the nine months ended September 30, 2016. The net gain or loss from the settlement of these foreign currency forward contracts is recorded in Interest and other income (expenses), net in the Consolidated Statement of Operations. We had no foreign exchange forward contracts outstanding as of September 30, 2016. Certain of our investment in private companies contain embedded derivatives, which do not require bifurcation as we have elected to measure these investments at fair value.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Balance Sheet Components</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Inventories consist of the following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60" w:type="dxa"/>
            <w:vAlign w:val="bottom"/>
          </w:tcPr>
          <w:p>
            <w:pPr>
              <w:spacing w:after="0"/>
              <w:rPr>
                <w:sz w:val="11"/>
                <w:szCs w:val="11"/>
                <w:color w:val="auto"/>
              </w:rPr>
            </w:pPr>
          </w:p>
        </w:tc>
        <w:tc>
          <w:tcPr>
            <w:tcW w:w="1220" w:type="dxa"/>
            <w:vAlign w:val="bottom"/>
          </w:tcPr>
          <w:p>
            <w:pPr>
              <w:jc w:val="right"/>
              <w:ind w:right="355"/>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2"/>
        </w:trPr>
        <w:tc>
          <w:tcPr>
            <w:tcW w:w="83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2016</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2015</w:t>
            </w:r>
          </w:p>
        </w:tc>
      </w:tr>
      <w:tr>
        <w:trPr>
          <w:trHeight w:val="184"/>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12,018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9,950</w:t>
            </w:r>
          </w:p>
        </w:tc>
      </w:tr>
      <w:tr>
        <w:trPr>
          <w:trHeight w:val="189"/>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240" w:type="dxa"/>
            <w:vAlign w:val="bottom"/>
          </w:tcPr>
          <w:p>
            <w:pPr>
              <w:spacing w:after="0"/>
              <w:rPr>
                <w:sz w:val="16"/>
                <w:szCs w:val="16"/>
                <w:color w:val="auto"/>
              </w:rPr>
            </w:pP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1,488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7,067</w:t>
            </w:r>
          </w:p>
        </w:tc>
      </w:tr>
      <w:tr>
        <w:trPr>
          <w:trHeight w:val="21"/>
        </w:trPr>
        <w:tc>
          <w:tcPr>
            <w:tcW w:w="8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0"/>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12,835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2,448</w:t>
            </w:r>
          </w:p>
        </w:tc>
      </w:tr>
      <w:tr>
        <w:trPr>
          <w:trHeight w:val="179"/>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Inventories</w:t>
            </w:r>
          </w:p>
        </w:tc>
        <w:tc>
          <w:tcPr>
            <w:tcW w:w="2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26,341</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19,465</w:t>
            </w:r>
          </w:p>
        </w:tc>
      </w:tr>
      <w:tr>
        <w:trPr>
          <w:trHeight w:val="21"/>
        </w:trPr>
        <w:tc>
          <w:tcPr>
            <w:tcW w:w="8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Work in process includes costs to produce our clear aligner and intra-oral products. Finished goods primarily represent our intra-oral scanners and ancillary products that support our clear aligner products.</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Accrued liabilities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Accrued liabilities consist of the following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60" w:type="dxa"/>
            <w:vAlign w:val="bottom"/>
          </w:tcPr>
          <w:p>
            <w:pPr>
              <w:spacing w:after="0"/>
              <w:rPr>
                <w:sz w:val="11"/>
                <w:szCs w:val="11"/>
                <w:color w:val="auto"/>
              </w:rPr>
            </w:pPr>
          </w:p>
        </w:tc>
        <w:tc>
          <w:tcPr>
            <w:tcW w:w="1220" w:type="dxa"/>
            <w:vAlign w:val="bottom"/>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2"/>
        </w:trPr>
        <w:tc>
          <w:tcPr>
            <w:tcW w:w="83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2016</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2015</w:t>
            </w:r>
          </w:p>
        </w:tc>
      </w:tr>
      <w:tr>
        <w:trPr>
          <w:trHeight w:val="184"/>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65,848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55,430</w:t>
            </w:r>
          </w:p>
        </w:tc>
      </w:tr>
      <w:tr>
        <w:trPr>
          <w:trHeight w:val="189"/>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sales and marketing expenses</w:t>
            </w:r>
          </w:p>
        </w:tc>
        <w:tc>
          <w:tcPr>
            <w:tcW w:w="240" w:type="dxa"/>
            <w:vAlign w:val="bottom"/>
          </w:tcPr>
          <w:p>
            <w:pPr>
              <w:spacing w:after="0"/>
              <w:rPr>
                <w:sz w:val="16"/>
                <w:szCs w:val="16"/>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14,303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7,071</w:t>
            </w:r>
          </w:p>
        </w:tc>
      </w:tr>
      <w:tr>
        <w:trPr>
          <w:trHeight w:val="21"/>
        </w:trPr>
        <w:tc>
          <w:tcPr>
            <w:tcW w:w="8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sales rebates</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9,258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8,486</w:t>
            </w:r>
          </w:p>
        </w:tc>
      </w:tr>
      <w:tr>
        <w:trPr>
          <w:trHeight w:val="189"/>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sales tax and value added tax</w:t>
            </w:r>
          </w:p>
        </w:tc>
        <w:tc>
          <w:tcPr>
            <w:tcW w:w="240" w:type="dxa"/>
            <w:vAlign w:val="bottom"/>
          </w:tcPr>
          <w:p>
            <w:pPr>
              <w:spacing w:after="0"/>
              <w:rPr>
                <w:sz w:val="16"/>
                <w:szCs w:val="16"/>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6,087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4,801</w:t>
            </w:r>
          </w:p>
        </w:tc>
      </w:tr>
      <w:tr>
        <w:trPr>
          <w:trHeight w:val="21"/>
        </w:trPr>
        <w:tc>
          <w:tcPr>
            <w:tcW w:w="8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income taxes</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5,043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2,646</w:t>
            </w:r>
          </w:p>
        </w:tc>
      </w:tr>
      <w:tr>
        <w:trPr>
          <w:trHeight w:val="189"/>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professional fees</w:t>
            </w:r>
          </w:p>
        </w:tc>
        <w:tc>
          <w:tcPr>
            <w:tcW w:w="240" w:type="dxa"/>
            <w:vAlign w:val="bottom"/>
          </w:tcPr>
          <w:p>
            <w:pPr>
              <w:spacing w:after="0"/>
              <w:rPr>
                <w:sz w:val="16"/>
                <w:szCs w:val="16"/>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4,947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2,775</w:t>
            </w:r>
          </w:p>
        </w:tc>
      </w:tr>
      <w:tr>
        <w:trPr>
          <w:trHeight w:val="21"/>
        </w:trPr>
        <w:tc>
          <w:tcPr>
            <w:tcW w:w="8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warranty</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3,397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2,638</w:t>
            </w:r>
          </w:p>
        </w:tc>
      </w:tr>
      <w:tr>
        <w:trPr>
          <w:trHeight w:val="189"/>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240" w:type="dxa"/>
            <w:vAlign w:val="bottom"/>
          </w:tcPr>
          <w:p>
            <w:pPr>
              <w:spacing w:after="0"/>
              <w:rPr>
                <w:sz w:val="16"/>
                <w:szCs w:val="16"/>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23,655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23,918</w:t>
            </w:r>
          </w:p>
        </w:tc>
      </w:tr>
      <w:tr>
        <w:trPr>
          <w:trHeight w:val="21"/>
        </w:trPr>
        <w:tc>
          <w:tcPr>
            <w:tcW w:w="8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5"/>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Accrued Liabilities</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132,538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107,765</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Warranty</w:t>
      </w:r>
    </w:p>
    <w:p>
      <w:pPr>
        <w:spacing w:after="0" w:line="124"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We regularly review the accrued warranty balances and update these balances based on historical warranty trends. Actual warranty costs incurred have not materially differed from those accrued; however, future actual warranty costs could differ from the estimated amounts.</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Clear Aligner</w:t>
      </w:r>
    </w:p>
    <w:p>
      <w:pPr>
        <w:spacing w:after="0" w:line="124"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We warrant our Invisalign products against material defects until the Invisalign case is complete. We accrue for warranty costs in cost of net revenues upon shipment of products. The amount of accrued estimated warranty costs is primarily based on historical experience as to product failures as well as current information on replacement costs.</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Scanners</w:t>
      </w:r>
    </w:p>
    <w:p>
      <w:pPr>
        <w:spacing w:after="0" w:line="124"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We warrant our scanners for a period of one year and accrue for these warranty costs which includes materials and labor based on estimated historical repair costs. Extended service packages may be purchased for additional fees.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460"/>
          </w:cols>
          <w:pgMar w:left="220" w:top="125" w:right="21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Warranty accrual as of September 30, 2016 and 2015 consists of the following activity (in thousands):</w:t>
      </w:r>
    </w:p>
    <w:p>
      <w:pPr>
        <w:spacing w:after="0" w:line="128"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1"/>
          <w:szCs w:val="11"/>
          <w:b w:val="1"/>
          <w:bCs w:val="1"/>
          <w:color w:val="auto"/>
        </w:rPr>
        <w:t>Nine Months Ended</w:t>
      </w:r>
    </w:p>
    <w:p>
      <w:pPr>
        <w:spacing w:after="0" w:line="3"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1"/>
          <w:szCs w:val="11"/>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9525</wp:posOffset>
            </wp:positionV>
            <wp:extent cx="196405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64055" cy="635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3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rPr>
              <w:t>2016</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2015</w:t>
            </w:r>
          </w:p>
        </w:tc>
      </w:tr>
      <w:tr>
        <w:trPr>
          <w:trHeight w:val="184"/>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940" w:type="dxa"/>
            <w:vAlign w:val="bottom"/>
            <w:tcBorders>
              <w:bottom w:val="single" w:sz="8" w:color="CCEEFF"/>
            </w:tcBorders>
            <w:shd w:val="clear" w:color="auto" w:fill="CCEEFF"/>
          </w:tcPr>
          <w:p>
            <w:pPr>
              <w:jc w:val="right"/>
              <w:ind w:right="79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2,638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3,148</w:t>
            </w:r>
          </w:p>
        </w:tc>
      </w:tr>
      <w:tr>
        <w:trPr>
          <w:trHeight w:val="189"/>
        </w:trPr>
        <w:tc>
          <w:tcPr>
            <w:tcW w:w="8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Charged to cost of net revenues</w:t>
            </w:r>
          </w:p>
        </w:tc>
        <w:tc>
          <w:tcPr>
            <w:tcW w:w="940" w:type="dxa"/>
            <w:vAlign w:val="bottom"/>
          </w:tcPr>
          <w:p>
            <w:pPr>
              <w:spacing w:after="0"/>
              <w:rPr>
                <w:sz w:val="16"/>
                <w:szCs w:val="16"/>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3,440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1,308</w:t>
            </w:r>
          </w:p>
        </w:tc>
      </w:tr>
      <w:tr>
        <w:trPr>
          <w:trHeight w:val="21"/>
        </w:trPr>
        <w:tc>
          <w:tcPr>
            <w:tcW w:w="8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0"/>
        </w:trPr>
        <w:tc>
          <w:tcPr>
            <w:tcW w:w="83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Actual warranty expenditures</w:t>
            </w:r>
          </w:p>
        </w:tc>
        <w:tc>
          <w:tcPr>
            <w:tcW w:w="9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(2,681)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w:t>
            </w:r>
          </w:p>
        </w:tc>
      </w:tr>
      <w:tr>
        <w:trPr>
          <w:trHeight w:val="179"/>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940" w:type="dxa"/>
            <w:vAlign w:val="bottom"/>
            <w:tcBorders>
              <w:top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3,397</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2,711</w:t>
            </w:r>
          </w:p>
        </w:tc>
      </w:tr>
      <w:tr>
        <w:trPr>
          <w:trHeight w:val="21"/>
        </w:trPr>
        <w:tc>
          <w:tcPr>
            <w:tcW w:w="8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
        </w:trPr>
        <w:tc>
          <w:tcPr>
            <w:tcW w:w="8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Equity Method Investments</w:t>
      </w:r>
    </w:p>
    <w:p>
      <w:pPr>
        <w:spacing w:after="0" w:line="177"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On July 25, 2016, we acquired a 17% equity interest, on a fully diluted basis, in SmileDirectClub, LLC (“SDC”) for $46.7 million, and account for this as an equity method investment. Thus, we include our proportional share of SDC's earnings or losses in our consolidated statement of operations. The investment is reported on our consolidated balance sheet as a single amount under Equity Method Investments, and we record our share of their operating results within Equity in losses of investee in our consolidated statement of operations. As of September 30, 2016, the balance of our equity method investments was $46.3 million.</w:t>
      </w:r>
    </w:p>
    <w:p>
      <w:pPr>
        <w:spacing w:after="0" w:line="141"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Concurrently with the investment, on July 25, 2016, we also entered into a supply agreement with SDC to manufacture clear aligners for SDC's doctor-led, at-home program for simple teeth straightening. The term of the supply agreement expires on December 31, 2019. We commenced supplying aligners to SDC in October 2016. The sale of aligners to SDC and the income from under the supply agreement will be reported in our Clear Aligner business segment after eliminating outstanding intercompany transactions.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Goodwill and Intangible Long-lived Assets</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change in the carrying value of goodwill for the nine months ended September 30, 2016, all attributable to our Clear Aligner reporting unit, is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91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1"/>
                <w:szCs w:val="11"/>
                <w:b w:val="1"/>
                <w:bCs w:val="1"/>
                <w:color w:val="auto"/>
              </w:rPr>
              <w:t>Clear Aligner</w:t>
            </w:r>
          </w:p>
        </w:tc>
      </w:tr>
      <w:tr>
        <w:trPr>
          <w:trHeight w:val="184"/>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2015</w:t>
            </w:r>
          </w:p>
        </w:tc>
        <w:tc>
          <w:tcPr>
            <w:tcW w:w="46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61,074</w:t>
            </w:r>
          </w:p>
        </w:tc>
      </w:tr>
      <w:tr>
        <w:trPr>
          <w:trHeight w:val="210"/>
        </w:trPr>
        <w:tc>
          <w:tcPr>
            <w:tcW w:w="918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4"/>
                <w:szCs w:val="14"/>
                <w:color w:val="auto"/>
              </w:rPr>
              <w:t xml:space="preserve">Adjustments </w:t>
            </w:r>
            <w:r>
              <w:rPr>
                <w:rFonts w:ascii="Times New Roman" w:cs="Times New Roman" w:eastAsia="Times New Roman" w:hAnsi="Times New Roman"/>
                <w:sz w:val="19"/>
                <w:szCs w:val="19"/>
                <w:color w:val="auto"/>
                <w:vertAlign w:val="superscript"/>
              </w:rPr>
              <w:t>1</w:t>
            </w:r>
          </w:p>
        </w:tc>
        <w:tc>
          <w:tcPr>
            <w:tcW w:w="4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rPr>
              <w:t>121</w:t>
            </w:r>
          </w:p>
        </w:tc>
      </w:tr>
      <w:tr>
        <w:trPr>
          <w:trHeight w:val="205"/>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September 30, 2016</w:t>
            </w:r>
          </w:p>
        </w:tc>
        <w:tc>
          <w:tcPr>
            <w:tcW w:w="46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61,195</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60" w:hanging="56"/>
        <w:spacing w:after="0"/>
        <w:tabs>
          <w:tab w:leader="none" w:pos="6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adjustments to goodwill during the nine months ended September 30, 2016 were due to foreign currency translation.</w:t>
      </w:r>
    </w:p>
    <w:p>
      <w:pPr>
        <w:spacing w:after="0" w:line="147" w:lineRule="exact"/>
        <w:rPr>
          <w:sz w:val="20"/>
          <w:szCs w:val="20"/>
          <w:color w:val="auto"/>
        </w:rPr>
      </w:pPr>
    </w:p>
    <w:p>
      <w:pPr>
        <w:ind w:firstLine="252"/>
        <w:spacing w:after="0" w:line="282" w:lineRule="auto"/>
        <w:rPr>
          <w:sz w:val="20"/>
          <w:szCs w:val="20"/>
          <w:color w:val="auto"/>
        </w:rPr>
      </w:pPr>
      <w:r>
        <w:rPr>
          <w:rFonts w:ascii="Times New Roman" w:cs="Times New Roman" w:eastAsia="Times New Roman" w:hAnsi="Times New Roman"/>
          <w:sz w:val="14"/>
          <w:szCs w:val="14"/>
          <w:color w:val="auto"/>
        </w:rPr>
        <w:t>During the fourth quarter of fiscal 2015, we performed the annual goodwill impairment testing and found no impairment events as the fair value of our Clear Aligner reporting unit was significantly in excess of the carrying value.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460"/>
          </w:cols>
          <w:pgMar w:left="220" w:top="125" w:right="21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Intangible Long-Lived Assets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Acquired intangible assets are being amortized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20" w:type="dxa"/>
            <w:vAlign w:val="bottom"/>
          </w:tcPr>
          <w:p>
            <w:pPr>
              <w:spacing w:after="0"/>
              <w:rPr>
                <w:sz w:val="11"/>
                <w:szCs w:val="11"/>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120" w:type="dxa"/>
            <w:vAlign w:val="bottom"/>
          </w:tcPr>
          <w:p>
            <w:pPr>
              <w:spacing w:after="0"/>
              <w:rPr>
                <w:sz w:val="11"/>
                <w:szCs w:val="11"/>
                <w:color w:val="auto"/>
              </w:rPr>
            </w:pPr>
          </w:p>
        </w:tc>
        <w:tc>
          <w:tcPr>
            <w:tcW w:w="17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Gross Carrying Amount as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00" w:type="dxa"/>
            <w:vAlign w:val="bottom"/>
          </w:tcPr>
          <w:p>
            <w:pPr>
              <w:spacing w:after="0"/>
              <w:rPr>
                <w:sz w:val="11"/>
                <w:szCs w:val="11"/>
                <w:color w:val="auto"/>
              </w:rPr>
            </w:pPr>
          </w:p>
        </w:tc>
        <w:tc>
          <w:tcPr>
            <w:tcW w:w="1380" w:type="dxa"/>
            <w:vAlign w:val="bottom"/>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rPr>
              <w:t>Net Carrying</w:t>
            </w:r>
          </w:p>
        </w:tc>
        <w:tc>
          <w:tcPr>
            <w:tcW w:w="0" w:type="dxa"/>
            <w:vAlign w:val="bottom"/>
          </w:tcPr>
          <w:p>
            <w:pPr>
              <w:spacing w:after="0"/>
              <w:rPr>
                <w:sz w:val="1"/>
                <w:szCs w:val="1"/>
                <w:color w:val="auto"/>
              </w:rPr>
            </w:pPr>
          </w:p>
        </w:tc>
      </w:tr>
      <w:tr>
        <w:trPr>
          <w:trHeight w:val="115"/>
        </w:trPr>
        <w:tc>
          <w:tcPr>
            <w:tcW w:w="4020" w:type="dxa"/>
            <w:vAlign w:val="bottom"/>
          </w:tcPr>
          <w:p>
            <w:pPr>
              <w:spacing w:after="0"/>
              <w:rPr>
                <w:sz w:val="10"/>
                <w:szCs w:val="10"/>
                <w:color w:val="auto"/>
              </w:rPr>
            </w:pPr>
          </w:p>
        </w:tc>
        <w:tc>
          <w:tcPr>
            <w:tcW w:w="126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Amortization Period</w:t>
            </w:r>
          </w:p>
        </w:tc>
        <w:tc>
          <w:tcPr>
            <w:tcW w:w="120" w:type="dxa"/>
            <w:vAlign w:val="bottom"/>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jc w:val="center"/>
              <w:ind w:right="114"/>
              <w:spacing w:after="0" w:line="115" w:lineRule="exact"/>
              <w:rPr>
                <w:sz w:val="20"/>
                <w:szCs w:val="20"/>
                <w:color w:val="auto"/>
              </w:rPr>
            </w:pPr>
            <w:r>
              <w:rPr>
                <w:rFonts w:ascii="Times New Roman" w:cs="Times New Roman" w:eastAsia="Times New Roman" w:hAnsi="Times New Roman"/>
                <w:sz w:val="11"/>
                <w:szCs w:val="11"/>
                <w:b w:val="1"/>
                <w:bCs w:val="1"/>
                <w:color w:val="auto"/>
              </w:rPr>
              <w:t>Value as of</w:t>
            </w:r>
          </w:p>
        </w:tc>
        <w:tc>
          <w:tcPr>
            <w:tcW w:w="0" w:type="dxa"/>
            <w:vAlign w:val="bottom"/>
          </w:tcPr>
          <w:p>
            <w:pPr>
              <w:spacing w:after="0"/>
              <w:rPr>
                <w:sz w:val="1"/>
                <w:szCs w:val="1"/>
                <w:color w:val="auto"/>
              </w:rPr>
            </w:pPr>
          </w:p>
        </w:tc>
      </w:tr>
      <w:tr>
        <w:trPr>
          <w:trHeight w:val="152"/>
        </w:trPr>
        <w:tc>
          <w:tcPr>
            <w:tcW w:w="4020" w:type="dxa"/>
            <w:vAlign w:val="bottom"/>
          </w:tcPr>
          <w:p>
            <w:pPr>
              <w:spacing w:after="0"/>
              <w:rPr>
                <w:sz w:val="13"/>
                <w:szCs w:val="13"/>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(in years)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September 30, 2016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4"/>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Impairment Loss</w:t>
            </w:r>
          </w:p>
        </w:tc>
        <w:tc>
          <w:tcPr>
            <w:tcW w:w="200" w:type="dxa"/>
            <w:vAlign w:val="bottom"/>
          </w:tcPr>
          <w:p>
            <w:pPr>
              <w:spacing w:after="0"/>
              <w:rPr>
                <w:sz w:val="13"/>
                <w:szCs w:val="13"/>
                <w:color w:val="auto"/>
              </w:rPr>
            </w:pPr>
          </w:p>
        </w:tc>
        <w:tc>
          <w:tcPr>
            <w:tcW w:w="1380" w:type="dxa"/>
            <w:vAlign w:val="bottom"/>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rPr>
              <w:t>September 30, 2016</w:t>
            </w:r>
          </w:p>
        </w:tc>
        <w:tc>
          <w:tcPr>
            <w:tcW w:w="0" w:type="dxa"/>
            <w:vAlign w:val="bottom"/>
          </w:tcPr>
          <w:p>
            <w:pPr>
              <w:spacing w:after="0"/>
              <w:rPr>
                <w:sz w:val="1"/>
                <w:szCs w:val="1"/>
                <w:color w:val="auto"/>
              </w:rPr>
            </w:pPr>
          </w:p>
        </w:tc>
      </w:tr>
      <w:tr>
        <w:trPr>
          <w:trHeight w:val="184"/>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7,100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1,324</w:t>
            </w: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Existing technology</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12,600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4,272</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33,500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(12,353)</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10,396</w:t>
            </w: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Patents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6,316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5,800</w:t>
            </w:r>
          </w:p>
        </w:tc>
        <w:tc>
          <w:tcPr>
            <w:tcW w:w="0" w:type="dxa"/>
            <w:vAlign w:val="bottom"/>
          </w:tcPr>
          <w:p>
            <w:pPr>
              <w:spacing w:after="0"/>
              <w:rPr>
                <w:sz w:val="1"/>
                <w:szCs w:val="1"/>
                <w:color w:val="auto"/>
              </w:rPr>
            </w:pPr>
          </w:p>
        </w:tc>
      </w:tr>
      <w:tr>
        <w:trPr>
          <w:trHeight w:val="21"/>
        </w:trPr>
        <w:tc>
          <w:tcPr>
            <w:tcW w:w="40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59,516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21,792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02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Weighted Average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Gross Carrying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00" w:type="dxa"/>
            <w:vAlign w:val="bottom"/>
          </w:tcPr>
          <w:p>
            <w:pPr>
              <w:spacing w:after="0"/>
              <w:rPr>
                <w:sz w:val="24"/>
                <w:szCs w:val="24"/>
                <w:color w:val="auto"/>
              </w:rPr>
            </w:pPr>
          </w:p>
        </w:tc>
        <w:tc>
          <w:tcPr>
            <w:tcW w:w="1380" w:type="dxa"/>
            <w:vAlign w:val="bottom"/>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rPr>
              <w:t>Net Carrying</w:t>
            </w:r>
          </w:p>
        </w:tc>
        <w:tc>
          <w:tcPr>
            <w:tcW w:w="0" w:type="dxa"/>
            <w:vAlign w:val="bottom"/>
          </w:tcPr>
          <w:p>
            <w:pPr>
              <w:spacing w:after="0"/>
              <w:rPr>
                <w:sz w:val="1"/>
                <w:szCs w:val="1"/>
                <w:color w:val="auto"/>
              </w:rPr>
            </w:pPr>
          </w:p>
        </w:tc>
      </w:tr>
      <w:tr>
        <w:trPr>
          <w:trHeight w:val="115"/>
        </w:trPr>
        <w:tc>
          <w:tcPr>
            <w:tcW w:w="4020" w:type="dxa"/>
            <w:vAlign w:val="bottom"/>
          </w:tcPr>
          <w:p>
            <w:pPr>
              <w:spacing w:after="0"/>
              <w:rPr>
                <w:sz w:val="10"/>
                <w:szCs w:val="10"/>
                <w:color w:val="auto"/>
              </w:rPr>
            </w:pPr>
          </w:p>
        </w:tc>
        <w:tc>
          <w:tcPr>
            <w:tcW w:w="126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Amortization Period (in</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rPr>
              <w:t>Amount as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jc w:val="center"/>
              <w:ind w:right="114"/>
              <w:spacing w:after="0" w:line="115" w:lineRule="exact"/>
              <w:rPr>
                <w:sz w:val="20"/>
                <w:szCs w:val="20"/>
                <w:color w:val="auto"/>
              </w:rPr>
            </w:pPr>
            <w:r>
              <w:rPr>
                <w:rFonts w:ascii="Times New Roman" w:cs="Times New Roman" w:eastAsia="Times New Roman" w:hAnsi="Times New Roman"/>
                <w:sz w:val="11"/>
                <w:szCs w:val="11"/>
                <w:b w:val="1"/>
                <w:bCs w:val="1"/>
                <w:color w:val="auto"/>
              </w:rPr>
              <w:t>Value as of</w:t>
            </w:r>
          </w:p>
        </w:tc>
        <w:tc>
          <w:tcPr>
            <w:tcW w:w="0" w:type="dxa"/>
            <w:vAlign w:val="bottom"/>
          </w:tcPr>
          <w:p>
            <w:pPr>
              <w:spacing w:after="0"/>
              <w:rPr>
                <w:sz w:val="1"/>
                <w:szCs w:val="1"/>
                <w:color w:val="auto"/>
              </w:rPr>
            </w:pPr>
          </w:p>
        </w:tc>
      </w:tr>
      <w:tr>
        <w:trPr>
          <w:trHeight w:val="152"/>
        </w:trPr>
        <w:tc>
          <w:tcPr>
            <w:tcW w:w="402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years)</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31, 2015</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Impairment Loss</w:t>
            </w: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rPr>
              <w:t>December 31, 2015</w:t>
            </w:r>
          </w:p>
        </w:tc>
        <w:tc>
          <w:tcPr>
            <w:tcW w:w="0" w:type="dxa"/>
            <w:vAlign w:val="bottom"/>
          </w:tcPr>
          <w:p>
            <w:pPr>
              <w:spacing w:after="0"/>
              <w:rPr>
                <w:sz w:val="1"/>
                <w:szCs w:val="1"/>
                <w:color w:val="auto"/>
              </w:rPr>
            </w:pPr>
          </w:p>
        </w:tc>
      </w:tr>
      <w:tr>
        <w:trPr>
          <w:trHeight w:val="184"/>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Trademarks</w:t>
            </w:r>
          </w:p>
        </w:tc>
        <w:tc>
          <w:tcPr>
            <w:tcW w:w="1160" w:type="dxa"/>
            <w:vAlign w:val="bottom"/>
            <w:tcBorders>
              <w:bottom w:val="single" w:sz="8" w:color="CCEEFF"/>
            </w:tcBorders>
            <w:shd w:val="clear" w:color="auto" w:fill="CCEEFF"/>
          </w:tcPr>
          <w:p>
            <w:pPr>
              <w:jc w:val="center"/>
              <w:ind w:left="36"/>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(1,492)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1,429</w:t>
            </w: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Existing technology</w:t>
            </w:r>
          </w:p>
        </w:tc>
        <w:tc>
          <w:tcPr>
            <w:tcW w:w="1160" w:type="dxa"/>
            <w:vAlign w:val="bottom"/>
          </w:tcPr>
          <w:p>
            <w:pPr>
              <w:jc w:val="center"/>
              <w:ind w:left="36"/>
              <w:spacing w:after="0"/>
              <w:rPr>
                <w:sz w:val="20"/>
                <w:szCs w:val="20"/>
                <w:color w:val="auto"/>
              </w:rPr>
            </w:pPr>
            <w:r>
              <w:rPr>
                <w:rFonts w:ascii="Times New Roman" w:cs="Times New Roman" w:eastAsia="Times New Roman" w:hAnsi="Times New Roman"/>
                <w:sz w:val="14"/>
                <w:szCs w:val="14"/>
                <w:color w:val="auto"/>
                <w:w w:val="99"/>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12,600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(3,577)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4,695</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160" w:type="dxa"/>
            <w:vAlign w:val="bottom"/>
            <w:tcBorders>
              <w:bottom w:val="single" w:sz="8" w:color="CCEEFF"/>
            </w:tcBorders>
            <w:shd w:val="clear" w:color="auto" w:fill="CCEEFF"/>
          </w:tcPr>
          <w:p>
            <w:pPr>
              <w:jc w:val="center"/>
              <w:ind w:left="36"/>
              <w:spacing w:after="0"/>
              <w:rPr>
                <w:sz w:val="20"/>
                <w:szCs w:val="20"/>
                <w:color w:val="auto"/>
              </w:rPr>
            </w:pPr>
            <w:r>
              <w:rPr>
                <w:rFonts w:ascii="Times New Roman" w:cs="Times New Roman" w:eastAsia="Times New Roman" w:hAnsi="Times New Roman"/>
                <w:sz w:val="14"/>
                <w:szCs w:val="14"/>
                <w:color w:val="auto"/>
                <w:w w:val="99"/>
              </w:rPr>
              <w:t>11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33,500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(10,957)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11,792</w:t>
            </w: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Patents</w:t>
            </w:r>
          </w:p>
        </w:tc>
        <w:tc>
          <w:tcPr>
            <w:tcW w:w="1160" w:type="dxa"/>
            <w:vAlign w:val="bottom"/>
          </w:tcPr>
          <w:p>
            <w:pPr>
              <w:jc w:val="center"/>
              <w:ind w:left="36"/>
              <w:spacing w:after="0"/>
              <w:rPr>
                <w:sz w:val="20"/>
                <w:szCs w:val="20"/>
                <w:color w:val="auto"/>
              </w:rPr>
            </w:pPr>
            <w:r>
              <w:rPr>
                <w:rFonts w:ascii="Times New Roman" w:cs="Times New Roman" w:eastAsia="Times New Roman" w:hAnsi="Times New Roman"/>
                <w:sz w:val="14"/>
                <w:szCs w:val="14"/>
                <w:color w:val="auto"/>
                <w:w w:val="85"/>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21"/>
        </w:trPr>
        <w:tc>
          <w:tcPr>
            <w:tcW w:w="40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53,485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(16,139)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18,088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gridSpan w:val="4"/>
          </w:tcPr>
          <w:p>
            <w:pPr>
              <w:spacing w:after="0" w:line="20" w:lineRule="exact"/>
              <w:rPr>
                <w:sz w:val="1"/>
                <w:szCs w:val="1"/>
                <w:color w:val="auto"/>
              </w:rPr>
            </w:pPr>
          </w:p>
        </w:tc>
        <w:tc>
          <w:tcPr>
            <w:tcW w:w="17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9880" w:type="dxa"/>
            <w:vAlign w:val="bottom"/>
            <w:gridSpan w:val="17"/>
          </w:tcPr>
          <w:p>
            <w:pPr>
              <w:jc w:val="center"/>
              <w:ind w:right="560"/>
              <w:spacing w:after="0"/>
              <w:rPr>
                <w:sz w:val="20"/>
                <w:szCs w:val="20"/>
                <w:color w:val="auto"/>
              </w:rPr>
            </w:pPr>
            <w:r>
              <w:rPr>
                <w:rFonts w:ascii="Times New Roman" w:cs="Times New Roman" w:eastAsia="Times New Roman" w:hAnsi="Times New Roman"/>
                <w:sz w:val="14"/>
                <w:szCs w:val="14"/>
                <w:color w:val="auto"/>
                <w:w w:val="99"/>
              </w:rPr>
              <w:t>During the second quarter of 2016, we acquired a patent for $6.0 million, which will be amortized over its remaining useful life of approximately eight years.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400" w:type="dxa"/>
            <w:vAlign w:val="bottom"/>
            <w:gridSpan w:val="11"/>
          </w:tcPr>
          <w:p>
            <w:pPr>
              <w:ind w:left="260"/>
              <w:spacing w:after="0"/>
              <w:rPr>
                <w:sz w:val="20"/>
                <w:szCs w:val="20"/>
                <w:color w:val="auto"/>
              </w:rPr>
            </w:pPr>
            <w:r>
              <w:rPr>
                <w:rFonts w:ascii="Times New Roman" w:cs="Times New Roman" w:eastAsia="Times New Roman" w:hAnsi="Times New Roman"/>
                <w:sz w:val="14"/>
                <w:szCs w:val="14"/>
                <w:color w:val="auto"/>
                <w:w w:val="99"/>
              </w:rPr>
              <w:t>The total estimated annual future amortization expense for these acquired intangible assets as of September 30, 2016 is as follows (in 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0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Remainder of 2016</w:t>
            </w: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840</w:t>
            </w:r>
          </w:p>
        </w:tc>
        <w:tc>
          <w:tcPr>
            <w:tcW w:w="0" w:type="dxa"/>
            <w:vAlign w:val="bottom"/>
          </w:tcPr>
          <w:p>
            <w:pPr>
              <w:spacing w:after="0"/>
              <w:rPr>
                <w:sz w:val="1"/>
                <w:szCs w:val="1"/>
                <w:color w:val="auto"/>
              </w:rPr>
            </w:pPr>
          </w:p>
        </w:tc>
      </w:tr>
      <w:tr>
        <w:trPr>
          <w:trHeight w:val="189"/>
        </w:trPr>
        <w:tc>
          <w:tcPr>
            <w:tcW w:w="4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2017</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3,353</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2018</w:t>
            </w: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3,353</w:t>
            </w:r>
          </w:p>
        </w:tc>
        <w:tc>
          <w:tcPr>
            <w:tcW w:w="0" w:type="dxa"/>
            <w:vAlign w:val="bottom"/>
          </w:tcPr>
          <w:p>
            <w:pPr>
              <w:spacing w:after="0"/>
              <w:rPr>
                <w:sz w:val="1"/>
                <w:szCs w:val="1"/>
                <w:color w:val="auto"/>
              </w:rPr>
            </w:pPr>
          </w:p>
        </w:tc>
      </w:tr>
      <w:tr>
        <w:trPr>
          <w:trHeight w:val="189"/>
        </w:trPr>
        <w:tc>
          <w:tcPr>
            <w:tcW w:w="4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2019</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3,346</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2020</w:t>
            </w: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3,336</w:t>
            </w:r>
          </w:p>
        </w:tc>
        <w:tc>
          <w:tcPr>
            <w:tcW w:w="0" w:type="dxa"/>
            <w:vAlign w:val="bottom"/>
          </w:tcPr>
          <w:p>
            <w:pPr>
              <w:spacing w:after="0"/>
              <w:rPr>
                <w:sz w:val="1"/>
                <w:szCs w:val="1"/>
                <w:color w:val="auto"/>
              </w:rPr>
            </w:pPr>
          </w:p>
        </w:tc>
      </w:tr>
      <w:tr>
        <w:trPr>
          <w:trHeight w:val="189"/>
        </w:trPr>
        <w:tc>
          <w:tcPr>
            <w:tcW w:w="40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Thereafter</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7,564</w:t>
            </w:r>
          </w:p>
        </w:tc>
        <w:tc>
          <w:tcPr>
            <w:tcW w:w="0" w:type="dxa"/>
            <w:vAlign w:val="bottom"/>
          </w:tcPr>
          <w:p>
            <w:pPr>
              <w:spacing w:after="0"/>
              <w:rPr>
                <w:sz w:val="1"/>
                <w:szCs w:val="1"/>
                <w:color w:val="auto"/>
              </w:rPr>
            </w:pPr>
          </w:p>
        </w:tc>
      </w:tr>
      <w:tr>
        <w:trPr>
          <w:trHeight w:val="21"/>
        </w:trPr>
        <w:tc>
          <w:tcPr>
            <w:tcW w:w="40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40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21,792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-977900</wp:posOffset>
            </wp:positionV>
            <wp:extent cx="1778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780" cy="6350"/>
                    </a:xfrm>
                    <a:prstGeom prst="rect">
                      <a:avLst/>
                    </a:prstGeom>
                    <a:noFill/>
                  </pic:spPr>
                </pic:pic>
              </a:graphicData>
            </a:graphic>
          </wp:anchor>
        </w:drawing>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Amortization for the nine months ended September 30, 2016 was $2.2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Credit Facilities</w:t>
      </w:r>
    </w:p>
    <w:p>
      <w:pPr>
        <w:spacing w:after="0" w:line="124"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4"/>
          <w:szCs w:val="14"/>
          <w:color w:val="auto"/>
        </w:rPr>
        <w:t>On March 17, 2016, we amended the credit facility and extended the maturity date to March 22, 2017. The credit facility provides for a $50.0 million revolving line of credit, with a $10.0 million letter of credit sublimit. The credit facility also requires us to maintain a minimum unrestricted cash balance of $50.0 million and comply with specific financial conditions and performance requirements. The loan bears interest, at our option, at a fluctuating rate per annum equal to the daily one-month adjusted LIBOR rate plus a spread of 1.75% or an adjusted LIBOR rate (based on one, three, six or twelve-month interest periods) plus a spread of 1.75%. As of September 30, 2016, we had no outstanding borrowings under this credit facility and were in compliance with the conditions and performance requirements.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460"/>
          </w:cols>
          <w:pgMar w:left="220" w:top="125" w:right="21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Legal Proceedings</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Securities Class Action Lawsuit</w:t>
      </w:r>
    </w:p>
    <w:p>
      <w:pPr>
        <w:spacing w:after="0" w:line="177" w:lineRule="exact"/>
        <w:rPr>
          <w:sz w:val="20"/>
          <w:szCs w:val="20"/>
          <w:color w:val="auto"/>
        </w:rPr>
      </w:pPr>
    </w:p>
    <w:p>
      <w:pPr>
        <w:jc w:val="both"/>
        <w:ind w:firstLine="252"/>
        <w:spacing w:after="0" w:line="253" w:lineRule="auto"/>
        <w:rPr>
          <w:sz w:val="20"/>
          <w:szCs w:val="20"/>
          <w:color w:val="auto"/>
        </w:rPr>
      </w:pPr>
      <w:r>
        <w:rPr>
          <w:rFonts w:ascii="Times New Roman" w:cs="Times New Roman" w:eastAsia="Times New Roman" w:hAnsi="Times New Roman"/>
          <w:sz w:val="14"/>
          <w:szCs w:val="14"/>
          <w:color w:val="auto"/>
        </w:rPr>
        <w:t>On November 28, 2012, plaintiff City of Dearborn Heights Act 345 Police &amp; Fire Retirement System filed a lawsuit against Align, Thomas M. Prescott (“Mr. Prescott”), Align’s former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Briefing for the appeal was completed in May 2015 and the Ninth Circuit held oral arguments in October 2016.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Shareholder Derivative Lawsuit</w:t>
      </w:r>
    </w:p>
    <w:p>
      <w:pPr>
        <w:spacing w:after="0" w:line="177" w:lineRule="exact"/>
        <w:rPr>
          <w:sz w:val="20"/>
          <w:szCs w:val="20"/>
          <w:color w:val="auto"/>
        </w:rPr>
      </w:pPr>
    </w:p>
    <w:p>
      <w:pPr>
        <w:jc w:val="both"/>
        <w:ind w:firstLine="252"/>
        <w:spacing w:after="0" w:line="254" w:lineRule="auto"/>
        <w:rPr>
          <w:sz w:val="20"/>
          <w:szCs w:val="20"/>
          <w:color w:val="auto"/>
        </w:rPr>
      </w:pPr>
      <w:r>
        <w:rPr>
          <w:rFonts w:ascii="Times New Roman" w:cs="Times New Roman" w:eastAsia="Times New Roman" w:hAnsi="Times New Roman"/>
          <w:sz w:val="14"/>
          <w:szCs w:val="14"/>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Align is currently unable to predict the outcome of this complaint and therefore cannot determine the likelihood of loss nor estimate a range of possible losses, if any.</w:t>
      </w:r>
    </w:p>
    <w:p>
      <w:pPr>
        <w:spacing w:after="0" w:line="147"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4"/>
          <w:szCs w:val="14"/>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460"/>
          </w:cols>
          <w:pgMar w:left="220" w:top="125" w:right="21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Commitments and Contingencies</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Operating Leases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September 30, 2016, minimum future lease payments for non-cancelable operating leases are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9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Fiscal Year Ending December 31,</w:t>
            </w:r>
          </w:p>
        </w:tc>
        <w:tc>
          <w:tcPr>
            <w:tcW w:w="2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Operating leases</w:t>
            </w:r>
          </w:p>
        </w:tc>
      </w:tr>
      <w:tr>
        <w:trPr>
          <w:trHeight w:val="184"/>
        </w:trPr>
        <w:tc>
          <w:tcPr>
            <w:tcW w:w="96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Remainder of 2016</w:t>
            </w:r>
          </w:p>
        </w:tc>
        <w:tc>
          <w:tcPr>
            <w:tcW w:w="3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3,354</w:t>
            </w:r>
          </w:p>
        </w:tc>
      </w:tr>
      <w:tr>
        <w:trPr>
          <w:trHeight w:val="189"/>
        </w:trPr>
        <w:tc>
          <w:tcPr>
            <w:tcW w:w="9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2017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10,258</w:t>
            </w:r>
          </w:p>
        </w:tc>
      </w:tr>
      <w:tr>
        <w:trPr>
          <w:trHeight w:val="21"/>
        </w:trPr>
        <w:tc>
          <w:tcPr>
            <w:tcW w:w="9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0"/>
        </w:trPr>
        <w:tc>
          <w:tcPr>
            <w:tcW w:w="9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2018</w:t>
            </w:r>
          </w:p>
        </w:tc>
        <w:tc>
          <w:tcPr>
            <w:tcW w:w="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6,441</w:t>
            </w:r>
          </w:p>
        </w:tc>
      </w:tr>
      <w:tr>
        <w:trPr>
          <w:trHeight w:val="189"/>
        </w:trPr>
        <w:tc>
          <w:tcPr>
            <w:tcW w:w="9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2019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4,161</w:t>
            </w:r>
          </w:p>
        </w:tc>
      </w:tr>
      <w:tr>
        <w:trPr>
          <w:trHeight w:val="21"/>
        </w:trPr>
        <w:tc>
          <w:tcPr>
            <w:tcW w:w="9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0"/>
        </w:trPr>
        <w:tc>
          <w:tcPr>
            <w:tcW w:w="9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2020</w:t>
            </w:r>
          </w:p>
        </w:tc>
        <w:tc>
          <w:tcPr>
            <w:tcW w:w="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3,671</w:t>
            </w:r>
          </w:p>
        </w:tc>
      </w:tr>
      <w:tr>
        <w:trPr>
          <w:trHeight w:val="189"/>
        </w:trPr>
        <w:tc>
          <w:tcPr>
            <w:tcW w:w="96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Thereafter</w:t>
            </w:r>
          </w:p>
        </w:tc>
        <w:tc>
          <w:tcPr>
            <w:tcW w:w="300" w:type="dxa"/>
            <w:vAlign w:val="bottom"/>
          </w:tcPr>
          <w:p>
            <w:pPr>
              <w:spacing w:after="0"/>
              <w:rPr>
                <w:sz w:val="16"/>
                <w:szCs w:val="16"/>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4,732</w:t>
            </w:r>
          </w:p>
        </w:tc>
      </w:tr>
      <w:tr>
        <w:trPr>
          <w:trHeight w:val="21"/>
        </w:trPr>
        <w:tc>
          <w:tcPr>
            <w:tcW w:w="9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05"/>
        </w:trPr>
        <w:tc>
          <w:tcPr>
            <w:tcW w:w="96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minimum future lease payments</w:t>
            </w:r>
          </w:p>
        </w:tc>
        <w:tc>
          <w:tcPr>
            <w:tcW w:w="3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32,617</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Other Commitments</w:t>
      </w:r>
    </w:p>
    <w:p>
      <w:pPr>
        <w:spacing w:after="0" w:line="177" w:lineRule="exact"/>
        <w:rPr>
          <w:sz w:val="20"/>
          <w:szCs w:val="20"/>
          <w:color w:val="auto"/>
        </w:rPr>
      </w:pPr>
    </w:p>
    <w:p>
      <w:pPr>
        <w:jc w:val="both"/>
        <w:ind w:firstLine="252"/>
        <w:spacing w:after="0" w:line="256" w:lineRule="auto"/>
        <w:rPr>
          <w:sz w:val="20"/>
          <w:szCs w:val="20"/>
          <w:color w:val="auto"/>
        </w:rPr>
      </w:pPr>
      <w:r>
        <w:rPr>
          <w:rFonts w:ascii="Times New Roman" w:cs="Times New Roman" w:eastAsia="Times New Roman" w:hAnsi="Times New Roman"/>
          <w:sz w:val="14"/>
          <w:szCs w:val="14"/>
          <w:color w:val="auto"/>
        </w:rPr>
        <w:t>On July 25, 2016, we entered into a Loan and Security Agreement (the "Loan Agreement") with SDC where we agreed to provide a loan of up to $15.0 million in one or more advances to SDC (the "Loan Facility"). Available advances under the Loan Facility are subject to a borrowing base of 80% of SDC's eligible accounts receivable, determined in accordance with the terms of the Loan Agreement, and the satisfaction of other customary conditions. The advances bear interest, paid quarterly, at the rate of 7% per annum. Advances that are repaid or prepaid may be reborrowed. All outstanding principal and accrued and unpaid interest on the advances are due and payable on July 25, 2021. SDC's obligations in respect of the Loan Agreement are secured by a security interest in substantially all of SDC's assets. As of September 30, 2016, no advances on the Loan Facility were issued or outstanding. (</w:t>
      </w:r>
      <w:r>
        <w:rPr>
          <w:rFonts w:ascii="Times New Roman" w:cs="Times New Roman" w:eastAsia="Times New Roman" w:hAnsi="Times New Roman"/>
          <w:sz w:val="14"/>
          <w:szCs w:val="14"/>
          <w:i w:val="1"/>
          <w:iCs w:val="1"/>
          <w:color w:val="auto"/>
        </w:rPr>
        <w:t>Refer to Note 4 "Equity Method Investments" of the Notes of these Condensed Consolidated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Statements </w:t>
      </w:r>
      <w:r>
        <w:rPr>
          <w:rFonts w:ascii="Times New Roman" w:cs="Times New Roman" w:eastAsia="Times New Roman" w:hAnsi="Times New Roman"/>
          <w:sz w:val="14"/>
          <w:szCs w:val="14"/>
          <w:color w:val="auto"/>
        </w:rPr>
        <w:t>for more information on our investments in SDC.)</w:t>
      </w:r>
    </w:p>
    <w:p>
      <w:pPr>
        <w:spacing w:after="0" w:line="144"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We have entered into certain investments with a privately held company where we have committed to purchase up to $5.0 million in convertible promissory notes. The first convertible promissory note for $2.0 million was issued in July 2016 and is outstanding as of September 30, 2016. The remaining $3.0 million is conditioned upon achievement of various business milestones. The notes all mature on December 30, 2018 and accrue interest annually at 2.5%.</w:t>
      </w:r>
    </w:p>
    <w:p>
      <w:pPr>
        <w:spacing w:after="0" w:line="1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Off-balance Sheet Arrangements</w:t>
      </w:r>
    </w:p>
    <w:p>
      <w:pPr>
        <w:spacing w:after="0" w:line="177"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As of September 30, 2016, we had no off-balance sheet arrangements that have, or are reasonably likely to have, a current or future material effect on our consolidated financial condition, results of operations, liquidity, capital expenditures or capital resources.</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Provisions</w:t>
      </w:r>
    </w:p>
    <w:p>
      <w:pPr>
        <w:spacing w:after="0" w:line="177"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our executive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99"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September 30, 2016, we did not have any material indemnification claims that were probable or reasonably possible.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460"/>
          </w:cols>
          <w:pgMar w:left="220" w:top="125" w:right="21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Stock-based Compensation</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Summary of stock-based compensation expense</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September 30, 2016, the 2005 Incentive Plan (as amended) has a total reserve of 30,169,000 shares of which 8,036,000 shares are available for issuance.</w:t>
      </w:r>
    </w:p>
    <w:p>
      <w:pPr>
        <w:spacing w:after="0" w:line="175"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Stock-based compensation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related to all of our stock-based awards and employee stock purchases for the three and nine months ended September 30, 2016 and 2015 is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3"/>
          </w:tcPr>
          <w:p>
            <w:pPr>
              <w:jc w:val="right"/>
              <w:ind w:right="1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gridSpan w:val="3"/>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940" w:type="dxa"/>
            <w:vAlign w:val="bottom"/>
          </w:tcPr>
          <w:p>
            <w:pPr>
              <w:spacing w:after="0"/>
              <w:rPr>
                <w:sz w:val="11"/>
                <w:szCs w:val="11"/>
                <w:color w:val="auto"/>
              </w:rPr>
            </w:pPr>
          </w:p>
        </w:tc>
      </w:tr>
      <w:tr>
        <w:trPr>
          <w:trHeight w:val="152"/>
        </w:trPr>
        <w:tc>
          <w:tcPr>
            <w:tcW w:w="5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940" w:type="dxa"/>
            <w:vAlign w:val="bottom"/>
            <w:tcBorders>
              <w:bottom w:val="single" w:sz="8" w:color="auto"/>
            </w:tcBorders>
          </w:tcPr>
          <w:p>
            <w:pPr>
              <w:spacing w:after="0"/>
              <w:rPr>
                <w:sz w:val="13"/>
                <w:szCs w:val="13"/>
                <w:color w:val="auto"/>
              </w:rPr>
            </w:pPr>
          </w:p>
        </w:tc>
      </w:tr>
      <w:tr>
        <w:trPr>
          <w:trHeight w:val="200"/>
        </w:trPr>
        <w:tc>
          <w:tcPr>
            <w:tcW w:w="5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2016</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2015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2016</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2015</w:t>
            </w:r>
          </w:p>
        </w:tc>
      </w:tr>
      <w:tr>
        <w:trPr>
          <w:trHeight w:val="184"/>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net revenues</w:t>
            </w:r>
          </w:p>
        </w:tc>
        <w:tc>
          <w:tcPr>
            <w:tcW w:w="3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995</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984</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2,888</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2,929</w:t>
            </w:r>
          </w:p>
        </w:tc>
      </w:tr>
      <w:tr>
        <w:trPr>
          <w:trHeight w:val="189"/>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6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10,797</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11,564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31,474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30,106</w:t>
            </w:r>
          </w:p>
        </w:tc>
      </w:tr>
      <w:tr>
        <w:trPr>
          <w:trHeight w:val="21"/>
        </w:trPr>
        <w:tc>
          <w:tcPr>
            <w:tcW w:w="5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1,919</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2,113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5,572</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6,100</w:t>
            </w:r>
          </w:p>
        </w:tc>
      </w:tr>
      <w:tr>
        <w:trPr>
          <w:trHeight w:val="179"/>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3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13,711</w:t>
            </w:r>
          </w:p>
        </w:tc>
        <w:tc>
          <w:tcPr>
            <w:tcW w:w="120" w:type="dxa"/>
            <w:vAlign w:val="bottom"/>
          </w:tcPr>
          <w:p>
            <w:pPr>
              <w:spacing w:after="0"/>
              <w:rPr>
                <w:sz w:val="15"/>
                <w:szCs w:val="15"/>
                <w:color w:val="auto"/>
              </w:rPr>
            </w:pPr>
          </w:p>
        </w:tc>
        <w:tc>
          <w:tcPr>
            <w:tcW w:w="5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14,661</w:t>
            </w:r>
          </w:p>
        </w:tc>
        <w:tc>
          <w:tcPr>
            <w:tcW w:w="120" w:type="dxa"/>
            <w:vAlign w:val="bottom"/>
          </w:tcPr>
          <w:p>
            <w:pPr>
              <w:spacing w:after="0"/>
              <w:rPr>
                <w:sz w:val="15"/>
                <w:szCs w:val="15"/>
                <w:color w:val="auto"/>
              </w:rPr>
            </w:pPr>
          </w:p>
        </w:tc>
        <w:tc>
          <w:tcPr>
            <w:tcW w:w="3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39,934</w:t>
            </w:r>
          </w:p>
        </w:tc>
        <w:tc>
          <w:tcPr>
            <w:tcW w:w="100" w:type="dxa"/>
            <w:vAlign w:val="bottom"/>
          </w:tcPr>
          <w:p>
            <w:pPr>
              <w:spacing w:after="0"/>
              <w:rPr>
                <w:sz w:val="15"/>
                <w:szCs w:val="15"/>
                <w:color w:val="auto"/>
              </w:rPr>
            </w:pPr>
          </w:p>
        </w:tc>
        <w:tc>
          <w:tcPr>
            <w:tcW w:w="5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39,135</w:t>
            </w:r>
          </w:p>
        </w:tc>
      </w:tr>
      <w:tr>
        <w:trPr>
          <w:trHeight w:val="21"/>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Options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Activity for the nine months ended September 30, 2016 under the stock option plans is set forth below (in thousands, except years and per share amounts):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40" w:type="dxa"/>
            <w:vAlign w:val="bottom"/>
          </w:tcPr>
          <w:p>
            <w:pPr>
              <w:spacing w:after="0"/>
              <w:rPr>
                <w:sz w:val="11"/>
                <w:szCs w:val="11"/>
                <w:color w:val="auto"/>
              </w:rPr>
            </w:pPr>
          </w:p>
        </w:tc>
        <w:tc>
          <w:tcPr>
            <w:tcW w:w="1320" w:type="dxa"/>
            <w:vAlign w:val="bottom"/>
          </w:tcPr>
          <w:p>
            <w:pPr>
              <w:jc w:val="center"/>
              <w:ind w:left="344"/>
              <w:spacing w:after="0"/>
              <w:rPr>
                <w:sz w:val="20"/>
                <w:szCs w:val="20"/>
                <w:color w:val="auto"/>
              </w:rPr>
            </w:pPr>
            <w:r>
              <w:rPr>
                <w:rFonts w:ascii="Times New Roman" w:cs="Times New Roman" w:eastAsia="Times New Roman" w:hAnsi="Times New Roman"/>
                <w:sz w:val="11"/>
                <w:szCs w:val="11"/>
                <w:b w:val="1"/>
                <w:bCs w:val="1"/>
                <w:color w:val="auto"/>
              </w:rPr>
              <w:t>Stock Options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left="417"/>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280" w:type="dxa"/>
            <w:vAlign w:val="bottom"/>
          </w:tcPr>
          <w:p>
            <w:pPr>
              <w:spacing w:after="0"/>
              <w:rPr>
                <w:sz w:val="11"/>
                <w:szCs w:val="11"/>
                <w:color w:val="auto"/>
              </w:rPr>
            </w:pPr>
          </w:p>
        </w:tc>
        <w:tc>
          <w:tcPr>
            <w:tcW w:w="1180" w:type="dxa"/>
            <w:vAlign w:val="bottom"/>
            <w:vMerge w:val="restart"/>
          </w:tcPr>
          <w:p>
            <w:pPr>
              <w:jc w:val="center"/>
              <w:ind w:right="217"/>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5"/>
        </w:trPr>
        <w:tc>
          <w:tcPr>
            <w:tcW w:w="4940" w:type="dxa"/>
            <w:vAlign w:val="bottom"/>
          </w:tcPr>
          <w:p>
            <w:pPr>
              <w:spacing w:after="0"/>
              <w:rPr>
                <w:sz w:val="10"/>
                <w:szCs w:val="10"/>
                <w:color w:val="auto"/>
              </w:rPr>
            </w:pPr>
          </w:p>
        </w:tc>
        <w:tc>
          <w:tcPr>
            <w:tcW w:w="1320" w:type="dxa"/>
            <w:vAlign w:val="bottom"/>
          </w:tcPr>
          <w:p>
            <w:pPr>
              <w:jc w:val="center"/>
              <w:ind w:left="344"/>
              <w:spacing w:after="0" w:line="115" w:lineRule="exact"/>
              <w:rPr>
                <w:sz w:val="20"/>
                <w:szCs w:val="20"/>
                <w:color w:val="auto"/>
              </w:rPr>
            </w:pPr>
            <w:r>
              <w:rPr>
                <w:rFonts w:ascii="Times New Roman" w:cs="Times New Roman" w:eastAsia="Times New Roman" w:hAnsi="Times New Roman"/>
                <w:sz w:val="11"/>
                <w:szCs w:val="11"/>
                <w:b w:val="1"/>
                <w:bCs w:val="1"/>
                <w:color w:val="auto"/>
              </w:rPr>
              <w:t>Number of Shares</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left="417"/>
              <w:spacing w:after="0" w:line="115"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940" w:type="dxa"/>
            <w:vAlign w:val="bottom"/>
          </w:tcPr>
          <w:p>
            <w:pPr>
              <w:spacing w:after="0"/>
              <w:rPr>
                <w:sz w:val="10"/>
                <w:szCs w:val="10"/>
                <w:color w:val="auto"/>
              </w:rPr>
            </w:pPr>
          </w:p>
        </w:tc>
        <w:tc>
          <w:tcPr>
            <w:tcW w:w="1320" w:type="dxa"/>
            <w:vAlign w:val="bottom"/>
          </w:tcPr>
          <w:p>
            <w:pPr>
              <w:jc w:val="center"/>
              <w:ind w:left="324"/>
              <w:spacing w:after="0" w:line="115"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left="397"/>
              <w:spacing w:after="0" w:line="115"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280" w:type="dxa"/>
            <w:vAlign w:val="bottom"/>
          </w:tcPr>
          <w:p>
            <w:pPr>
              <w:spacing w:after="0"/>
              <w:rPr>
                <w:sz w:val="10"/>
                <w:szCs w:val="10"/>
                <w:color w:val="auto"/>
              </w:rPr>
            </w:pPr>
          </w:p>
        </w:tc>
        <w:tc>
          <w:tcPr>
            <w:tcW w:w="1180" w:type="dxa"/>
            <w:vAlign w:val="bottom"/>
          </w:tcPr>
          <w:p>
            <w:pPr>
              <w:jc w:val="center"/>
              <w:ind w:right="217"/>
              <w:spacing w:after="0" w:line="115" w:lineRule="exact"/>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52"/>
        </w:trPr>
        <w:tc>
          <w:tcPr>
            <w:tcW w:w="4940" w:type="dxa"/>
            <w:vAlign w:val="bottom"/>
          </w:tcPr>
          <w:p>
            <w:pPr>
              <w:spacing w:after="0"/>
              <w:rPr>
                <w:sz w:val="13"/>
                <w:szCs w:val="13"/>
                <w:color w:val="auto"/>
              </w:rPr>
            </w:pPr>
          </w:p>
        </w:tc>
        <w:tc>
          <w:tcPr>
            <w:tcW w:w="1320" w:type="dxa"/>
            <w:vAlign w:val="bottom"/>
          </w:tcPr>
          <w:p>
            <w:pPr>
              <w:jc w:val="center"/>
              <w:ind w:left="344"/>
              <w:spacing w:after="0"/>
              <w:rPr>
                <w:sz w:val="20"/>
                <w:szCs w:val="20"/>
                <w:color w:val="auto"/>
              </w:rPr>
            </w:pPr>
            <w:r>
              <w:rPr>
                <w:rFonts w:ascii="Times New Roman" w:cs="Times New Roman" w:eastAsia="Times New Roman" w:hAnsi="Times New Roman"/>
                <w:sz w:val="11"/>
                <w:szCs w:val="11"/>
                <w:b w:val="1"/>
                <w:bCs w:val="1"/>
                <w:color w:val="auto"/>
              </w:rPr>
              <w:t>Stock Options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Price per Share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Contractual Term (In Years)</w:t>
            </w:r>
          </w:p>
        </w:tc>
        <w:tc>
          <w:tcPr>
            <w:tcW w:w="280" w:type="dxa"/>
            <w:vAlign w:val="bottom"/>
          </w:tcPr>
          <w:p>
            <w:pPr>
              <w:spacing w:after="0"/>
              <w:rPr>
                <w:sz w:val="13"/>
                <w:szCs w:val="13"/>
                <w:color w:val="auto"/>
              </w:rPr>
            </w:pPr>
          </w:p>
        </w:tc>
        <w:tc>
          <w:tcPr>
            <w:tcW w:w="1180" w:type="dxa"/>
            <w:vAlign w:val="bottom"/>
          </w:tcPr>
          <w:p>
            <w:pPr>
              <w:jc w:val="center"/>
              <w:ind w:right="217"/>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215"/>
        </w:trPr>
        <w:tc>
          <w:tcPr>
            <w:tcW w:w="494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2015</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496</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877"/>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15.14</w:t>
            </w: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Granted</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Exercised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14.69</w:t>
            </w: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Cancelled or expired</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9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September 30, 2016</w:t>
            </w:r>
          </w:p>
        </w:tc>
        <w:tc>
          <w:tcPr>
            <w:tcW w:w="13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77"/>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15.52</w:t>
            </w:r>
          </w:p>
        </w:tc>
        <w:tc>
          <w:tcPr>
            <w:tcW w:w="1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4"/>
                <w:szCs w:val="14"/>
                <w:color w:val="auto"/>
              </w:rPr>
              <w:t>21,248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at September 30, 2016</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94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Pr>
          <w:p>
            <w:pPr>
              <w:spacing w:after="0"/>
              <w:rPr>
                <w:sz w:val="13"/>
                <w:szCs w:val="13"/>
                <w:color w:val="auto"/>
              </w:rPr>
            </w:pPr>
          </w:p>
        </w:tc>
        <w:tc>
          <w:tcPr>
            <w:tcW w:w="1020" w:type="dxa"/>
            <w:vAlign w:val="bottom"/>
          </w:tcPr>
          <w:p>
            <w:pPr>
              <w:jc w:val="right"/>
              <w:ind w:right="877"/>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15.52</w:t>
            </w:r>
          </w:p>
        </w:tc>
        <w:tc>
          <w:tcPr>
            <w:tcW w:w="1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3"/>
                <w:szCs w:val="13"/>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4"/>
                <w:szCs w:val="14"/>
                <w:color w:val="auto"/>
              </w:rPr>
              <w:t>21,248</w:t>
            </w:r>
          </w:p>
        </w:tc>
        <w:tc>
          <w:tcPr>
            <w:tcW w:w="0" w:type="dxa"/>
            <w:vAlign w:val="bottom"/>
          </w:tcPr>
          <w:p>
            <w:pPr>
              <w:spacing w:after="0"/>
              <w:rPr>
                <w:sz w:val="1"/>
                <w:szCs w:val="1"/>
                <w:color w:val="auto"/>
              </w:rPr>
            </w:pPr>
          </w:p>
        </w:tc>
      </w:tr>
      <w:tr>
        <w:trPr>
          <w:trHeight w:val="61"/>
        </w:trPr>
        <w:tc>
          <w:tcPr>
            <w:tcW w:w="4940" w:type="dxa"/>
            <w:vAlign w:val="bottom"/>
            <w:tcBorders>
              <w:bottom w:val="single" w:sz="8" w:color="CCEEFF"/>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4940" w:type="dxa"/>
            <w:vAlign w:val="bottom"/>
            <w:tcBorders>
              <w:bottom w:val="single" w:sz="8" w:color="CCEEFF"/>
            </w:tcBorders>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Exercisable at September 30, 2016</w:t>
            </w:r>
          </w:p>
        </w:tc>
        <w:tc>
          <w:tcPr>
            <w:tcW w:w="13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877"/>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15.52</w:t>
            </w:r>
          </w:p>
        </w:tc>
        <w:tc>
          <w:tcPr>
            <w:tcW w:w="1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4"/>
                <w:szCs w:val="14"/>
                <w:color w:val="auto"/>
              </w:rPr>
              <w:t>21,248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There were no stock options granted during the nine months ended September 30, 2016 and 2015. All compensation costs relating to stock options have been recognized as of September 30, 2016.</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 (“RSU”)</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the RSU activity for the nine months ended September 30, 2016 is as follows (in thousands, except years):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320" w:type="dxa"/>
            <w:vAlign w:val="bottom"/>
          </w:tcPr>
          <w:p>
            <w:pPr>
              <w:spacing w:after="0"/>
              <w:rPr>
                <w:sz w:val="10"/>
                <w:szCs w:val="10"/>
                <w:color w:val="auto"/>
              </w:rPr>
            </w:pPr>
          </w:p>
        </w:tc>
        <w:tc>
          <w:tcPr>
            <w:tcW w:w="1260" w:type="dxa"/>
            <w:vAlign w:val="bottom"/>
            <w:vMerge w:val="restart"/>
          </w:tcPr>
          <w:p>
            <w:pPr>
              <w:jc w:val="center"/>
              <w:ind w:right="281"/>
              <w:spacing w:after="0"/>
              <w:rPr>
                <w:sz w:val="20"/>
                <w:szCs w:val="20"/>
                <w:color w:val="auto"/>
              </w:rPr>
            </w:pPr>
            <w:r>
              <w:rPr>
                <w:rFonts w:ascii="Times New Roman" w:cs="Times New Roman" w:eastAsia="Times New Roman" w:hAnsi="Times New Roman"/>
                <w:sz w:val="11"/>
                <w:szCs w:val="11"/>
                <w:b w:val="1"/>
                <w:bCs w:val="1"/>
                <w:color w:val="auto"/>
                <w:w w:val="99"/>
              </w:rPr>
              <w:t>Aggregate</w:t>
            </w:r>
          </w:p>
        </w:tc>
        <w:tc>
          <w:tcPr>
            <w:tcW w:w="0" w:type="dxa"/>
            <w:vAlign w:val="bottom"/>
          </w:tcPr>
          <w:p>
            <w:pPr>
              <w:spacing w:after="0"/>
              <w:rPr>
                <w:sz w:val="1"/>
                <w:szCs w:val="1"/>
                <w:color w:val="auto"/>
              </w:rPr>
            </w:pPr>
          </w:p>
        </w:tc>
      </w:tr>
      <w:tr>
        <w:trPr>
          <w:trHeight w:val="115"/>
        </w:trPr>
        <w:tc>
          <w:tcPr>
            <w:tcW w:w="4580" w:type="dxa"/>
            <w:vAlign w:val="bottom"/>
          </w:tcPr>
          <w:p>
            <w:pPr>
              <w:spacing w:after="0"/>
              <w:rPr>
                <w:sz w:val="10"/>
                <w:szCs w:val="10"/>
                <w:color w:val="auto"/>
              </w:rPr>
            </w:pPr>
          </w:p>
        </w:tc>
        <w:tc>
          <w:tcPr>
            <w:tcW w:w="18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Weighted Average Grant Date</w:t>
            </w:r>
          </w:p>
        </w:tc>
        <w:tc>
          <w:tcPr>
            <w:tcW w:w="172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3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58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172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320" w:type="dxa"/>
            <w:vAlign w:val="bottom"/>
          </w:tcPr>
          <w:p>
            <w:pPr>
              <w:spacing w:after="0"/>
              <w:rPr>
                <w:sz w:val="10"/>
                <w:szCs w:val="10"/>
                <w:color w:val="auto"/>
              </w:rPr>
            </w:pPr>
          </w:p>
        </w:tc>
        <w:tc>
          <w:tcPr>
            <w:tcW w:w="1260" w:type="dxa"/>
            <w:vAlign w:val="bottom"/>
          </w:tcPr>
          <w:p>
            <w:pPr>
              <w:jc w:val="center"/>
              <w:ind w:right="261"/>
              <w:spacing w:after="0" w:line="115" w:lineRule="exact"/>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7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Underlying RSU</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Pr>
          <w:p>
            <w:pPr>
              <w:spacing w:after="0"/>
              <w:rPr>
                <w:sz w:val="13"/>
                <w:szCs w:val="13"/>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200"/>
        </w:trPr>
        <w:tc>
          <w:tcPr>
            <w:tcW w:w="4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as of December 31, 2015</w:t>
            </w:r>
          </w:p>
        </w:tc>
        <w:tc>
          <w:tcPr>
            <w:tcW w:w="17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2,079</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49.45</w:t>
            </w:r>
          </w:p>
        </w:tc>
        <w:tc>
          <w:tcPr>
            <w:tcW w:w="1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72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683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66.64</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released</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(774)</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44.89</w:t>
            </w:r>
          </w:p>
        </w:tc>
        <w:tc>
          <w:tcPr>
            <w:tcW w:w="1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52.86</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5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as of September 30, 2016</w:t>
            </w:r>
          </w:p>
        </w:tc>
        <w:tc>
          <w:tcPr>
            <w:tcW w:w="17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1,868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57.42</w:t>
            </w: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4"/>
                <w:szCs w:val="14"/>
                <w:color w:val="auto"/>
              </w:rPr>
              <w:t>175,091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4580" w:type="dxa"/>
            <w:vAlign w:val="bottom"/>
          </w:tcPr>
          <w:p>
            <w:pPr>
              <w:spacing w:after="0"/>
              <w:rPr>
                <w:sz w:val="24"/>
                <w:szCs w:val="24"/>
                <w:color w:val="auto"/>
              </w:rPr>
            </w:pPr>
          </w:p>
        </w:tc>
        <w:tc>
          <w:tcPr>
            <w:tcW w:w="1720" w:type="dxa"/>
            <w:vAlign w:val="bottom"/>
          </w:tcPr>
          <w:p>
            <w:pPr>
              <w:jc w:val="right"/>
              <w:ind w:right="434"/>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5" w:right="21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6"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As of September 30, 2016, the total unamortized compensation cost related to RSU, net of estimated forfeitures, was $71.2 million, which we expect to recognize over a weighted average period of 2.2 years.</w:t>
      </w:r>
    </w:p>
    <w:p>
      <w:pPr>
        <w:spacing w:after="0" w:line="125"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We have granted market-performance based restricted stock units (“MSU”) to our executive officers. Each MSU represents the right to one share of Align’s common stock and will be issued through our amended 2005 Incentive Plan. The actual number of MSU which will be eligible to vest will be based on the performance of Align’s stock price relative to the performance of the NASDAQ Composite Index over the vesting period, generally two to three years, up to 150% of the MSU initially granted.</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MSU activity for the nine months ended September 30, 2016 (in thousands, except years):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80" w:type="dxa"/>
            <w:vAlign w:val="bottom"/>
          </w:tcPr>
          <w:p>
            <w:pPr>
              <w:spacing w:after="0"/>
              <w:rPr>
                <w:sz w:val="11"/>
                <w:szCs w:val="11"/>
                <w:color w:val="auto"/>
              </w:rPr>
            </w:pPr>
          </w:p>
        </w:tc>
        <w:tc>
          <w:tcPr>
            <w:tcW w:w="1320" w:type="dxa"/>
            <w:vAlign w:val="bottom"/>
            <w:vMerge w:val="restart"/>
          </w:tcPr>
          <w:p>
            <w:pPr>
              <w:jc w:val="center"/>
              <w:ind w:left="324"/>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Weighted Average Grant Date</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Weighted Average</w:t>
            </w:r>
          </w:p>
        </w:tc>
        <w:tc>
          <w:tcPr>
            <w:tcW w:w="320" w:type="dxa"/>
            <w:vAlign w:val="bottom"/>
          </w:tcPr>
          <w:p>
            <w:pPr>
              <w:spacing w:after="0"/>
              <w:rPr>
                <w:sz w:val="11"/>
                <w:szCs w:val="11"/>
                <w:color w:val="auto"/>
              </w:rPr>
            </w:pPr>
          </w:p>
        </w:tc>
        <w:tc>
          <w:tcPr>
            <w:tcW w:w="1260" w:type="dxa"/>
            <w:vAlign w:val="bottom"/>
          </w:tcPr>
          <w:p>
            <w:pPr>
              <w:jc w:val="center"/>
              <w:ind w:right="281"/>
              <w:spacing w:after="0"/>
              <w:rPr>
                <w:sz w:val="20"/>
                <w:szCs w:val="20"/>
                <w:color w:val="auto"/>
              </w:rPr>
            </w:pPr>
            <w:r>
              <w:rPr>
                <w:rFonts w:ascii="Times New Roman" w:cs="Times New Roman" w:eastAsia="Times New Roman" w:hAnsi="Times New Roman"/>
                <w:sz w:val="11"/>
                <w:szCs w:val="11"/>
                <w:b w:val="1"/>
                <w:bCs w:val="1"/>
                <w:color w:val="auto"/>
                <w:w w:val="99"/>
              </w:rPr>
              <w:t>Aggregate</w:t>
            </w:r>
          </w:p>
        </w:tc>
        <w:tc>
          <w:tcPr>
            <w:tcW w:w="0" w:type="dxa"/>
            <w:vAlign w:val="bottom"/>
          </w:tcPr>
          <w:p>
            <w:pPr>
              <w:spacing w:after="0"/>
              <w:rPr>
                <w:sz w:val="1"/>
                <w:szCs w:val="1"/>
                <w:color w:val="auto"/>
              </w:rPr>
            </w:pPr>
          </w:p>
        </w:tc>
      </w:tr>
      <w:tr>
        <w:trPr>
          <w:trHeight w:val="115"/>
        </w:trPr>
        <w:tc>
          <w:tcPr>
            <w:tcW w:w="45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172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320" w:type="dxa"/>
            <w:vAlign w:val="bottom"/>
          </w:tcPr>
          <w:p>
            <w:pPr>
              <w:spacing w:after="0"/>
              <w:rPr>
                <w:sz w:val="10"/>
                <w:szCs w:val="10"/>
                <w:color w:val="auto"/>
              </w:rPr>
            </w:pPr>
          </w:p>
        </w:tc>
        <w:tc>
          <w:tcPr>
            <w:tcW w:w="1260" w:type="dxa"/>
            <w:vAlign w:val="bottom"/>
          </w:tcPr>
          <w:p>
            <w:pPr>
              <w:jc w:val="center"/>
              <w:ind w:right="301"/>
              <w:spacing w:after="0" w:line="115" w:lineRule="exact"/>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320" w:type="dxa"/>
            <w:vAlign w:val="bottom"/>
            <w:tcBorders>
              <w:bottom w:val="single" w:sz="8" w:color="auto"/>
            </w:tcBorders>
          </w:tcPr>
          <w:p>
            <w:pPr>
              <w:jc w:val="center"/>
              <w:ind w:left="324"/>
              <w:spacing w:after="0"/>
              <w:rPr>
                <w:sz w:val="20"/>
                <w:szCs w:val="20"/>
                <w:color w:val="auto"/>
              </w:rPr>
            </w:pPr>
            <w:r>
              <w:rPr>
                <w:rFonts w:ascii="Times New Roman" w:cs="Times New Roman" w:eastAsia="Times New Roman" w:hAnsi="Times New Roman"/>
                <w:sz w:val="11"/>
                <w:szCs w:val="11"/>
                <w:b w:val="1"/>
                <w:bCs w:val="1"/>
                <w:color w:val="auto"/>
              </w:rPr>
              <w:t>Underlying MSU</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Contractual Period</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200"/>
        </w:trPr>
        <w:tc>
          <w:tcPr>
            <w:tcW w:w="4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 years )</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as of December 31, 2015</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611</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957"/>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51.41</w:t>
            </w:r>
          </w:p>
        </w:tc>
        <w:tc>
          <w:tcPr>
            <w:tcW w:w="1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55.77</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released</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98"/>
              </w:rPr>
              <w:t>(271)</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36.73</w:t>
            </w:r>
          </w:p>
        </w:tc>
        <w:tc>
          <w:tcPr>
            <w:tcW w:w="1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56.41</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5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as of September 30, 2016</w:t>
            </w:r>
          </w:p>
        </w:tc>
        <w:tc>
          <w:tcPr>
            <w:tcW w:w="13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520</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957"/>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60.49</w:t>
            </w: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4"/>
                <w:szCs w:val="14"/>
                <w:color w:val="auto"/>
              </w:rPr>
              <w:t>48,783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As of September 30, 2016, the total unamortized compensation costs related to the MSU, net of estimated forfeitures, was $13.4 million, which we expect to recognize over a weighted average period of 1.4 years.</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 ("ESPP")</w:t>
      </w:r>
    </w:p>
    <w:p>
      <w:pPr>
        <w:spacing w:after="0" w:line="124"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In May 2010, our stockholders approved the 2010 Employee Stock Purchase Plan ("2010 Purchase Plan") which will continue until terminated by either the Board of Directors or its administrator. The maximum number of shares available for purchase under the 2010 Purchase Plan is 2,400,000 shares. As of September 30, 2016, 937,000 shares remain available for purchase under the 2010 Purchase Plan.</w:t>
      </w:r>
    </w:p>
    <w:p>
      <w:pPr>
        <w:spacing w:after="0" w:line="136"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The fair value of the option component of the 2010 Purchase Plan shares was estimated at the grant date using the Black-Scholes option pricing model with the following weighted average assumptions: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920" w:type="dxa"/>
            <w:vAlign w:val="bottom"/>
          </w:tcPr>
          <w:p>
            <w:pPr>
              <w:spacing w:after="0"/>
              <w:rPr>
                <w:sz w:val="11"/>
                <w:szCs w:val="11"/>
                <w:color w:val="auto"/>
              </w:rPr>
            </w:pPr>
          </w:p>
        </w:tc>
        <w:tc>
          <w:tcPr>
            <w:tcW w:w="2540" w:type="dxa"/>
            <w:vAlign w:val="bottom"/>
            <w:gridSpan w:val="6"/>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800" w:type="dxa"/>
            <w:vAlign w:val="bottom"/>
          </w:tcPr>
          <w:p>
            <w:pPr>
              <w:spacing w:after="0"/>
              <w:rPr>
                <w:sz w:val="11"/>
                <w:szCs w:val="11"/>
                <w:color w:val="auto"/>
              </w:rPr>
            </w:pPr>
          </w:p>
        </w:tc>
        <w:tc>
          <w:tcPr>
            <w:tcW w:w="1180" w:type="dxa"/>
            <w:vAlign w:val="bottom"/>
            <w:gridSpan w:val="3"/>
          </w:tcPr>
          <w:p>
            <w:pPr>
              <w:jc w:val="center"/>
              <w:ind w:left="74"/>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920" w:type="dxa"/>
            <w:vAlign w:val="bottom"/>
          </w:tcPr>
          <w:p>
            <w:pPr>
              <w:spacing w:after="0"/>
              <w:rPr>
                <w:sz w:val="13"/>
                <w:szCs w:val="13"/>
                <w:color w:val="auto"/>
              </w:rPr>
            </w:pPr>
          </w:p>
        </w:tc>
        <w:tc>
          <w:tcPr>
            <w:tcW w:w="2540" w:type="dxa"/>
            <w:vAlign w:val="bottom"/>
            <w:gridSpan w:val="6"/>
            <w:vMerge w:val="continue"/>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gridSpan w:val="3"/>
          </w:tcPr>
          <w:p>
            <w:pPr>
              <w:jc w:val="center"/>
              <w:ind w:left="7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92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2016</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2015</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2016</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2015</w:t>
            </w:r>
          </w:p>
        </w:tc>
        <w:tc>
          <w:tcPr>
            <w:tcW w:w="10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7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7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7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dividends</w:t>
            </w:r>
          </w:p>
        </w:tc>
        <w:tc>
          <w:tcPr>
            <w:tcW w:w="700" w:type="dxa"/>
            <w:vAlign w:val="bottom"/>
          </w:tcPr>
          <w:p>
            <w:pPr>
              <w:spacing w:after="0"/>
              <w:rPr>
                <w:sz w:val="16"/>
                <w:szCs w:val="16"/>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fair value at grant date</w:t>
            </w:r>
          </w:p>
        </w:tc>
        <w:tc>
          <w:tcPr>
            <w:tcW w:w="70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95"/>
              </w:rPr>
              <w:t>24.44</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95"/>
              </w:rPr>
              <w:t>17.10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22.23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16.19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9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September 30, 2016, the total unamortized compensation cost related to employee purchases was $1.2 million, which we expect to recognize over a weighted average period of 0.5 year.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Common Stock Repurchase</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April 2014 Repurchase Program</w:t>
      </w:r>
    </w:p>
    <w:p>
      <w:pPr>
        <w:spacing w:after="0" w:line="177"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In April 2014, we announced that our Board of Directors had authorized a stock repurchase program ("April 2014 Repurchase Program") pursuant to which we may purchase up to $300.0 million of our common stock over the next three years.</w:t>
      </w:r>
    </w:p>
    <w:p>
      <w:pPr>
        <w:spacing w:after="0" w:line="125"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On May 3, 2016, as part of our $300.0 million April 2014 Repurchase Program, we entered into an accelerated share repurchase agreement ("ASR") to repurchase $50.0 million of our common stock (the "2016 ASR".) Under the terms of the 2016 ASR, we paid $50.0 million and received an initial delivery of approximately 0.5 million shares. The 2016 ASR was completed on September 6, 2016 with a final delivery of approximately 0.1 million shares. We received a total of approximately 0.6 million shares under the 2016 ASR at a weighted average share price of $81.89. The final number of shares repurchased was based on our volume-weighted average stock price during the term of the transaction, less an agreed upon discount.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460"/>
          </w:cols>
          <w:pgMar w:left="220" w:top="125" w:right="21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63"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During 2016, we have repurchased on the open market approximately 0.1 million shares of our common stock at a weighted average of $93.21 per share, including commissions, for an aggregate purchase price of approximately $8.2 million. All repurchased shares were retired. As of September 30, 2016, we have $41.8 million remaining under the April 2014 Repurchase Program.</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April 2016 Repurchase Program</w:t>
      </w:r>
    </w:p>
    <w:p>
      <w:pPr>
        <w:spacing w:after="0" w:line="177"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On April 28, 2016, we announced that our Board of Directors had authorized an additional plan to repurchase up to $300.0 million of the Company's stock ("the April 2016 Repurchase Plan").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 As of September 30, 2016, there have not been any repurchases under this plan.</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Note 11. Accounting for Income Taxes</w:t>
      </w:r>
    </w:p>
    <w:p>
      <w:pPr>
        <w:spacing w:after="0" w:line="177"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4"/>
          <w:szCs w:val="14"/>
          <w:color w:val="auto"/>
        </w:rPr>
        <w:t>Our provision for income taxes was $11.7 million and $8.9 million for the three months ended September 30, 2016 and 2015, respectively, representing effective tax rates of 18.4% and 24.3%, respectively. Our effective tax rate differs from the statutory federal income tax rate of 35% due to certain foreign earnings, most significantly in Costa Rica and the Netherlands, which is subject to lower tax rates, and the impacts from our international corporate restructuring, explained below, partially offset by the tax impact of certain stock-based compensation charges, and unrecognized tax benefits. The decrease in the effective tax rate for the three months ended September 30, 2016 compared to the three months ended September 30, 2015 was primarily related to our international corporate restructuring described below.</w:t>
      </w:r>
    </w:p>
    <w:p>
      <w:pPr>
        <w:spacing w:after="0" w:line="141"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4"/>
          <w:szCs w:val="14"/>
          <w:color w:val="auto"/>
        </w:rPr>
        <w:t>Our provision for income taxes was $39.2 million and $31.3 million for the nine months ended September 30, 2016 and 2015, respectively, representing effective tax rates of 21.6% and 24.8%, respectively. Our effective tax rate differs from the statutory federal income tax rate of 35% due to certain foreign earnings, most significantly in Costa Rica and the Netherlands, which is subject to lower tax rates, and the impacts from our international corporate restructuring, explained below, partially offset by the tax impact of certain stock-based compensation charges, and unrecognized tax benefits. The decrease in the effective tax rate for the nine months ended September 30, 2016 compared to the nine months ended September 30, 2015 was primarily related to our international corporate restructuring described below.</w:t>
      </w:r>
    </w:p>
    <w:p>
      <w:pPr>
        <w:spacing w:after="0" w:line="141"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25"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Our total gross unrecognized tax benefits, excluding interest and penalties was $43.9 million and $39.4 million as of September 30, 2016 and December 31, 2015, respectively, all of which would impact our effective tax rate if recognized. Our total interest and penalties accrued as of September 30, 2016 was $1.7 million. We have elected to recognize interest and penalties related to unrecognized tax benefits as a component of income taxes. We do not expect any significant changes to the amount of unrecognized tax benefit within the next twelve months.</w:t>
      </w:r>
    </w:p>
    <w:p>
      <w:pPr>
        <w:spacing w:after="0" w:line="136"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We file U.S. federal, U.S. state, and non-U.S. income tax returns. Our major tax jurisdictions are U.S. federal and the State of California. For U.S. federal and state tax returns, we are no longer subject to tax examinations for years before 2000. With few exceptions, we are no longer subject to examination by foreign tax authorities for years before 2007. Our subsidiary in Israel is under audit by the local tax authorities for calendar years 2006 through 2013. The audit by the California Franchise Tax Board for fiscal years 2011, 2012 and 2013 was concluded without material adjustment during the quarter ended September 30, 2016.</w:t>
      </w:r>
    </w:p>
    <w:p>
      <w:pPr>
        <w:spacing w:after="0" w:line="141" w:lineRule="exact"/>
        <w:rPr>
          <w:sz w:val="20"/>
          <w:szCs w:val="20"/>
          <w:color w:val="auto"/>
        </w:rPr>
      </w:pPr>
    </w:p>
    <w:p>
      <w:pPr>
        <w:jc w:val="both"/>
        <w:ind w:firstLine="252"/>
        <w:spacing w:after="0" w:line="255" w:lineRule="auto"/>
        <w:rPr>
          <w:sz w:val="20"/>
          <w:szCs w:val="20"/>
          <w:color w:val="auto"/>
        </w:rPr>
      </w:pPr>
      <w:r>
        <w:rPr>
          <w:rFonts w:ascii="Times New Roman" w:cs="Times New Roman" w:eastAsia="Times New Roman" w:hAnsi="Times New Roman"/>
          <w:sz w:val="14"/>
          <w:szCs w:val="14"/>
          <w:color w:val="auto"/>
        </w:rPr>
        <w:t>On July 1, 2016, we implemented a new international corporate structure. This changes the structure of our international procurement and sales operations, as well as realigns the ownership and use of intellectual property among our wholly-owned subsidiaries. We continue to anticipate that an increasing percentage of our consolidated pre-tax income will be derived from, and reinvested in our foreign operations. We believe that income taxed in certain foreign jurisdictions at a lower rate relative to the U.S. federal statutory rate will have a beneficial impact on our worldwide effective tax rate over time. Although the license of intellectual property rights between consolidated entities did not result in any gain in the consolidated financial statements, the Company generated taxable gains in certain jurisdictions resulting in a tax expense in the quarter of $26.6 million. Additionally, as a result of the restructuring, we reassessed the need for a valuation allowance against our deferred tax assets considering all available evidence. Given the current earnings and anticipated future earnings of our subsidiary in Israel, we concluded that we have sufficient positive evidence to release the valuation allowance against our Israel operating loss carryforwards of $31.4 million, which resulted in an income tax benefit in this period of the same amount.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460"/>
          </w:cols>
          <w:pgMar w:left="220" w:top="125" w:right="21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63"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As of September 30, 2016, we maintained a valuation allowance of $0.3 million against Australia capital loss carryforwards. These net capital loss carryforwards would result in the recording of an income tax benefit if we were to conclude it is more likely than not that the related deferred tax assets will be realized.</w:t>
      </w:r>
    </w:p>
    <w:p>
      <w:pPr>
        <w:spacing w:after="0" w:line="125" w:lineRule="exact"/>
        <w:rPr>
          <w:sz w:val="20"/>
          <w:szCs w:val="20"/>
          <w:color w:val="auto"/>
        </w:rPr>
      </w:pPr>
    </w:p>
    <w:p>
      <w:pPr>
        <w:jc w:val="both"/>
        <w:ind w:firstLine="252"/>
        <w:spacing w:after="0" w:line="254" w:lineRule="auto"/>
        <w:rPr>
          <w:sz w:val="20"/>
          <w:szCs w:val="20"/>
          <w:color w:val="auto"/>
        </w:rPr>
      </w:pPr>
      <w:r>
        <w:rPr>
          <w:rFonts w:ascii="Times New Roman" w:cs="Times New Roman" w:eastAsia="Times New Roman" w:hAnsi="Times New Roman"/>
          <w:sz w:val="14"/>
          <w:szCs w:val="14"/>
          <w:color w:val="auto"/>
        </w:rPr>
        <w:t>In June 2009, the Costa Rica Ministry of Foreign Trade, an agency of the Government of Costa Rica, granted a twelve year extension of certain income tax incentives, which were previously granted in 2002. The incentive tax rates will expire in various years beginning in 2017. We intend to seek a renewal of these income tax incentives before they expire. Under these incentives, all of the income in Costa Rica during these twelve year incentive periods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2016 and 2015. Income taxes were reduced by $0.3 million and $8.2 million for the three months ended September 30, 2016 and 2015, respectively, representing a minimal impact to diluted net income per share to the three months ended September 30, 2016 and a benefit to diluted net income per share of $0.10 in 2015. As a result of these incentives, our income taxes were reduced by $17.5 million and $24.6 million for the nine months ended September 30, 2016 and 2015, respectively, representing a benefit to diluted net income per share of $0.21 and $0.30 in 2016 and 2015, respectively.</w:t>
      </w:r>
    </w:p>
    <w:p>
      <w:pPr>
        <w:spacing w:after="0" w:line="147"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We maintain sufficient cash reserves in the U.S. and do not intend to repatriate our foreign earnings. As a result, income taxes have not been provided on these foreign earnings. If these earnings were distributed in the form of dividends or otherwise, or if the shares of the relevant foreign subsidiaries were sold or otherwise transferred, we would be subject to additional U.S. income taxes subject to an adjustment for foreign tax credits and foreign withholding taxes. We intend to use the undistributed earnings for local operating expansions and to meet local operating working capital needs. In addition, a significant amount of the cash earned by foreign subsidiaries is deployed to effect this international restructure.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Net Income Per Share</w:t>
      </w:r>
    </w:p>
    <w:p>
      <w:pPr>
        <w:spacing w:after="0" w:line="177"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Basic net income per share is computed using the weighted average number of shares of common stock outstanding during the period. Diluted net income per share is computed using the weighted average number of shares of common stock, adjusted for any dilutive effect of potential common stock. Potential common stock, computed using the treasury stock method, includes RSU, MSU, stock options and ESPP.</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net income per share attributable to common stock (in thousands, except per share amounts):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40" w:type="dxa"/>
            <w:vAlign w:val="bottom"/>
            <w:gridSpan w:val="3"/>
          </w:tcPr>
          <w:p>
            <w:pPr>
              <w:jc w:val="right"/>
              <w:ind w:right="5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0" w:type="dxa"/>
            <w:vAlign w:val="bottom"/>
            <w:gridSpan w:val="3"/>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100" w:type="dxa"/>
            <w:vAlign w:val="bottom"/>
          </w:tcPr>
          <w:p>
            <w:pPr>
              <w:spacing w:after="0"/>
              <w:rPr>
                <w:sz w:val="11"/>
                <w:szCs w:val="11"/>
                <w:color w:val="auto"/>
              </w:rPr>
            </w:pPr>
          </w:p>
        </w:tc>
      </w:tr>
      <w:tr>
        <w:trPr>
          <w:trHeight w:val="152"/>
        </w:trPr>
        <w:tc>
          <w:tcPr>
            <w:tcW w:w="426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100" w:type="dxa"/>
            <w:vAlign w:val="bottom"/>
            <w:tcBorders>
              <w:bottom w:val="single" w:sz="8" w:color="auto"/>
            </w:tcBorders>
          </w:tcPr>
          <w:p>
            <w:pPr>
              <w:spacing w:after="0"/>
              <w:rPr>
                <w:sz w:val="13"/>
                <w:szCs w:val="13"/>
                <w:color w:val="auto"/>
              </w:rPr>
            </w:pPr>
          </w:p>
        </w:tc>
      </w:tr>
      <w:tr>
        <w:trPr>
          <w:trHeight w:val="200"/>
        </w:trPr>
        <w:tc>
          <w:tcPr>
            <w:tcW w:w="42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2016</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1"/>
                <w:szCs w:val="11"/>
                <w:b w:val="1"/>
                <w:bCs w:val="1"/>
                <w:color w:val="auto"/>
              </w:rPr>
              <w:t>2015</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1"/>
                <w:szCs w:val="11"/>
                <w:b w:val="1"/>
                <w:bCs w:val="1"/>
                <w:color w:val="auto"/>
              </w:rPr>
              <w:t>2016</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1"/>
                <w:szCs w:val="11"/>
                <w:b w:val="1"/>
                <w:bCs w:val="1"/>
                <w:color w:val="auto"/>
              </w:rPr>
              <w:t>2015</w:t>
            </w:r>
          </w:p>
        </w:tc>
      </w:tr>
      <w:tr>
        <w:trPr>
          <w:trHeight w:val="184"/>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1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189"/>
        </w:trPr>
        <w:tc>
          <w:tcPr>
            <w:tcW w:w="42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51,367</w:t>
            </w:r>
          </w:p>
        </w:tc>
        <w:tc>
          <w:tcPr>
            <w:tcW w:w="120" w:type="dxa"/>
            <w:vAlign w:val="bottom"/>
          </w:tcPr>
          <w:p>
            <w:pPr>
              <w:spacing w:after="0"/>
              <w:rPr>
                <w:sz w:val="16"/>
                <w:szCs w:val="16"/>
                <w:color w:val="auto"/>
              </w:rPr>
            </w:pPr>
          </w:p>
        </w:tc>
        <w:tc>
          <w:tcPr>
            <w:tcW w:w="600" w:type="dxa"/>
            <w:vAlign w:val="bottom"/>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27,616</w:t>
            </w:r>
          </w:p>
        </w:tc>
        <w:tc>
          <w:tcPr>
            <w:tcW w:w="120" w:type="dxa"/>
            <w:vAlign w:val="bottom"/>
          </w:tcPr>
          <w:p>
            <w:pPr>
              <w:spacing w:after="0"/>
              <w:rPr>
                <w:sz w:val="16"/>
                <w:szCs w:val="16"/>
                <w:color w:val="auto"/>
              </w:rPr>
            </w:pPr>
          </w:p>
        </w:tc>
        <w:tc>
          <w:tcPr>
            <w:tcW w:w="4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142,061</w:t>
            </w:r>
          </w:p>
        </w:tc>
        <w:tc>
          <w:tcPr>
            <w:tcW w:w="100" w:type="dxa"/>
            <w:vAlign w:val="bottom"/>
          </w:tcPr>
          <w:p>
            <w:pPr>
              <w:spacing w:after="0"/>
              <w:rPr>
                <w:sz w:val="16"/>
                <w:szCs w:val="16"/>
                <w:color w:val="auto"/>
              </w:rPr>
            </w:pPr>
          </w:p>
        </w:tc>
        <w:tc>
          <w:tcPr>
            <w:tcW w:w="600" w:type="dxa"/>
            <w:vAlign w:val="bottom"/>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95,143</w:t>
            </w:r>
          </w:p>
        </w:tc>
      </w:tr>
      <w:tr>
        <w:trPr>
          <w:trHeight w:val="61"/>
        </w:trPr>
        <w:tc>
          <w:tcPr>
            <w:tcW w:w="426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161"/>
        </w:trPr>
        <w:tc>
          <w:tcPr>
            <w:tcW w:w="4260" w:type="dxa"/>
            <w:vAlign w:val="bottom"/>
            <w:tcBorders>
              <w:bottom w:val="single" w:sz="8" w:color="CCEEFF"/>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Denominator:</w:t>
            </w:r>
          </w:p>
        </w:tc>
        <w:tc>
          <w:tcPr>
            <w:tcW w:w="1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r>
      <w:tr>
        <w:trPr>
          <w:trHeight w:val="189"/>
        </w:trPr>
        <w:tc>
          <w:tcPr>
            <w:tcW w:w="42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Weighted-average common shares outstanding, basic</w:t>
            </w:r>
          </w:p>
        </w:tc>
        <w:tc>
          <w:tcPr>
            <w:tcW w:w="1100" w:type="dxa"/>
            <w:vAlign w:val="bottom"/>
          </w:tcPr>
          <w:p>
            <w:pPr>
              <w:spacing w:after="0"/>
              <w:rPr>
                <w:sz w:val="16"/>
                <w:szCs w:val="16"/>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79,977</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79,808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79,920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80,173</w:t>
            </w:r>
          </w:p>
        </w:tc>
      </w:tr>
      <w:tr>
        <w:trPr>
          <w:trHeight w:val="21"/>
        </w:trPr>
        <w:tc>
          <w:tcPr>
            <w:tcW w:w="4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4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Dilutive effect of potential common stock</w:t>
            </w:r>
          </w:p>
        </w:tc>
        <w:tc>
          <w:tcPr>
            <w:tcW w:w="1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1,489</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1,284</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1,603</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1,403</w:t>
            </w:r>
          </w:p>
        </w:tc>
      </w:tr>
      <w:tr>
        <w:trPr>
          <w:trHeight w:val="179"/>
        </w:trPr>
        <w:tc>
          <w:tcPr>
            <w:tcW w:w="42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shares, diluted</w:t>
            </w:r>
          </w:p>
        </w:tc>
        <w:tc>
          <w:tcPr>
            <w:tcW w:w="1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color w:val="auto"/>
              </w:rPr>
              <w:t>81,466</w:t>
            </w:r>
          </w:p>
        </w:tc>
        <w:tc>
          <w:tcPr>
            <w:tcW w:w="1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81,092</w:t>
            </w: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81,523</w:t>
            </w: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81,576</w:t>
            </w:r>
          </w:p>
        </w:tc>
      </w:tr>
      <w:tr>
        <w:trPr>
          <w:trHeight w:val="61"/>
        </w:trPr>
        <w:tc>
          <w:tcPr>
            <w:tcW w:w="426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23"/>
        </w:trPr>
        <w:tc>
          <w:tcPr>
            <w:tcW w:w="4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89"/>
        </w:trPr>
        <w:tc>
          <w:tcPr>
            <w:tcW w:w="42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Net income per share, basic</w:t>
            </w:r>
          </w:p>
        </w:tc>
        <w:tc>
          <w:tcPr>
            <w:tcW w:w="1100" w:type="dxa"/>
            <w:vAlign w:val="bottom"/>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0.64</w:t>
            </w:r>
          </w:p>
        </w:tc>
        <w:tc>
          <w:tcPr>
            <w:tcW w:w="120" w:type="dxa"/>
            <w:vAlign w:val="bottom"/>
          </w:tcPr>
          <w:p>
            <w:pPr>
              <w:spacing w:after="0"/>
              <w:rPr>
                <w:sz w:val="16"/>
                <w:szCs w:val="16"/>
                <w:color w:val="auto"/>
              </w:rPr>
            </w:pPr>
          </w:p>
        </w:tc>
        <w:tc>
          <w:tcPr>
            <w:tcW w:w="600" w:type="dxa"/>
            <w:vAlign w:val="bottom"/>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0.35</w:t>
            </w:r>
          </w:p>
        </w:tc>
        <w:tc>
          <w:tcPr>
            <w:tcW w:w="120" w:type="dxa"/>
            <w:vAlign w:val="bottom"/>
          </w:tcPr>
          <w:p>
            <w:pPr>
              <w:spacing w:after="0"/>
              <w:rPr>
                <w:sz w:val="16"/>
                <w:szCs w:val="16"/>
                <w:color w:val="auto"/>
              </w:rPr>
            </w:pPr>
          </w:p>
        </w:tc>
        <w:tc>
          <w:tcPr>
            <w:tcW w:w="4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6"/>
                <w:szCs w:val="16"/>
                <w:color w:val="auto"/>
              </w:rPr>
            </w:pPr>
          </w:p>
        </w:tc>
        <w:tc>
          <w:tcPr>
            <w:tcW w:w="600" w:type="dxa"/>
            <w:vAlign w:val="bottom"/>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1.19</w:t>
            </w:r>
          </w:p>
        </w:tc>
      </w:tr>
      <w:tr>
        <w:trPr>
          <w:trHeight w:val="61"/>
        </w:trPr>
        <w:tc>
          <w:tcPr>
            <w:tcW w:w="426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186"/>
        </w:trPr>
        <w:tc>
          <w:tcPr>
            <w:tcW w:w="4260" w:type="dxa"/>
            <w:vAlign w:val="bottom"/>
            <w:tcBorders>
              <w:bottom w:val="single" w:sz="8" w:color="CCEEFF"/>
            </w:tcBorders>
            <w:shd w:val="clear" w:color="auto" w:fill="CCEEFF"/>
          </w:tcPr>
          <w:p>
            <w:pPr>
              <w:ind w:left="540"/>
              <w:spacing w:after="0" w:line="143" w:lineRule="exact"/>
              <w:rPr>
                <w:sz w:val="20"/>
                <w:szCs w:val="20"/>
                <w:color w:val="auto"/>
              </w:rPr>
            </w:pPr>
            <w:r>
              <w:rPr>
                <w:rFonts w:ascii="Times New Roman" w:cs="Times New Roman" w:eastAsia="Times New Roman" w:hAnsi="Times New Roman"/>
                <w:sz w:val="14"/>
                <w:szCs w:val="14"/>
                <w:color w:val="auto"/>
              </w:rPr>
              <w:t>Net income per share, diluted</w:t>
            </w:r>
          </w:p>
        </w:tc>
        <w:tc>
          <w:tcPr>
            <w:tcW w:w="1100" w:type="dxa"/>
            <w:vAlign w:val="bottom"/>
            <w:tcBorders>
              <w:bottom w:val="single" w:sz="8" w:color="CCEEFF"/>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0.63</w:t>
            </w: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0.34</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1.17</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the nine months ended September 30, 2016 and 2015, the anti-dilutive effect from RSU, MSU, stock options and ESPP was not material.</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460"/>
          </w:cols>
          <w:pgMar w:left="220" w:top="125" w:right="21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Segments and Geographical Information</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124"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Operating segments are defined as components of an enterprise for which separate financial information is available and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the CODM for decision making and performance assessment as the basis for determining our reportable segments. The performance measures of our reportable segments include net revenues and gross profit.</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have grouped our operations into two reportable segments which are also our reporting units: Clear Aligner segment and Scanner segment.</w:t>
      </w:r>
    </w:p>
    <w:p>
      <w:pPr>
        <w:spacing w:after="0" w:line="175" w:lineRule="exact"/>
        <w:rPr>
          <w:sz w:val="20"/>
          <w:szCs w:val="20"/>
          <w:color w:val="auto"/>
        </w:rPr>
      </w:pPr>
    </w:p>
    <w:p>
      <w:pPr>
        <w:ind w:left="760" w:hanging="379"/>
        <w:spacing w:after="0" w:line="282" w:lineRule="auto"/>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Clear Aligner segment consists of our Invisalign system which includes Invisalign Full, Express/Lite, Teen, Assist, Vivera retainers, along with our training and ancillary products for treating malocclusion.</w:t>
      </w:r>
    </w:p>
    <w:p>
      <w:pPr>
        <w:spacing w:after="0" w:line="83" w:lineRule="exact"/>
        <w:rPr>
          <w:rFonts w:ascii="Times New Roman" w:cs="Times New Roman" w:eastAsia="Times New Roman" w:hAnsi="Times New Roman"/>
          <w:sz w:val="14"/>
          <w:szCs w:val="14"/>
          <w:color w:val="auto"/>
        </w:rPr>
      </w:pPr>
    </w:p>
    <w:p>
      <w:pPr>
        <w:ind w:left="760" w:hanging="379"/>
        <w:spacing w:after="0" w:line="282" w:lineRule="auto"/>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83" w:lineRule="exact"/>
        <w:rPr>
          <w:sz w:val="20"/>
          <w:szCs w:val="20"/>
          <w:color w:val="auto"/>
        </w:rPr>
      </w:pPr>
    </w:p>
    <w:p>
      <w:pPr>
        <w:ind w:firstLine="252"/>
        <w:spacing w:after="0" w:line="282" w:lineRule="auto"/>
        <w:rPr>
          <w:sz w:val="20"/>
          <w:szCs w:val="20"/>
          <w:color w:val="auto"/>
        </w:rPr>
      </w:pPr>
      <w:r>
        <w:rPr>
          <w:rFonts w:ascii="Times New Roman" w:cs="Times New Roman" w:eastAsia="Times New Roman" w:hAnsi="Times New Roman"/>
          <w:sz w:val="14"/>
          <w:szCs w:val="14"/>
          <w:color w:val="auto"/>
        </w:rPr>
        <w:t>These reportable operating segments are based on how our CODM views and evaluates our operations as well as allocation of resources. The following information relates to these segments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For the Three Months Ended September 30,</w:t>
            </w:r>
          </w:p>
        </w:tc>
        <w:tc>
          <w:tcPr>
            <w:tcW w:w="140" w:type="dxa"/>
            <w:vAlign w:val="bottom"/>
          </w:tcPr>
          <w:p>
            <w:pPr>
              <w:spacing w:after="0"/>
              <w:rPr>
                <w:sz w:val="12"/>
                <w:szCs w:val="12"/>
                <w:color w:val="auto"/>
              </w:rPr>
            </w:pPr>
          </w:p>
        </w:tc>
        <w:tc>
          <w:tcPr>
            <w:tcW w:w="2240" w:type="dxa"/>
            <w:vAlign w:val="bottom"/>
            <w:gridSpan w:val="4"/>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w:t>
            </w:r>
          </w:p>
        </w:tc>
      </w:tr>
      <w:tr>
        <w:trPr>
          <w:trHeight w:val="204"/>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1"/>
                <w:szCs w:val="11"/>
                <w:b w:val="1"/>
                <w:bCs w:val="1"/>
                <w:color w:val="auto"/>
              </w:rPr>
              <w:t>2016</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2015</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1"/>
                <w:szCs w:val="11"/>
                <w:b w:val="1"/>
                <w:bCs w:val="1"/>
                <w:color w:val="auto"/>
              </w:rPr>
              <w:t>2016</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2015</w:t>
            </w:r>
          </w:p>
        </w:tc>
      </w:tr>
      <w:tr>
        <w:trPr>
          <w:trHeight w:val="184"/>
        </w:trPr>
        <w:tc>
          <w:tcPr>
            <w:tcW w:w="6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Clear Aligner</w:t>
            </w: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243,668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198,292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706,802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586,138</w:t>
            </w:r>
          </w:p>
        </w:tc>
      </w:tr>
      <w:tr>
        <w:trPr>
          <w:trHeight w:val="189"/>
        </w:trPr>
        <w:tc>
          <w:tcPr>
            <w:tcW w:w="6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Scanner</w:t>
            </w:r>
          </w:p>
        </w:tc>
        <w:tc>
          <w:tcPr>
            <w:tcW w:w="180" w:type="dxa"/>
            <w:vAlign w:val="bottom"/>
          </w:tcPr>
          <w:p>
            <w:pPr>
              <w:spacing w:after="0"/>
              <w:rPr>
                <w:sz w:val="16"/>
                <w:szCs w:val="16"/>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34,921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9,344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79,869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29,072</w:t>
            </w:r>
          </w:p>
        </w:tc>
      </w:tr>
      <w:tr>
        <w:trPr>
          <w:trHeight w:val="21"/>
        </w:trPr>
        <w:tc>
          <w:tcPr>
            <w:tcW w:w="6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5"/>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278,589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207,636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786,671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615,210</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18"/>
        </w:trPr>
        <w:tc>
          <w:tcPr>
            <w:tcW w:w="6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90"/>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189"/>
        </w:trPr>
        <w:tc>
          <w:tcPr>
            <w:tcW w:w="6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Clear Aligner</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189,270</w:t>
            </w:r>
          </w:p>
        </w:tc>
        <w:tc>
          <w:tcPr>
            <w:tcW w:w="12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156,205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552,663</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461,502</w:t>
            </w:r>
          </w:p>
        </w:tc>
      </w:tr>
      <w:tr>
        <w:trPr>
          <w:trHeight w:val="21"/>
        </w:trPr>
        <w:tc>
          <w:tcPr>
            <w:tcW w:w="6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0"/>
        </w:trPr>
        <w:tc>
          <w:tcPr>
            <w:tcW w:w="6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Scanner</w:t>
            </w: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19,932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1,371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42,382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5,798</w:t>
            </w:r>
          </w:p>
        </w:tc>
      </w:tr>
      <w:tr>
        <w:trPr>
          <w:trHeight w:val="179"/>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gross profit</w:t>
            </w: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color w:val="auto"/>
              </w:rPr>
              <w:t>209,202</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157,576</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color w:val="auto"/>
              </w:rPr>
              <w:t>595,045</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467,300</w:t>
            </w:r>
          </w:p>
        </w:tc>
      </w:tr>
      <w:tr>
        <w:trPr>
          <w:trHeight w:val="21"/>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Geographical Information</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July 1, 2016, we implemented a new international corporate structure. This changed the structure of our international procurement and sales operations.</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revenues are presented below by geographic area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8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For the Three Months Ended September 30,</w:t>
            </w:r>
          </w:p>
        </w:tc>
        <w:tc>
          <w:tcPr>
            <w:tcW w:w="140" w:type="dxa"/>
            <w:vAlign w:val="bottom"/>
          </w:tcPr>
          <w:p>
            <w:pPr>
              <w:spacing w:after="0"/>
              <w:rPr>
                <w:sz w:val="13"/>
                <w:szCs w:val="13"/>
                <w:color w:val="auto"/>
              </w:rPr>
            </w:pPr>
          </w:p>
        </w:tc>
        <w:tc>
          <w:tcPr>
            <w:tcW w:w="2240" w:type="dxa"/>
            <w:vAlign w:val="bottom"/>
            <w:gridSpan w:val="4"/>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w:t>
            </w:r>
          </w:p>
        </w:tc>
      </w:tr>
      <w:tr>
        <w:trPr>
          <w:trHeight w:val="200"/>
        </w:trPr>
        <w:tc>
          <w:tcPr>
            <w:tcW w:w="63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1"/>
                <w:szCs w:val="11"/>
                <w:b w:val="1"/>
                <w:bCs w:val="1"/>
                <w:color w:val="auto"/>
              </w:rPr>
              <w:t>2016</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2015</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2016</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2015</w:t>
            </w:r>
          </w:p>
        </w:tc>
      </w:tr>
      <w:tr>
        <w:trPr>
          <w:trHeight w:val="204"/>
        </w:trPr>
        <w:tc>
          <w:tcPr>
            <w:tcW w:w="63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4"/>
                <w:szCs w:val="14"/>
                <w:color w:val="auto"/>
              </w:rPr>
              <w:t xml:space="preserve">Net revenues: </w:t>
            </w:r>
            <w:r>
              <w:rPr>
                <w:rFonts w:ascii="Times New Roman" w:cs="Times New Roman" w:eastAsia="Times New Roman" w:hAnsi="Times New Roman"/>
                <w:sz w:val="19"/>
                <w:szCs w:val="19"/>
                <w:b w:val="1"/>
                <w:bCs w:val="1"/>
                <w:color w:val="auto"/>
                <w:vertAlign w:val="superscript"/>
              </w:rPr>
              <w:t>(1)</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89"/>
        </w:trPr>
        <w:tc>
          <w:tcPr>
            <w:tcW w:w="6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U.S.</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168,501</w:t>
            </w:r>
          </w:p>
        </w:tc>
        <w:tc>
          <w:tcPr>
            <w:tcW w:w="12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143,933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516,924</w:t>
            </w:r>
          </w:p>
        </w:tc>
        <w:tc>
          <w:tcPr>
            <w:tcW w:w="10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429,005</w:t>
            </w:r>
          </w:p>
        </w:tc>
      </w:tr>
      <w:tr>
        <w:trPr>
          <w:trHeight w:val="21"/>
        </w:trPr>
        <w:tc>
          <w:tcPr>
            <w:tcW w:w="6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0"/>
        </w:trPr>
        <w:tc>
          <w:tcPr>
            <w:tcW w:w="63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the Netherlands</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87,051</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37,427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191,049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118,295</w:t>
            </w:r>
          </w:p>
        </w:tc>
      </w:tr>
      <w:tr>
        <w:trPr>
          <w:trHeight w:val="189"/>
        </w:trPr>
        <w:tc>
          <w:tcPr>
            <w:tcW w:w="6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Other international</w:t>
            </w:r>
          </w:p>
        </w:tc>
        <w:tc>
          <w:tcPr>
            <w:tcW w:w="180" w:type="dxa"/>
            <w:vAlign w:val="bottom"/>
          </w:tcPr>
          <w:p>
            <w:pPr>
              <w:spacing w:after="0"/>
              <w:rPr>
                <w:sz w:val="16"/>
                <w:szCs w:val="16"/>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23,037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26,276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78,698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67,910</w:t>
            </w:r>
          </w:p>
        </w:tc>
      </w:tr>
      <w:tr>
        <w:trPr>
          <w:trHeight w:val="21"/>
        </w:trPr>
        <w:tc>
          <w:tcPr>
            <w:tcW w:w="6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0"/>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278,589</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207,636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786,671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615,210</w:t>
            </w:r>
          </w:p>
        </w:tc>
      </w:tr>
      <w:tr>
        <w:trPr>
          <w:trHeight w:val="20"/>
        </w:trPr>
        <w:tc>
          <w:tcPr>
            <w:tcW w:w="6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ind w:left="400" w:hanging="144"/>
        <w:spacing w:after="0" w:line="197" w:lineRule="auto"/>
        <w:tabs>
          <w:tab w:leader="none" w:pos="400" w:val="left"/>
        </w:tabs>
        <w:numPr>
          <w:ilvl w:val="0"/>
          <w:numId w:val="5"/>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Net revenues are attributed to countries based on location of where revenue is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4010660</wp:posOffset>
            </wp:positionH>
            <wp:positionV relativeFrom="paragraph">
              <wp:posOffset>-100330</wp:posOffset>
            </wp:positionV>
            <wp:extent cx="326898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8980" cy="6350"/>
                    </a:xfrm>
                    <a:prstGeom prst="rect">
                      <a:avLst/>
                    </a:prstGeom>
                    <a:noFill/>
                  </pic:spPr>
                </pic:pic>
              </a:graphicData>
            </a:graphic>
          </wp:anchor>
        </w:drawing>
      </w:r>
    </w:p>
    <w:p>
      <w:pPr>
        <w:spacing w:after="0" w:line="152" w:lineRule="exact"/>
        <w:rPr>
          <w:sz w:val="20"/>
          <w:szCs w:val="20"/>
          <w:color w:val="auto"/>
        </w:rPr>
      </w:pPr>
    </w:p>
    <w:p>
      <w:pPr>
        <w:ind w:firstLine="252"/>
        <w:spacing w:after="0" w:line="282" w:lineRule="auto"/>
        <w:rPr>
          <w:sz w:val="20"/>
          <w:szCs w:val="20"/>
          <w:color w:val="auto"/>
        </w:rPr>
      </w:pPr>
      <w:r>
        <w:rPr>
          <w:rFonts w:ascii="Times New Roman" w:cs="Times New Roman" w:eastAsia="Times New Roman" w:hAnsi="Times New Roman"/>
          <w:sz w:val="14"/>
          <w:szCs w:val="14"/>
          <w:color w:val="auto"/>
        </w:rPr>
        <w:t>As a result of the new international corporate structure changes approximately $92.0 million in long-lived assets were transfered into our Netherlands entity as of July 1, 2016. Tangible long-lived assets are presented below by geographic area (in thousands):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460"/>
          </w:cols>
          <w:pgMar w:left="220" w:top="125" w:right="21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September 30, 2016</w:t>
            </w:r>
          </w:p>
        </w:tc>
        <w:tc>
          <w:tcPr>
            <w:tcW w:w="160" w:type="dxa"/>
            <w:vAlign w:val="bottom"/>
          </w:tcPr>
          <w:p>
            <w:pPr>
              <w:spacing w:after="0"/>
              <w:rPr>
                <w:sz w:val="13"/>
                <w:szCs w:val="13"/>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December 31, 2015</w:t>
            </w:r>
          </w:p>
        </w:tc>
      </w:tr>
      <w:tr>
        <w:trPr>
          <w:trHeight w:val="204"/>
        </w:trPr>
        <w:tc>
          <w:tcPr>
            <w:tcW w:w="860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4"/>
                <w:szCs w:val="14"/>
                <w:color w:val="auto"/>
              </w:rPr>
              <w:t>Long-lived assets:</w:t>
            </w:r>
            <w:r>
              <w:rPr>
                <w:rFonts w:ascii="Times New Roman" w:cs="Times New Roman" w:eastAsia="Times New Roman" w:hAnsi="Times New Roman"/>
                <w:sz w:val="19"/>
                <w:szCs w:val="19"/>
                <w:b w:val="1"/>
                <w:bCs w:val="1"/>
                <w:color w:val="auto"/>
                <w:vertAlign w:val="superscript"/>
              </w:rPr>
              <w:t>(2)</w:t>
            </w: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189"/>
        </w:trPr>
        <w:tc>
          <w:tcPr>
            <w:tcW w:w="8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43,652</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112,632</w:t>
            </w:r>
          </w:p>
        </w:tc>
      </w:tr>
      <w:tr>
        <w:trPr>
          <w:trHeight w:val="21"/>
        </w:trPr>
        <w:tc>
          <w:tcPr>
            <w:tcW w:w="8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0"/>
        </w:trPr>
        <w:tc>
          <w:tcPr>
            <w:tcW w:w="8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Netherlands</w:t>
            </w: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109,156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486</w:t>
            </w:r>
          </w:p>
        </w:tc>
      </w:tr>
      <w:tr>
        <w:trPr>
          <w:trHeight w:val="189"/>
        </w:trPr>
        <w:tc>
          <w:tcPr>
            <w:tcW w:w="8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Mexico</w:t>
            </w:r>
          </w:p>
        </w:tc>
        <w:tc>
          <w:tcPr>
            <w:tcW w:w="160" w:type="dxa"/>
            <w:vAlign w:val="bottom"/>
          </w:tcPr>
          <w:p>
            <w:pPr>
              <w:spacing w:after="0"/>
              <w:rPr>
                <w:sz w:val="16"/>
                <w:szCs w:val="16"/>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17,055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15,422</w:t>
            </w:r>
          </w:p>
        </w:tc>
      </w:tr>
      <w:tr>
        <w:trPr>
          <w:trHeight w:val="21"/>
        </w:trPr>
        <w:tc>
          <w:tcPr>
            <w:tcW w:w="8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0"/>
        </w:trPr>
        <w:tc>
          <w:tcPr>
            <w:tcW w:w="8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International</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2,795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7,933</w:t>
            </w:r>
          </w:p>
        </w:tc>
      </w:tr>
      <w:tr>
        <w:trPr>
          <w:trHeight w:val="179"/>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long-lived assets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172,658</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136,473</w:t>
            </w:r>
          </w:p>
        </w:tc>
      </w:tr>
      <w:tr>
        <w:trPr>
          <w:trHeight w:val="21"/>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400" w:hanging="144"/>
        <w:spacing w:after="0"/>
        <w:tabs>
          <w:tab w:leader="none" w:pos="400" w:val="left"/>
        </w:tabs>
        <w:numPr>
          <w:ilvl w:val="0"/>
          <w:numId w:val="6"/>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Long-lived assets are attributed to countries based on the entity that owns the asset</w:t>
      </w:r>
      <w:r>
        <w:rPr>
          <w:rFonts w:ascii="Times New Roman" w:cs="Times New Roman" w:eastAsia="Times New Roman" w:hAnsi="Times New Roman"/>
          <w:sz w:val="12"/>
          <w:szCs w:val="12"/>
          <w:color w:val="auto"/>
        </w:rPr>
        <w:t>.</w:t>
      </w:r>
    </w:p>
    <w:p>
      <w:pPr>
        <w:spacing w:after="0" w:line="30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4"/>
          <w:szCs w:val="14"/>
          <w:color w:val="auto"/>
        </w:rPr>
        <w:t>ITEM 2.</w:t>
      </w:r>
      <w:r>
        <w:rPr>
          <w:sz w:val="20"/>
          <w:szCs w:val="20"/>
          <w:color w:val="auto"/>
        </w:rPr>
        <w:tab/>
      </w:r>
      <w:r>
        <w:rPr>
          <w:rFonts w:ascii="Times New Roman" w:cs="Times New Roman" w:eastAsia="Times New Roman" w:hAnsi="Times New Roman"/>
          <w:sz w:val="13"/>
          <w:szCs w:val="13"/>
          <w:b w:val="1"/>
          <w:bCs w:val="1"/>
          <w:color w:val="auto"/>
        </w:rPr>
        <w:t>MANAGEMENT’S DISCUSSION AND ANALYSIS OF FINANCIAL CONDITION AND RESULTS OF OPERATIONS.</w:t>
      </w:r>
    </w:p>
    <w:p>
      <w:pPr>
        <w:spacing w:after="0" w:line="185" w:lineRule="exact"/>
        <w:rPr>
          <w:sz w:val="20"/>
          <w:szCs w:val="20"/>
          <w:color w:val="auto"/>
        </w:rPr>
      </w:pPr>
    </w:p>
    <w:p>
      <w:pPr>
        <w:jc w:val="both"/>
        <w:ind w:firstLine="252"/>
        <w:spacing w:after="0" w:line="253" w:lineRule="auto"/>
        <w:rPr>
          <w:sz w:val="20"/>
          <w:szCs w:val="20"/>
          <w:color w:val="auto"/>
        </w:rPr>
      </w:pPr>
      <w:r>
        <w:rPr>
          <w:rFonts w:ascii="Times New Roman" w:cs="Times New Roman" w:eastAsia="Times New Roman" w:hAnsi="Times New Roman"/>
          <w:sz w:val="14"/>
          <w:szCs w:val="14"/>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our expectations regarding the anticipated impact that our new products and product enhancements will have on doctor utilization and our market share, our expectation that the policy simplification “Additional Aligners at No Charge" will help increase Invisalign utilization and volume, our expectations regarding product mix and product adoption, our expectations regarding the existence and impact of seasonality, our expectations regarding the financial and strategic benefits of the Scanner and Services ("Scanner") business, our expectations to increase our investment in manufacturing capacity, our expectations regarding the continued expansion of our international markets, the anticipated number of new doctors trained, our expectations regarding our stock repurchase program, the level of our operating expenses and gross margins, that the SmileDirectClub transaction will be incremental to our revenue and earnings in 2017,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II, Item 1A “Risk Factors.” We undertake no obligation to revise or update these forward-looking statements. Given these risks and uncertainties, readers are cautioned not to place undue reliance on such forward-looking statements.</w:t>
      </w:r>
    </w:p>
    <w:p>
      <w:pPr>
        <w:spacing w:after="0" w:line="146"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The following discussion and analysis of our financial condition and results of operations should be read together with our Condensed Consolidated Financial Statements and related notes included elsewhere in this Quarterly Report on Form 10-Q and with our audited consolidated financial statements included in our Annual Report on form 10-K for the year ended December 31, 2015, as filed with the Securities and Exchange Commission.</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77"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 xml:space="preserve">Our goal is to establish Invisalign clear aligners as the standard method for treating malocclusion and to establish the iTero intraoral scanner as the preferred scanning device for 3D digital scans, ultimately driving increased product adoption by dental professionals. We intend to achieve this by continued focus and execution of our strategic growth drivers set forth in the </w:t>
      </w:r>
      <w:r>
        <w:rPr>
          <w:rFonts w:ascii="Times New Roman" w:cs="Times New Roman" w:eastAsia="Times New Roman" w:hAnsi="Times New Roman"/>
          <w:sz w:val="14"/>
          <w:szCs w:val="14"/>
          <w:i w:val="1"/>
          <w:iCs w:val="1"/>
          <w:color w:val="auto"/>
        </w:rPr>
        <w:t>Business Strategy</w:t>
      </w:r>
      <w:r>
        <w:rPr>
          <w:rFonts w:ascii="Times New Roman" w:cs="Times New Roman" w:eastAsia="Times New Roman" w:hAnsi="Times New Roman"/>
          <w:sz w:val="14"/>
          <w:szCs w:val="14"/>
          <w:color w:val="auto"/>
        </w:rPr>
        <w:t xml:space="preserve"> section in our Annual Report on Form 10-K.</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successful execution of our business strategy and our results in 2016 and beyond may be affected by a number of other factors including:</w:t>
      </w:r>
    </w:p>
    <w:p>
      <w:pPr>
        <w:spacing w:after="0" w:line="194" w:lineRule="exact"/>
        <w:rPr>
          <w:sz w:val="20"/>
          <w:szCs w:val="20"/>
          <w:color w:val="auto"/>
        </w:rPr>
      </w:pPr>
    </w:p>
    <w:p>
      <w:pPr>
        <w:jc w:val="both"/>
        <w:ind w:left="760" w:hanging="379"/>
        <w:spacing w:after="0" w:line="261" w:lineRule="auto"/>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Departure of our CFO and appointment of new CFO. </w:t>
      </w:r>
      <w:r>
        <w:rPr>
          <w:rFonts w:ascii="Times New Roman" w:cs="Times New Roman" w:eastAsia="Times New Roman" w:hAnsi="Times New Roman"/>
          <w:sz w:val="14"/>
          <w:szCs w:val="14"/>
          <w:color w:val="auto"/>
        </w:rPr>
        <w:t>On November 7, 2016, David L. White, our Chief Financial Officer ("CFO"), announced his retirement as our Chief Financial Officer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effective November 10, 2016. Mr. White will remain employed in a non-executive role until March 1, 2017 in order to, among other things, oversee planning and ERP implementation projects and assist in the transition of his duties. Also effective November 10, 2016, John F. Morici joined us as our new CFO. While we expect to engage in an orderly transition with Mr. Morici as our new CFO, our ability to execute our business strategies and retain key personnel may be adversely affected by the uncertainty associated with this transition.</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460"/>
          </w:cols>
          <w:pgMar w:left="220" w:top="125" w:right="21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2"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Additional Aligners at No Charge. </w:t>
      </w:r>
      <w:r>
        <w:rPr>
          <w:rFonts w:ascii="Times New Roman" w:cs="Times New Roman" w:eastAsia="Times New Roman" w:hAnsi="Times New Roman"/>
          <w:sz w:val="14"/>
          <w:szCs w:val="14"/>
          <w:color w:val="auto"/>
        </w:rPr>
        <w:t>In July 2015, we launched a new product policy called "Additional Aligners at No Charge" which allows doctors to order additional aligners to address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either mid-course corrections and case refinements at no charge, subject to certain requirements. While this policy change was largely immaterial to our cash flows, it does impact the timing at which we recognize revenue. Based on this new product policy, beginning in the third quarter of 2015, we deferred more revenue as a result of providing free additional aligners for eligible treatments. While this product policy change will impact the timing of our revenue recognition, we believe this policy change will result in a significant improvement in customer satisfaction and loyalty, and ultimately increase Invisalign utilization and volume over time.</w:t>
      </w:r>
    </w:p>
    <w:p>
      <w:pPr>
        <w:spacing w:after="0" w:line="288" w:lineRule="exact"/>
        <w:rPr>
          <w:sz w:val="20"/>
          <w:szCs w:val="20"/>
          <w:color w:val="auto"/>
        </w:rPr>
      </w:pPr>
    </w:p>
    <w:p>
      <w:pPr>
        <w:ind w:left="880" w:hanging="499"/>
        <w:spacing w:after="0" w:line="255" w:lineRule="auto"/>
        <w:tabs>
          <w:tab w:leader="none" w:pos="503"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New Products, Feature Enhancements and Technology Innovation</w:t>
      </w:r>
      <w:r>
        <w:rPr>
          <w:rFonts w:ascii="Times New Roman" w:cs="Times New Roman" w:eastAsia="Times New Roman" w:hAnsi="Times New Roman"/>
          <w:sz w:val="14"/>
          <w:szCs w:val="14"/>
          <w:color w:val="auto"/>
        </w:rPr>
        <w:t>. Product innovation drives greater treatment predictability and clinical applicability, and ease of use for our customers,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supports adoption of Invisalign in their practices. Increasing applicability and treating more complex cases requires that we move away from individual features to more comprehensive solutions so that Invisalign providers can more predictably treat the whole case, such as with our Invisalign "G-Series" of product innovations, including our most recent October 2016 release, Invisalign G7. Invisalign G7 delivers better upper lateral control, improved root control, and features to address prevention of posterior open bites. We also announced ClinCheck Pro 5.0, which has new features designed to deliver an improved and user friendly experience and increased control to Invisalign providers. Since the iTero Element began shipping in September 2015, the use of iTero scanners for Invisalign case submissions in place of Polyvinyl-siloxane ("PVS") impressions has gradually increased to a record 48.4% of cases from North America and 39.6% of cases from doctors worldwide. We believe that over the long-term, clinical solutions and treatment tools will increase adoption of Invisalign and increase sales of our Intra-oral scanners; however, it is difficult to predict the rate of adoption which may vary by region and channel.</w:t>
      </w:r>
    </w:p>
    <w:p>
      <w:pPr>
        <w:spacing w:after="0" w:line="99" w:lineRule="exact"/>
        <w:rPr>
          <w:rFonts w:ascii="Times New Roman" w:cs="Times New Roman" w:eastAsia="Times New Roman" w:hAnsi="Times New Roman"/>
          <w:sz w:val="14"/>
          <w:szCs w:val="14"/>
          <w:i w:val="1"/>
          <w:iCs w:val="1"/>
          <w:color w:val="auto"/>
        </w:rPr>
      </w:pPr>
    </w:p>
    <w:p>
      <w:pPr>
        <w:ind w:left="760" w:hanging="379"/>
        <w:spacing w:after="0" w:line="285" w:lineRule="auto"/>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Invisalign Adoption. </w:t>
      </w:r>
      <w:r>
        <w:rPr>
          <w:rFonts w:ascii="Times New Roman" w:cs="Times New Roman" w:eastAsia="Times New Roman" w:hAnsi="Times New Roman"/>
          <w:sz w:val="14"/>
          <w:szCs w:val="14"/>
          <w:color w:val="auto"/>
        </w:rPr>
        <w:t>Our goal is to establish Invisalign as the treatment of choice for treating malocclusion ultimately driving increased product adoption and frequency of use by dental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professionals, also known as "utilization rates." Our quarterly utilization rates for the previous 9 quarters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247015</wp:posOffset>
            </wp:positionV>
            <wp:extent cx="4034790" cy="2563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34790"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40" w:hanging="104"/>
        <w:spacing w:after="0"/>
        <w:tabs>
          <w:tab w:leader="none" w:pos="1240" w:val="left"/>
        </w:tabs>
        <w:numPr>
          <w:ilvl w:val="0"/>
          <w:numId w:val="9"/>
        </w:numPr>
        <w:rPr>
          <w:rFonts w:ascii="Times New Roman" w:cs="Times New Roman" w:eastAsia="Times New Roman" w:hAnsi="Times New Roman"/>
          <w:sz w:val="7"/>
          <w:szCs w:val="7"/>
          <w:b w:val="1"/>
          <w:bCs w:val="1"/>
          <w:color w:val="auto"/>
        </w:rPr>
      </w:pPr>
      <w:r>
        <w:rPr>
          <w:rFonts w:ascii="Times New Roman" w:cs="Times New Roman" w:eastAsia="Times New Roman" w:hAnsi="Times New Roman"/>
          <w:sz w:val="11"/>
          <w:szCs w:val="11"/>
          <w:color w:val="auto"/>
        </w:rPr>
        <w:t>Invisalign Utilization rates = # of cases shipped divided by # of doctors cases were shipped to</w:t>
      </w:r>
    </w:p>
    <w:p>
      <w:pPr>
        <w:spacing w:after="0" w:line="170"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4"/>
          <w:szCs w:val="14"/>
          <w:color w:val="auto"/>
        </w:rPr>
        <w:t>Total utilization in the third quarter of 2016 increased to 5.0 cases per doctor compared to 4.7 in the third quarter of 2015. Utilization among our North American orthodontist customers reached an all time high of 11.1 cases per doctor in the third quarter of 2016 compared to 9.9 in the third quarter of 2015. The increase in North America orthodontist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460"/>
          </w:cols>
          <w:pgMar w:left="220" w:top="125" w:right="21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6"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4"/>
          <w:szCs w:val="14"/>
          <w:color w:val="auto"/>
        </w:rPr>
        <w:t>utilization reflects improvements in product and technology, which continues to strengthen our doctors’ clinical confidence in the use of Invisalign such that they now utilize Invisalign more often and on more complex cases, including their teenage patients. North American GP doctor utilization in third quarter of 2016 was consistent when compared to the third quarter of 2015. International doctor utilization increased to 4.9 cases in the third quarter of 2016 from 4.6 in the third quarter of 2015. Increased International utilization reflects growth in both the Europe, Middle East and Africa ("EMEA") and Asia Pacific regions due to increasing adoption of the product and its ability to treat more complex cases, particularly in the Asia Pacific region. We expect that over the long-term our utilization rates will gradually improve as a result of advancements in product and technology, which continue to strengthen our doctors’ clinical confidence in the use of Invisalign; however, we expect that our utilization rates may fluctuate from period to period due to a variety of factors, including seasonal trends in our business along with adoption rates of new products and features.</w:t>
      </w:r>
    </w:p>
    <w:p>
      <w:pPr>
        <w:spacing w:after="0" w:line="143" w:lineRule="exact"/>
        <w:rPr>
          <w:sz w:val="20"/>
          <w:szCs w:val="20"/>
          <w:color w:val="auto"/>
        </w:rPr>
      </w:pPr>
    </w:p>
    <w:p>
      <w:pPr>
        <w:jc w:val="both"/>
        <w:ind w:left="760" w:hanging="379"/>
        <w:spacing w:after="0" w:line="267" w:lineRule="auto"/>
        <w:tabs>
          <w:tab w:leader="none" w:pos="76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Number of new Invisalign doctors trained. </w:t>
      </w:r>
      <w:r>
        <w:rPr>
          <w:rFonts w:ascii="Times New Roman" w:cs="Times New Roman" w:eastAsia="Times New Roman" w:hAnsi="Times New Roman"/>
          <w:sz w:val="14"/>
          <w:szCs w:val="14"/>
          <w:color w:val="auto"/>
        </w:rPr>
        <w:t>We continue to expand our Invisalign customer base through the training of new doctors. During fiscal year 2015, Invisalign growth was driven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primarily by increased utilization across all regions as well as by the continued expansion of our customer base as we trained a total of 9,795 new Invisalign doctors, of which 56% were trained internationally. During the third quarter of 2016, we trained 2,615 new Invisalign doctors, up from 2,260 trained in third quarter of 2015.</w:t>
      </w:r>
    </w:p>
    <w:p>
      <w:pPr>
        <w:spacing w:after="0" w:line="133" w:lineRule="exact"/>
        <w:rPr>
          <w:rFonts w:ascii="Times New Roman" w:cs="Times New Roman" w:eastAsia="Times New Roman" w:hAnsi="Times New Roman"/>
          <w:sz w:val="14"/>
          <w:szCs w:val="14"/>
          <w:i w:val="1"/>
          <w:iCs w:val="1"/>
          <w:color w:val="auto"/>
        </w:rPr>
      </w:pPr>
    </w:p>
    <w:p>
      <w:pPr>
        <w:jc w:val="both"/>
        <w:ind w:left="760" w:hanging="379"/>
        <w:spacing w:after="0" w:line="254" w:lineRule="auto"/>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International Clear Aligner Growth. </w:t>
      </w:r>
      <w:r>
        <w:rPr>
          <w:rFonts w:ascii="Times New Roman" w:cs="Times New Roman" w:eastAsia="Times New Roman" w:hAnsi="Times New Roman"/>
          <w:sz w:val="14"/>
          <w:szCs w:val="14"/>
          <w:color w:val="auto"/>
        </w:rPr>
        <w:t>We will continue to focus our efforts towards increasing adoption of our products by dental professionals in our direct international markets. On a year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over year basis, international volume increased 33.8 % driven primarily by strong performance in our Asia Pacific and in Europe regions. In 2016, we are continuing to expand in our existing markets through targeted investments in sales coverage and professional marketing and education programs, along with consumer marketing in selected country markets. We expect international Clear Aligner revenues to continue to grow at a faster rate than North America for the foreseeable future due to our continued investment in international market expansion, the size of the market opportunity, and our relatively low market penetration in this region. As our international Clear Aligner revenues have increased from $61.3 million in the third quarter of 2015 to $84.3 million in the third quarter of 2016, we are increasingly subject to fluctuations in foreign currency exchange rates relative to the U.S. dollar. Although we have historically accepted the exposure to exchange rate movements without using derivative financial instruments to manage risk, we have in the past and may in the future initiate foreign currency economic hedging program to mitigate the foreign currency risk in countries where we have significant monetary assets and liabilities denominated in currencies other than the functional currency. The impact from forward contracts was not material to our financial statements for the nine months ended September 30, 2016.</w:t>
      </w:r>
    </w:p>
    <w:p>
      <w:pPr>
        <w:spacing w:after="0" w:line="104" w:lineRule="exact"/>
        <w:rPr>
          <w:rFonts w:ascii="Times New Roman" w:cs="Times New Roman" w:eastAsia="Times New Roman" w:hAnsi="Times New Roman"/>
          <w:sz w:val="14"/>
          <w:szCs w:val="14"/>
          <w:color w:val="auto"/>
        </w:rPr>
      </w:pPr>
    </w:p>
    <w:p>
      <w:pPr>
        <w:ind w:left="760"/>
        <w:spacing w:after="0" w:line="28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as we plan for further international expansion over the next several years, we must provide better support to our customers in these regions and be geographically closer to their practices. Accordingly, we intend to make further investments in our manufacturing over the next few years to enhance our regional capabilities.</w:t>
      </w:r>
    </w:p>
    <w:p>
      <w:pPr>
        <w:spacing w:after="0" w:line="81" w:lineRule="exact"/>
        <w:rPr>
          <w:rFonts w:ascii="Times New Roman" w:cs="Times New Roman" w:eastAsia="Times New Roman" w:hAnsi="Times New Roman"/>
          <w:sz w:val="14"/>
          <w:szCs w:val="14"/>
          <w:color w:val="auto"/>
        </w:rPr>
      </w:pPr>
    </w:p>
    <w:p>
      <w:pPr>
        <w:ind w:left="1200" w:hanging="756"/>
        <w:spacing w:after="0" w:line="258" w:lineRule="auto"/>
        <w:tabs>
          <w:tab w:leader="none" w:pos="760" w:val="left"/>
        </w:tabs>
        <w:numPr>
          <w:ilvl w:val="1"/>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Establish Regional Order Acquisition and Treatment Planning facilities: </w:t>
      </w:r>
      <w:r>
        <w:rPr>
          <w:rFonts w:ascii="Times New Roman" w:cs="Times New Roman" w:eastAsia="Times New Roman" w:hAnsi="Times New Roman"/>
          <w:sz w:val="14"/>
          <w:szCs w:val="14"/>
          <w:color w:val="auto"/>
        </w:rPr>
        <w:t>We intend to establish additional Order Acquisition and Treatment Planning facilities closer to our International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customers in order to improve our operational efficiency and provide doctors with a great experience to further improve their confidence in using Invisalign to treat more patients, more often. If demand for our product exceeds our current expectations, or if the timing of receipt of case product orders during a given quarter is different from our expectations, we may not be able to fulfill orders in a timely manner, which may negatively impact our financial results and overall business. Conversely, if demand decreases or if we fail to forecast demand accurately, we could be required to record excess capacity charges, which would lower our gross margin.</w:t>
      </w:r>
    </w:p>
    <w:p>
      <w:pPr>
        <w:spacing w:after="0" w:line="99" w:lineRule="exact"/>
        <w:rPr>
          <w:rFonts w:ascii="Times New Roman" w:cs="Times New Roman" w:eastAsia="Times New Roman" w:hAnsi="Times New Roman"/>
          <w:sz w:val="14"/>
          <w:szCs w:val="14"/>
          <w:i w:val="1"/>
          <w:iCs w:val="1"/>
          <w:color w:val="auto"/>
        </w:rPr>
      </w:pPr>
    </w:p>
    <w:p>
      <w:pPr>
        <w:ind w:left="760" w:hanging="379"/>
        <w:spacing w:after="0"/>
        <w:tabs>
          <w:tab w:leader="none" w:pos="76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Operating Expenses. </w:t>
      </w:r>
      <w:r>
        <w:rPr>
          <w:rFonts w:ascii="Times New Roman" w:cs="Times New Roman" w:eastAsia="Times New Roman" w:hAnsi="Times New Roman"/>
          <w:sz w:val="14"/>
          <w:szCs w:val="14"/>
          <w:color w:val="auto"/>
        </w:rPr>
        <w:t>We expect operating expenses to increase in 2016 due in part to:</w:t>
      </w:r>
    </w:p>
    <w:p>
      <w:pPr>
        <w:spacing w:after="0" w:line="134" w:lineRule="exact"/>
        <w:rPr>
          <w:rFonts w:ascii="Times New Roman" w:cs="Times New Roman" w:eastAsia="Times New Roman" w:hAnsi="Times New Roman"/>
          <w:sz w:val="14"/>
          <w:szCs w:val="14"/>
          <w:i w:val="1"/>
          <w:iCs w:val="1"/>
          <w:color w:val="auto"/>
        </w:rPr>
      </w:pPr>
    </w:p>
    <w:p>
      <w:pPr>
        <w:ind w:left="1080" w:hanging="195"/>
        <w:spacing w:after="0"/>
        <w:tabs>
          <w:tab w:leader="none" w:pos="1080" w:val="left"/>
        </w:tabs>
        <w:numPr>
          <w:ilvl w:val="2"/>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international expansion in new country markets such as India and Korea;</w:t>
      </w:r>
    </w:p>
    <w:p>
      <w:pPr>
        <w:spacing w:after="0" w:line="132" w:lineRule="exact"/>
        <w:rPr>
          <w:rFonts w:ascii="Times New Roman" w:cs="Times New Roman" w:eastAsia="Times New Roman" w:hAnsi="Times New Roman"/>
          <w:sz w:val="14"/>
          <w:szCs w:val="14"/>
          <w:color w:val="auto"/>
        </w:rPr>
      </w:pPr>
    </w:p>
    <w:p>
      <w:pPr>
        <w:ind w:left="1080" w:hanging="195"/>
        <w:spacing w:after="0"/>
        <w:tabs>
          <w:tab w:leader="none" w:pos="1080" w:val="left"/>
        </w:tabs>
        <w:numPr>
          <w:ilvl w:val="2"/>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increase in sales and customer support resources; and</w:t>
      </w:r>
    </w:p>
    <w:p>
      <w:pPr>
        <w:spacing w:after="0" w:line="132" w:lineRule="exact"/>
        <w:rPr>
          <w:rFonts w:ascii="Times New Roman" w:cs="Times New Roman" w:eastAsia="Times New Roman" w:hAnsi="Times New Roman"/>
          <w:sz w:val="14"/>
          <w:szCs w:val="14"/>
          <w:color w:val="auto"/>
        </w:rPr>
      </w:pPr>
    </w:p>
    <w:p>
      <w:pPr>
        <w:ind w:left="1080" w:hanging="195"/>
        <w:spacing w:after="0"/>
        <w:tabs>
          <w:tab w:leader="none" w:pos="1080" w:val="left"/>
        </w:tabs>
        <w:numPr>
          <w:ilvl w:val="2"/>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and technology innovation to address such things as treatment times, indications unique to teens, and predictability.</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We believe that these investments will position us to increase our revenue and continue to grow our market share.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460"/>
          </w:cols>
          <w:pgMar w:left="220" w:top="125" w:right="21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4" w:lineRule="exact"/>
        <w:rPr>
          <w:sz w:val="20"/>
          <w:szCs w:val="20"/>
          <w:color w:val="auto"/>
        </w:rPr>
      </w:pPr>
    </w:p>
    <w:p>
      <w:pPr>
        <w:ind w:left="760" w:hanging="253"/>
        <w:spacing w:after="0"/>
        <w:tabs>
          <w:tab w:leader="none" w:pos="760" w:val="left"/>
        </w:tabs>
        <w:numPr>
          <w:ilvl w:val="1"/>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Stock Repurchases:</w:t>
      </w:r>
    </w:p>
    <w:p>
      <w:pPr>
        <w:spacing w:after="0" w:line="174" w:lineRule="exact"/>
        <w:rPr>
          <w:rFonts w:ascii="Times New Roman" w:cs="Times New Roman" w:eastAsia="Times New Roman" w:hAnsi="Times New Roman"/>
          <w:sz w:val="14"/>
          <w:szCs w:val="14"/>
          <w:i w:val="1"/>
          <w:iCs w:val="1"/>
          <w:color w:val="auto"/>
        </w:rPr>
      </w:pPr>
    </w:p>
    <w:p>
      <w:pPr>
        <w:jc w:val="both"/>
        <w:ind w:left="1080" w:hanging="195"/>
        <w:spacing w:after="0" w:line="261" w:lineRule="auto"/>
        <w:tabs>
          <w:tab w:leader="none" w:pos="1080" w:val="left"/>
        </w:tabs>
        <w:numPr>
          <w:ilvl w:val="3"/>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Stock Repurchase Authorization. </w:t>
      </w:r>
      <w:r>
        <w:rPr>
          <w:rFonts w:ascii="Times New Roman" w:cs="Times New Roman" w:eastAsia="Times New Roman" w:hAnsi="Times New Roman"/>
          <w:sz w:val="14"/>
          <w:szCs w:val="14"/>
          <w:color w:val="auto"/>
        </w:rPr>
        <w:t>On April 28, 2016, we announced that our Board of Directors had authorized a plan to repurchase up to $300.0 million of the Company's stock.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w:t>
      </w:r>
    </w:p>
    <w:p>
      <w:pPr>
        <w:spacing w:after="0" w:line="138" w:lineRule="exact"/>
        <w:rPr>
          <w:rFonts w:ascii="Times New Roman" w:cs="Times New Roman" w:eastAsia="Times New Roman" w:hAnsi="Times New Roman"/>
          <w:sz w:val="14"/>
          <w:szCs w:val="14"/>
          <w:i w:val="1"/>
          <w:iCs w:val="1"/>
          <w:color w:val="auto"/>
        </w:rPr>
      </w:pPr>
    </w:p>
    <w:p>
      <w:pPr>
        <w:jc w:val="both"/>
        <w:ind w:left="1140" w:hanging="255"/>
        <w:spacing w:after="0" w:line="261" w:lineRule="auto"/>
        <w:tabs>
          <w:tab w:leader="none" w:pos="1140" w:val="left"/>
        </w:tabs>
        <w:numPr>
          <w:ilvl w:val="3"/>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Accelerated Stock Repurchase</w:t>
      </w:r>
      <w:r>
        <w:rPr>
          <w:rFonts w:ascii="Times New Roman" w:cs="Times New Roman" w:eastAsia="Times New Roman" w:hAnsi="Times New Roman"/>
          <w:sz w:val="14"/>
          <w:szCs w:val="14"/>
          <w:color w:val="auto"/>
        </w:rPr>
        <w:t>. On May 3, 2016, as part of our $300.0 million April 2014 stock repurchase program, we entered into an Accelerated Stock Repurchase agreement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repurchase $50.0 million of our common stock (the "2016 ASR"). Under the terms of the 2016 ASR, we paid $50.0 million on May 4, 2016 and received an initial delivery of approximately 0.5 million shares based on current market prices. The 2016 ASR was completed on September 6, 2016 with a final delivery of approximately 0.1 million shares. All repurchased shares were retired. (</w:t>
      </w:r>
      <w:r>
        <w:rPr>
          <w:rFonts w:ascii="Times New Roman" w:cs="Times New Roman" w:eastAsia="Times New Roman" w:hAnsi="Times New Roman"/>
          <w:sz w:val="14"/>
          <w:szCs w:val="14"/>
          <w:i w:val="1"/>
          <w:iCs w:val="1"/>
          <w:color w:val="auto"/>
        </w:rPr>
        <w:t>Refer to Note 9 "Common Stock Repurchase", of the Notes to condensed consolidated financial statements</w:t>
      </w:r>
      <w:r>
        <w:rPr>
          <w:rFonts w:ascii="Times New Roman" w:cs="Times New Roman" w:eastAsia="Times New Roman" w:hAnsi="Times New Roman"/>
          <w:sz w:val="14"/>
          <w:szCs w:val="14"/>
          <w:color w:val="auto"/>
        </w:rPr>
        <w:t xml:space="preserve"> for details on common stock repurchase).</w:t>
      </w:r>
    </w:p>
    <w:p>
      <w:pPr>
        <w:spacing w:after="0" w:line="138" w:lineRule="exact"/>
        <w:rPr>
          <w:rFonts w:ascii="Times New Roman" w:cs="Times New Roman" w:eastAsia="Times New Roman" w:hAnsi="Times New Roman"/>
          <w:sz w:val="14"/>
          <w:szCs w:val="14"/>
          <w:color w:val="auto"/>
        </w:rPr>
      </w:pPr>
    </w:p>
    <w:p>
      <w:pPr>
        <w:jc w:val="both"/>
        <w:ind w:left="1140" w:hanging="255"/>
        <w:spacing w:after="0" w:line="261" w:lineRule="auto"/>
        <w:tabs>
          <w:tab w:leader="none" w:pos="1140" w:val="left"/>
        </w:tabs>
        <w:numPr>
          <w:ilvl w:val="3"/>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10b5-1 Stock Repurchase Plan</w:t>
      </w:r>
      <w:r>
        <w:rPr>
          <w:rFonts w:ascii="Times New Roman" w:cs="Times New Roman" w:eastAsia="Times New Roman" w:hAnsi="Times New Roman"/>
          <w:sz w:val="14"/>
          <w:szCs w:val="14"/>
          <w:color w:val="auto"/>
        </w:rPr>
        <w:t>. On May 3, 2016, we also entered into a stock repurchase plan under which we will repurchase up to $50 million of our common stock. During 2016,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repurchased on the open market approximately 0.1 million shares of our common stock at an average of $93.21 per share, including commissions, for an aggregate purchase price of approximately $8.2 million. This stock repurchase plan will operate in accordance with guidelines specified under Rule 10b5-1 of the Securities Exchange Act of 1934. Accordingly, transactions, if any, will be carried out in accordance with the terms of the share repurchase plan, including specified price, volume, and timing conditions.</w:t>
      </w:r>
    </w:p>
    <w:p>
      <w:pPr>
        <w:spacing w:after="0" w:line="138" w:lineRule="exact"/>
        <w:rPr>
          <w:rFonts w:ascii="Times New Roman" w:cs="Times New Roman" w:eastAsia="Times New Roman" w:hAnsi="Times New Roman"/>
          <w:sz w:val="14"/>
          <w:szCs w:val="14"/>
          <w:i w:val="1"/>
          <w:iCs w:val="1"/>
          <w:color w:val="auto"/>
        </w:rPr>
      </w:pPr>
    </w:p>
    <w:p>
      <w:pPr>
        <w:ind w:left="1140" w:hanging="255"/>
        <w:spacing w:after="0" w:line="285" w:lineRule="auto"/>
        <w:tabs>
          <w:tab w:leader="none" w:pos="1140" w:val="left"/>
        </w:tabs>
        <w:numPr>
          <w:ilvl w:val="3"/>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Remaining Available Repurchases</w:t>
      </w:r>
      <w:r>
        <w:rPr>
          <w:rFonts w:ascii="Times New Roman" w:cs="Times New Roman" w:eastAsia="Times New Roman" w:hAnsi="Times New Roman"/>
          <w:sz w:val="14"/>
          <w:szCs w:val="14"/>
          <w:color w:val="auto"/>
        </w:rPr>
        <w:t>. As of September 30, 2016, we have $41.8 million remaining under the April 2014 Repurchase Program and $300.0 million under the April 2016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Repurchase Plan. (</w:t>
      </w:r>
      <w:r>
        <w:rPr>
          <w:rFonts w:ascii="Times New Roman" w:cs="Times New Roman" w:eastAsia="Times New Roman" w:hAnsi="Times New Roman"/>
          <w:sz w:val="14"/>
          <w:szCs w:val="14"/>
          <w:i w:val="1"/>
          <w:iCs w:val="1"/>
          <w:color w:val="auto"/>
        </w:rPr>
        <w:t>Refer to Note 9 "Common Stock Repurchase", of the Notes to condensed consolidated financial statements</w:t>
      </w:r>
      <w:r>
        <w:rPr>
          <w:rFonts w:ascii="Times New Roman" w:cs="Times New Roman" w:eastAsia="Times New Roman" w:hAnsi="Times New Roman"/>
          <w:sz w:val="14"/>
          <w:szCs w:val="14"/>
          <w:color w:val="auto"/>
        </w:rPr>
        <w:t xml:space="preserve"> for details on common stock repurchase).</w:t>
      </w:r>
    </w:p>
    <w:p>
      <w:pPr>
        <w:spacing w:after="0" w:line="120" w:lineRule="exact"/>
        <w:rPr>
          <w:rFonts w:ascii="Times New Roman" w:cs="Times New Roman" w:eastAsia="Times New Roman" w:hAnsi="Times New Roman"/>
          <w:sz w:val="14"/>
          <w:szCs w:val="14"/>
          <w:i w:val="1"/>
          <w:iCs w:val="1"/>
          <w:color w:val="auto"/>
        </w:rPr>
      </w:pPr>
    </w:p>
    <w:p>
      <w:pPr>
        <w:jc w:val="both"/>
        <w:ind w:left="500" w:hanging="244"/>
        <w:spacing w:after="0" w:line="255" w:lineRule="auto"/>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SmileDirectClub. </w:t>
      </w:r>
      <w:r>
        <w:rPr>
          <w:rFonts w:ascii="Times New Roman" w:cs="Times New Roman" w:eastAsia="Times New Roman" w:hAnsi="Times New Roman"/>
          <w:sz w:val="14"/>
          <w:szCs w:val="14"/>
          <w:color w:val="auto"/>
        </w:rPr>
        <w:t>On July 25, 2016, we entered into a supply agreement with SmileDirectClub, LLC to manufacture clear aligners for SmileDirectClub's doctor-led, at-home program for simple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teeth straightening. SmileDirectClub aligners will use our single-layer EX30 material for cases without attachments or interproximal reduction and will be manufactured by Align according to SmileDirectClub's specifications for minor tooth movement. The Invisalign brand and system of clear aligners will continue to be available exclusively through Invisalign-trained orthodontists and general dentists for in-office treatment. In October 2016, we became SmileDirectClub's exclusive third-party supplier and commercial supplying aligners for its minor tooth movement aligner program. We also provided a revolving line of credit to SmileDirectClub of up to $15 million to fund their working capital and general corporate needs. As part of the transaction, we acquired a 17% equity interest in SmileDirectClub for $46.7 million. As a result of our equity holdings in SmileDirectClub, we are required to account for SmileDirectClub's operations in our financial statements based on the equity method of accounting. Our financial results, therefore will reflect two components as follows:</w:t>
      </w:r>
    </w:p>
    <w:p>
      <w:pPr>
        <w:spacing w:after="0" w:line="146" w:lineRule="exact"/>
        <w:rPr>
          <w:rFonts w:ascii="Times New Roman" w:cs="Times New Roman" w:eastAsia="Times New Roman" w:hAnsi="Times New Roman"/>
          <w:sz w:val="14"/>
          <w:szCs w:val="14"/>
          <w:color w:val="auto"/>
        </w:rPr>
      </w:pPr>
    </w:p>
    <w:p>
      <w:pPr>
        <w:jc w:val="both"/>
        <w:ind w:left="1020" w:hanging="261"/>
        <w:spacing w:after="0" w:line="260" w:lineRule="auto"/>
        <w:tabs>
          <w:tab w:leader="none" w:pos="1020" w:val="left"/>
        </w:tabs>
        <w:numPr>
          <w:ilvl w:val="2"/>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is reported on our balance sheet as a single amount under Equity Method Investments and we record our share of their operating results after eliminating outstanding intercompany transactions within Equity in losses of investee in our consolidated statement of operation. As of September 30, 2016 the balance of our equity method investments was $46.3 million. Align is performing a fair value assessment in order to determine if we need to value components of the SDC agreements including any identifiable intangible assets. We expect to complete our valuation in the fourth quarter of 2016.</w:t>
      </w:r>
    </w:p>
    <w:p>
      <w:pPr>
        <w:spacing w:after="0" w:line="141" w:lineRule="exact"/>
        <w:rPr>
          <w:rFonts w:ascii="Times New Roman" w:cs="Times New Roman" w:eastAsia="Times New Roman" w:hAnsi="Times New Roman"/>
          <w:sz w:val="14"/>
          <w:szCs w:val="14"/>
          <w:color w:val="auto"/>
        </w:rPr>
      </w:pPr>
    </w:p>
    <w:p>
      <w:pPr>
        <w:ind w:left="1020" w:hanging="261"/>
        <w:spacing w:after="0" w:line="282" w:lineRule="auto"/>
        <w:tabs>
          <w:tab w:leader="none" w:pos="1020" w:val="left"/>
        </w:tabs>
        <w:numPr>
          <w:ilvl w:val="2"/>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Commencing in October 2016, when we began supplying aligners, the sale of aligners to SDC and the income from under the supply agreement will be reported in our Clear Aligner business segment.</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expect the transaction to be incremental to both our revenue growth and earnings in 2017.</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460"/>
          </w:cols>
          <w:pgMar w:left="220" w:top="125" w:right="21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Net revenues by Reportable Segment</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group our operations into two reportable segments: Clear Aligner segment and Scanner segment.</w:t>
      </w:r>
    </w:p>
    <w:p>
      <w:pPr>
        <w:spacing w:after="0" w:line="175" w:lineRule="exact"/>
        <w:rPr>
          <w:sz w:val="20"/>
          <w:szCs w:val="20"/>
          <w:color w:val="auto"/>
        </w:rPr>
      </w:pPr>
    </w:p>
    <w:p>
      <w:pPr>
        <w:ind w:left="760" w:hanging="379"/>
        <w:spacing w:after="0" w:line="282" w:lineRule="auto"/>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Clear Aligner segment consists of our Invisalign system which includes Invisalign Full, Teen and Assist ("Full Products"), Express/Lite ("Express Products"),Vivera retainers, along with our training and ancillary products for treating malocclusion.</w:t>
      </w:r>
    </w:p>
    <w:p>
      <w:pPr>
        <w:spacing w:after="0" w:line="124" w:lineRule="exact"/>
        <w:rPr>
          <w:rFonts w:ascii="Times New Roman" w:cs="Times New Roman" w:eastAsia="Times New Roman" w:hAnsi="Times New Roman"/>
          <w:sz w:val="14"/>
          <w:szCs w:val="14"/>
          <w:color w:val="auto"/>
        </w:rPr>
      </w:pPr>
    </w:p>
    <w:p>
      <w:pPr>
        <w:ind w:left="760" w:hanging="379"/>
        <w:spacing w:after="0" w:line="282" w:lineRule="auto"/>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revenues for our Clear Aligner segment by region and our Scanner segment by region for the three and nine months ended September 30, 2016 and 2015 is as follows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gridSpan w:val="4"/>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gridSpan w:val="4"/>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For the Nine Months Ended,</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200" w:type="dxa"/>
            <w:vAlign w:val="bottom"/>
          </w:tcPr>
          <w:p>
            <w:pPr>
              <w:spacing w:after="0"/>
              <w:rPr>
                <w:sz w:val="9"/>
                <w:szCs w:val="9"/>
                <w:color w:val="auto"/>
              </w:rPr>
            </w:pPr>
          </w:p>
        </w:tc>
        <w:tc>
          <w:tcPr>
            <w:tcW w:w="620" w:type="dxa"/>
            <w:vAlign w:val="bottom"/>
            <w:vMerge w:val="restart"/>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2016</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vMerge w:val="restart"/>
          </w:tcPr>
          <w:p>
            <w:pPr>
              <w:jc w:val="right"/>
              <w:ind w:right="275"/>
              <w:spacing w:after="0"/>
              <w:rPr>
                <w:sz w:val="20"/>
                <w:szCs w:val="20"/>
                <w:color w:val="auto"/>
              </w:rPr>
            </w:pPr>
            <w:r>
              <w:rPr>
                <w:rFonts w:ascii="Times New Roman" w:cs="Times New Roman" w:eastAsia="Times New Roman" w:hAnsi="Times New Roman"/>
                <w:sz w:val="11"/>
                <w:szCs w:val="11"/>
                <w:b w:val="1"/>
                <w:bCs w:val="1"/>
                <w:color w:val="auto"/>
              </w:rPr>
              <w:t>2015</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right"/>
              <w:ind w:right="254"/>
              <w:spacing w:after="0" w:line="112" w:lineRule="exact"/>
              <w:rPr>
                <w:sz w:val="20"/>
                <w:szCs w:val="20"/>
                <w:color w:val="auto"/>
              </w:rPr>
            </w:pPr>
            <w:r>
              <w:rPr>
                <w:rFonts w:ascii="Times New Roman" w:cs="Times New Roman" w:eastAsia="Times New Roman" w:hAnsi="Times New Roman"/>
                <w:sz w:val="11"/>
                <w:szCs w:val="11"/>
                <w:b w:val="1"/>
                <w:bCs w:val="1"/>
                <w:color w:val="auto"/>
              </w:rPr>
              <w:t>Net</w:t>
            </w:r>
          </w:p>
        </w:tc>
        <w:tc>
          <w:tcPr>
            <w:tcW w:w="1180" w:type="dxa"/>
            <w:vAlign w:val="bottom"/>
            <w:gridSpan w:val="2"/>
          </w:tcPr>
          <w:p>
            <w:pPr>
              <w:jc w:val="right"/>
              <w:ind w:right="424"/>
              <w:spacing w:after="0" w:line="11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restart"/>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2016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2015</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jc w:val="right"/>
              <w:ind w:right="294"/>
              <w:spacing w:after="0" w:line="112" w:lineRule="exact"/>
              <w:rPr>
                <w:sz w:val="20"/>
                <w:szCs w:val="20"/>
                <w:color w:val="auto"/>
              </w:rPr>
            </w:pPr>
            <w:r>
              <w:rPr>
                <w:rFonts w:ascii="Times New Roman" w:cs="Times New Roman" w:eastAsia="Times New Roman" w:hAnsi="Times New Roman"/>
                <w:sz w:val="11"/>
                <w:szCs w:val="11"/>
                <w:b w:val="1"/>
                <w:bCs w:val="1"/>
                <w:color w:val="auto"/>
              </w:rPr>
              <w:t>Net</w:t>
            </w:r>
          </w:p>
        </w:tc>
        <w:tc>
          <w:tcPr>
            <w:tcW w:w="1160" w:type="dxa"/>
            <w:vAlign w:val="bottom"/>
            <w:gridSpan w:val="2"/>
          </w:tcPr>
          <w:p>
            <w:pPr>
              <w:jc w:val="right"/>
              <w:ind w:right="404"/>
              <w:spacing w:after="0" w:line="112"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2"/>
        </w:trPr>
        <w:tc>
          <w:tcPr>
            <w:tcW w:w="34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Pr>
          <w:p>
            <w:pPr>
              <w:spacing w:after="0"/>
              <w:rPr>
                <w:sz w:val="13"/>
                <w:szCs w:val="13"/>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Pr>
          <w:p>
            <w:pPr>
              <w:spacing w:after="0"/>
              <w:rPr>
                <w:sz w:val="13"/>
                <w:szCs w:val="13"/>
                <w:color w:val="auto"/>
              </w:rPr>
            </w:pPr>
          </w:p>
        </w:tc>
        <w:tc>
          <w:tcPr>
            <w:tcW w:w="1060" w:type="dxa"/>
            <w:vAlign w:val="bottom"/>
          </w:tcPr>
          <w:p>
            <w:pPr>
              <w:jc w:val="right"/>
              <w:ind w:right="284"/>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84"/>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Clear Aligner Revenues:</w:t>
            </w: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North America</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143.8</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124.1</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19.7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423.4</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369.1</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54.3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International</w:t>
            </w:r>
          </w:p>
        </w:tc>
        <w:tc>
          <w:tcPr>
            <w:tcW w:w="2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84.3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61.3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23.0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237.9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179.1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58.8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89"/>
        </w:trPr>
        <w:tc>
          <w:tcPr>
            <w:tcW w:w="3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Invisalign non-case</w:t>
            </w:r>
          </w:p>
        </w:tc>
        <w:tc>
          <w:tcPr>
            <w:tcW w:w="200" w:type="dxa"/>
            <w:vAlign w:val="bottom"/>
          </w:tcPr>
          <w:p>
            <w:pPr>
              <w:spacing w:after="0"/>
              <w:rPr>
                <w:sz w:val="16"/>
                <w:szCs w:val="16"/>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2.7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7.5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21"/>
        </w:trPr>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Clear Aligner net revenues</w:t>
            </w: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243.7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198.3</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45.4</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706.8</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586.1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120.7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89"/>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Scanner net revenues</w:t>
            </w:r>
          </w:p>
        </w:tc>
        <w:tc>
          <w:tcPr>
            <w:tcW w:w="200" w:type="dxa"/>
            <w:vAlign w:val="bottom"/>
          </w:tcPr>
          <w:p>
            <w:pPr>
              <w:spacing w:after="0"/>
              <w:rPr>
                <w:sz w:val="16"/>
                <w:szCs w:val="16"/>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25.6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273.7%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79.9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50.8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0" w:type="dxa"/>
            <w:vAlign w:val="bottom"/>
          </w:tcPr>
          <w:p>
            <w:pPr>
              <w:spacing w:after="0"/>
              <w:rPr>
                <w:sz w:val="1"/>
                <w:szCs w:val="1"/>
                <w:color w:val="auto"/>
              </w:rPr>
            </w:pPr>
          </w:p>
        </w:tc>
      </w:tr>
      <w:tr>
        <w:trPr>
          <w:trHeight w:val="21"/>
        </w:trPr>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278.6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207.6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71.0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786.7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615.2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171.5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i w:val="1"/>
          <w:iCs w:val="1"/>
          <w:color w:val="auto"/>
        </w:rPr>
        <w:t>Changes and percentages are based on actual values. Certain tables may not sum or recalculate due to rounding.</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Clear Aligner Case Volume by Region</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Case volume data which represents Invisalign case shipments by region for the three and nine months ended September 30, 2016 and 2015 is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3"/>
          </w:tcPr>
          <w:p>
            <w:pPr>
              <w:ind w:left="36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gridSpan w:val="3"/>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For the Nine Months Ended,</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820" w:type="dxa"/>
            <w:vAlign w:val="bottom"/>
            <w:vMerge w:val="restart"/>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2016</w:t>
            </w:r>
          </w:p>
        </w:tc>
        <w:tc>
          <w:tcPr>
            <w:tcW w:w="100" w:type="dxa"/>
            <w:vAlign w:val="bottom"/>
          </w:tcPr>
          <w:p>
            <w:pPr>
              <w:spacing w:after="0"/>
              <w:rPr>
                <w:sz w:val="9"/>
                <w:szCs w:val="9"/>
                <w:color w:val="auto"/>
              </w:rPr>
            </w:pP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2015</w:t>
            </w:r>
          </w:p>
        </w:tc>
        <w:tc>
          <w:tcPr>
            <w:tcW w:w="120" w:type="dxa"/>
            <w:vAlign w:val="bottom"/>
          </w:tcPr>
          <w:p>
            <w:pPr>
              <w:spacing w:after="0"/>
              <w:rPr>
                <w:sz w:val="9"/>
                <w:szCs w:val="9"/>
                <w:color w:val="auto"/>
              </w:rPr>
            </w:pPr>
          </w:p>
        </w:tc>
        <w:tc>
          <w:tcPr>
            <w:tcW w:w="820" w:type="dxa"/>
            <w:vAlign w:val="bottom"/>
          </w:tcPr>
          <w:p>
            <w:pPr>
              <w:jc w:val="right"/>
              <w:ind w:right="256"/>
              <w:spacing w:after="0" w:line="112" w:lineRule="exact"/>
              <w:rPr>
                <w:sz w:val="20"/>
                <w:szCs w:val="20"/>
                <w:color w:val="auto"/>
              </w:rPr>
            </w:pPr>
            <w:r>
              <w:rPr>
                <w:rFonts w:ascii="Times New Roman" w:cs="Times New Roman" w:eastAsia="Times New Roman" w:hAnsi="Times New Roman"/>
                <w:sz w:val="11"/>
                <w:szCs w:val="11"/>
                <w:b w:val="1"/>
                <w:bCs w:val="1"/>
                <w:color w:val="auto"/>
              </w:rPr>
              <w:t>Net</w:t>
            </w:r>
          </w:p>
        </w:tc>
        <w:tc>
          <w:tcPr>
            <w:tcW w:w="1180" w:type="dxa"/>
            <w:vAlign w:val="bottom"/>
            <w:gridSpan w:val="2"/>
          </w:tcPr>
          <w:p>
            <w:pPr>
              <w:jc w:val="right"/>
              <w:ind w:right="424"/>
              <w:spacing w:after="0" w:line="11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780" w:type="dxa"/>
            <w:vAlign w:val="bottom"/>
            <w:vMerge w:val="restart"/>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2016</w:t>
            </w:r>
          </w:p>
        </w:tc>
        <w:tc>
          <w:tcPr>
            <w:tcW w:w="120" w:type="dxa"/>
            <w:vAlign w:val="bottom"/>
          </w:tcPr>
          <w:p>
            <w:pPr>
              <w:spacing w:after="0"/>
              <w:rPr>
                <w:sz w:val="9"/>
                <w:szCs w:val="9"/>
                <w:color w:val="auto"/>
              </w:rPr>
            </w:pPr>
          </w:p>
        </w:tc>
        <w:tc>
          <w:tcPr>
            <w:tcW w:w="900" w:type="dxa"/>
            <w:vAlign w:val="bottom"/>
            <w:vMerge w:val="restart"/>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2015</w:t>
            </w:r>
          </w:p>
        </w:tc>
        <w:tc>
          <w:tcPr>
            <w:tcW w:w="100" w:type="dxa"/>
            <w:vAlign w:val="bottom"/>
          </w:tcPr>
          <w:p>
            <w:pPr>
              <w:spacing w:after="0"/>
              <w:rPr>
                <w:sz w:val="9"/>
                <w:szCs w:val="9"/>
                <w:color w:val="auto"/>
              </w:rPr>
            </w:pPr>
          </w:p>
        </w:tc>
        <w:tc>
          <w:tcPr>
            <w:tcW w:w="900" w:type="dxa"/>
            <w:vAlign w:val="bottom"/>
          </w:tcPr>
          <w:p>
            <w:pPr>
              <w:jc w:val="right"/>
              <w:ind w:right="296"/>
              <w:spacing w:after="0" w:line="112" w:lineRule="exact"/>
              <w:rPr>
                <w:sz w:val="20"/>
                <w:szCs w:val="20"/>
                <w:color w:val="auto"/>
              </w:rPr>
            </w:pPr>
            <w:r>
              <w:rPr>
                <w:rFonts w:ascii="Times New Roman" w:cs="Times New Roman" w:eastAsia="Times New Roman" w:hAnsi="Times New Roman"/>
                <w:sz w:val="11"/>
                <w:szCs w:val="11"/>
                <w:b w:val="1"/>
                <w:bCs w:val="1"/>
                <w:color w:val="auto"/>
              </w:rPr>
              <w:t>Net</w:t>
            </w:r>
          </w:p>
        </w:tc>
        <w:tc>
          <w:tcPr>
            <w:tcW w:w="1160" w:type="dxa"/>
            <w:vAlign w:val="bottom"/>
            <w:gridSpan w:val="2"/>
          </w:tcPr>
          <w:p>
            <w:pPr>
              <w:jc w:val="right"/>
              <w:ind w:right="404"/>
              <w:spacing w:after="0" w:line="112"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2"/>
        </w:trPr>
        <w:tc>
          <w:tcPr>
            <w:tcW w:w="3440" w:type="dxa"/>
            <w:vAlign w:val="bottom"/>
            <w:tcBorders>
              <w:bottom w:val="single" w:sz="8" w:color="CCEEFF"/>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84"/>
        </w:trPr>
        <w:tc>
          <w:tcPr>
            <w:tcW w:w="3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North America Invisalign</w:t>
            </w:r>
          </w:p>
        </w:tc>
        <w:tc>
          <w:tcPr>
            <w:tcW w:w="8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115.9</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4"/>
                <w:szCs w:val="14"/>
                <w:color w:val="auto"/>
              </w:rPr>
              <w:t>101.3</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14.6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341.3</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292.0</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49.3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89"/>
        </w:trPr>
        <w:tc>
          <w:tcPr>
            <w:tcW w:w="3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International Invisalign</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tcPr>
          <w:p>
            <w:pPr>
              <w:spacing w:after="0"/>
              <w:rPr>
                <w:sz w:val="16"/>
                <w:szCs w:val="16"/>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4"/>
                <w:szCs w:val="14"/>
                <w:color w:val="auto"/>
              </w:rPr>
              <w:t>46.2</w:t>
            </w:r>
          </w:p>
        </w:tc>
        <w:tc>
          <w:tcPr>
            <w:tcW w:w="120" w:type="dxa"/>
            <w:vAlign w:val="bottom"/>
          </w:tcPr>
          <w:p>
            <w:pPr>
              <w:spacing w:after="0"/>
              <w:rPr>
                <w:sz w:val="16"/>
                <w:szCs w:val="16"/>
                <w:color w:val="auto"/>
              </w:rPr>
            </w:pPr>
          </w:p>
        </w:tc>
        <w:tc>
          <w:tcPr>
            <w:tcW w:w="82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15.7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177.2</w:t>
            </w:r>
          </w:p>
        </w:tc>
        <w:tc>
          <w:tcPr>
            <w:tcW w:w="120" w:type="dxa"/>
            <w:vAlign w:val="bottom"/>
          </w:tcPr>
          <w:p>
            <w:pPr>
              <w:spacing w:after="0"/>
              <w:rPr>
                <w:sz w:val="16"/>
                <w:szCs w:val="16"/>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tcPr>
          <w:p>
            <w:pPr>
              <w:spacing w:after="0"/>
              <w:rPr>
                <w:sz w:val="16"/>
                <w:szCs w:val="16"/>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46.4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21"/>
        </w:trPr>
        <w:tc>
          <w:tcPr>
            <w:tcW w:w="34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Invisalign case volume</w:t>
            </w:r>
          </w:p>
        </w:tc>
        <w:tc>
          <w:tcPr>
            <w:tcW w:w="8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177.8</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4"/>
                <w:szCs w:val="14"/>
                <w:color w:val="auto"/>
              </w:rPr>
              <w:t>147.5</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30.3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518.5</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422.8</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95.7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i w:val="1"/>
          <w:iCs w:val="1"/>
          <w:color w:val="auto"/>
        </w:rPr>
        <w:t>Changes and percentages are based on actual values. Certain tables may not sum or recalculate due to rounding.</w:t>
      </w:r>
    </w:p>
    <w:p>
      <w:pPr>
        <w:spacing w:after="0" w:line="172"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Total net revenues increased by $71.0 million and $171.5 million for the three and nine months ended September 30, 2016, respectively, as compared to the same period in 2015, primarily as a result of Invisalign case volume growth across all regions and products.</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Clear Aligner - North America</w:t>
      </w:r>
    </w:p>
    <w:p>
      <w:pPr>
        <w:spacing w:after="0" w:line="177"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In the three months ended September 30, 2016, Clear Aligner North America net revenues increased by $19.7 million compared to the same period in 2015 primarily due to Invisalign case volume growth of approximately $18.0 million across all channels and products, and, to a lesser extent, due to higher average selling prices (“ASP”) which increased net revenues by $1.7 million. ASP increased in the current period compared to the same period in the prior year as a result of the price increase on our Full products effective April 1, 2016 which contributed approximately $5.6 million to net revenues, offset in part by higher promotional discounts of approximately $4.0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460"/>
          </w:cols>
          <w:pgMar w:left="220" w:top="125" w:right="21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63"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4"/>
          <w:szCs w:val="14"/>
          <w:color w:val="auto"/>
        </w:rPr>
        <w:t>In the nine months ended September 30, 2016, Clear Aligner North America net revenues increased by $54.3 million compared to the same period in 2015 primarily due to Invisalign case volume growth of approximately $62.3 million across all channels and products. This increase was offset in part by lower ASP which decreased net revenues by $8.0 million. ASP declined in the current period compared to the same period in the prior year as a result of higher promotional discounts of $11.5 million as well as an increase in net deferrals of $7.9 million primarily related to our additional aligners product policy change in July 2015. These declines were partially offset by the price increases on our Full products effective April 1, 2015 and April 1, 2016 which contributed $11.6 million to net revenues.</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Clear Aligner - International</w:t>
      </w:r>
    </w:p>
    <w:p>
      <w:pPr>
        <w:spacing w:after="0" w:line="177"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In the three months ended September 30, 2016, Clear Aligner international net revenues increased by $23.0 million compared to the same period in 2015 primarily driven by Invisalign case volume growth of $21.2 million across all geographies and products, and, to a lesser extent, due to higher ASP which increased net revenues by $1.8 million. ASP increased in the current period compared to the same period in the prior year as a result of increased additional aligner revenue which contributed $2.6 million to net revenues, as well as the price increase on our Full products effective July 1, 2016 which contributed $0.8 million to net revenues. These increases in ASP were offset in part by unfavorable impact of foreign exchange rates as well as higher promotional discounts of $1.6 million.</w:t>
      </w:r>
    </w:p>
    <w:p>
      <w:pPr>
        <w:spacing w:after="0" w:line="141" w:lineRule="exact"/>
        <w:rPr>
          <w:sz w:val="20"/>
          <w:szCs w:val="20"/>
          <w:color w:val="auto"/>
        </w:rPr>
      </w:pPr>
    </w:p>
    <w:p>
      <w:pPr>
        <w:jc w:val="both"/>
        <w:ind w:firstLine="252"/>
        <w:spacing w:after="0" w:line="256" w:lineRule="auto"/>
        <w:rPr>
          <w:sz w:val="20"/>
          <w:szCs w:val="20"/>
          <w:color w:val="auto"/>
        </w:rPr>
      </w:pPr>
      <w:r>
        <w:rPr>
          <w:rFonts w:ascii="Times New Roman" w:cs="Times New Roman" w:eastAsia="Times New Roman" w:hAnsi="Times New Roman"/>
          <w:sz w:val="14"/>
          <w:szCs w:val="14"/>
          <w:color w:val="auto"/>
        </w:rPr>
        <w:t>In the nine months ended September 30, 2016, Clear Aligner international net revenues increased by $58.8 million compared to the same period in 2015 primarily driven by Invisalign case volume growth of $64.5 million across all products. This was offset in part by lower ASP which decreased net revenues by approximately $5.7 million. ASP declined in the current period compared to the same period in the prior year primarily a result of a region and product mix shift towards lower priced Invisalign products of $4.2 million, higher promotional discounts of $2.5 million, and higher net deferrals of $1.8 million primarily related to additional aligners as a result of our product policy change in July 2015, and the unfavorable impact of foreign exchange rates of $1.5 million. These decreases were partially offset by the price increase on our Full products effective July 1, 2015 and July 1, 2016 which contributed $4.6 million to net revenues in the current period compared to the same period in the prior year.</w:t>
      </w: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Clear Aligner - Invisalign Non-Case</w:t>
      </w:r>
    </w:p>
    <w:p>
      <w:pPr>
        <w:spacing w:after="0" w:line="177"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Invisalign non-case net revenues consists of training fees and ancillary product revenues. Invisalign non-case net revenues increased by $2.7 million and $7.5 million, respectively for the three and nine months ended September 30, 2016, respectively compared to the same periods in 2015 primarily due to increased Vivera volume both in North America and International.</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Scanner</w:t>
      </w:r>
    </w:p>
    <w:p>
      <w:pPr>
        <w:spacing w:after="0" w:line="177"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Scanner net revenues increased $25.6 million and $50.8 million for the three and nine months ended September 30, 2016, respectively, compared to the same periods in 2015 primarily as a result of an increase in the number of scanners recognized as we began shipping our next generation iTero Element scanner in September 2015, and, to a lesser extent, due to an increase in ASP.</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460"/>
          </w:cols>
          <w:pgMar w:left="220" w:top="125" w:right="21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net revenues and gross profit (in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7"/>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640" w:type="dxa"/>
            <w:vAlign w:val="bottom"/>
            <w:tcBorders>
              <w:bottom w:val="single" w:sz="8" w:color="auto"/>
            </w:tcBorders>
          </w:tcPr>
          <w:p>
            <w:pPr>
              <w:spacing w:after="0"/>
              <w:rPr>
                <w:sz w:val="13"/>
                <w:szCs w:val="13"/>
                <w:color w:val="auto"/>
              </w:rPr>
            </w:pPr>
          </w:p>
        </w:tc>
      </w:tr>
      <w:tr>
        <w:trPr>
          <w:trHeight w:val="200"/>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2016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220" w:type="dxa"/>
            <w:vAlign w:val="bottom"/>
          </w:tcPr>
          <w:p>
            <w:pPr>
              <w:spacing w:after="0"/>
              <w:rPr>
                <w:sz w:val="17"/>
                <w:szCs w:val="17"/>
                <w:color w:val="auto"/>
              </w:rPr>
            </w:pPr>
          </w:p>
        </w:tc>
        <w:tc>
          <w:tcPr>
            <w:tcW w:w="720" w:type="dxa"/>
            <w:vAlign w:val="bottom"/>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2016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w w:val="99"/>
              </w:rPr>
              <w:t>Change</w:t>
            </w:r>
          </w:p>
        </w:tc>
      </w:tr>
      <w:tr>
        <w:trPr>
          <w:trHeight w:val="141"/>
        </w:trPr>
        <w:tc>
          <w:tcPr>
            <w:tcW w:w="20" w:type="dxa"/>
            <w:vAlign w:val="bottom"/>
            <w:tcBorders>
              <w:top w:val="single" w:sz="8" w:color="CCEEFF"/>
            </w:tcBorders>
            <w:shd w:val="clear" w:color="auto" w:fill="CCEEFF"/>
          </w:tcPr>
          <w:p>
            <w:pPr>
              <w:spacing w:after="0"/>
              <w:rPr>
                <w:sz w:val="12"/>
                <w:szCs w:val="12"/>
                <w:color w:val="auto"/>
              </w:rPr>
            </w:pPr>
          </w:p>
        </w:tc>
        <w:tc>
          <w:tcPr>
            <w:tcW w:w="5260" w:type="dxa"/>
            <w:vAlign w:val="bottom"/>
            <w:tcBorders>
              <w:top w:val="single" w:sz="8" w:color="CCEEFF"/>
            </w:tcBorders>
            <w:gridSpan w:val="4"/>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Clear Aligner</w:t>
            </w: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820" w:type="dxa"/>
            <w:vAlign w:val="bottom"/>
            <w:tcBorders>
              <w:top w:val="single" w:sz="8" w:color="auto"/>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37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5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Cost of net revenues</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12.3</w:t>
            </w:r>
          </w:p>
        </w:tc>
        <w:tc>
          <w:tcPr>
            <w:tcW w:w="2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154.1</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124.6</w:t>
            </w:r>
          </w:p>
        </w:tc>
        <w:tc>
          <w:tcPr>
            <w:tcW w:w="12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29.5</w:t>
            </w: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0"/>
        </w:trPr>
        <w:tc>
          <w:tcPr>
            <w:tcW w:w="52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 of net segment revenues</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22.3%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21.2%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21.8%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21.3%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89"/>
        </w:trPr>
        <w:tc>
          <w:tcPr>
            <w:tcW w:w="52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189.3</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156.2</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33.1</w:t>
            </w:r>
          </w:p>
        </w:tc>
        <w:tc>
          <w:tcPr>
            <w:tcW w:w="2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552.6</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461.5</w:t>
            </w:r>
          </w:p>
        </w:tc>
        <w:tc>
          <w:tcPr>
            <w:tcW w:w="12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91.1</w:t>
            </w: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0"/>
        </w:trPr>
        <w:tc>
          <w:tcPr>
            <w:tcW w:w="52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Gross margin %</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77.7%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78.8%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78.2%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78.7%</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57"/>
        </w:trPr>
        <w:tc>
          <w:tcPr>
            <w:tcW w:w="5280" w:type="dxa"/>
            <w:vAlign w:val="bottom"/>
            <w:gridSpan w:val="5"/>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Scanner and Services</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0"/>
        </w:trPr>
        <w:tc>
          <w:tcPr>
            <w:tcW w:w="52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net revenues</w:t>
            </w: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7.0</w:t>
            </w: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14.2</w:t>
            </w:r>
          </w:p>
        </w:tc>
      </w:tr>
      <w:tr>
        <w:trPr>
          <w:trHeight w:val="189"/>
        </w:trPr>
        <w:tc>
          <w:tcPr>
            <w:tcW w:w="5280" w:type="dxa"/>
            <w:vAlign w:val="bottom"/>
            <w:gridSpan w:val="5"/>
          </w:tcPr>
          <w:p>
            <w:pPr>
              <w:ind w:left="20"/>
              <w:spacing w:after="0"/>
              <w:rPr>
                <w:sz w:val="20"/>
                <w:szCs w:val="20"/>
                <w:color w:val="auto"/>
              </w:rPr>
            </w:pPr>
            <w:r>
              <w:rPr>
                <w:rFonts w:ascii="Times New Roman" w:cs="Times New Roman" w:eastAsia="Times New Roman" w:hAnsi="Times New Roman"/>
                <w:sz w:val="14"/>
                <w:szCs w:val="14"/>
                <w:i w:val="1"/>
                <w:iCs w:val="1"/>
                <w:color w:val="auto"/>
              </w:rPr>
              <w:t>% of net segment revenues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42.9%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85.3%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46.9%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80.1%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0"/>
        </w:trPr>
        <w:tc>
          <w:tcPr>
            <w:tcW w:w="52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18.6</w:t>
            </w: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36.6</w:t>
            </w:r>
          </w:p>
        </w:tc>
      </w:tr>
      <w:tr>
        <w:trPr>
          <w:trHeight w:val="189"/>
        </w:trPr>
        <w:tc>
          <w:tcPr>
            <w:tcW w:w="5280" w:type="dxa"/>
            <w:vAlign w:val="bottom"/>
            <w:gridSpan w:val="5"/>
          </w:tcPr>
          <w:p>
            <w:pPr>
              <w:ind w:left="20"/>
              <w:spacing w:after="0"/>
              <w:rPr>
                <w:sz w:val="20"/>
                <w:szCs w:val="20"/>
                <w:color w:val="auto"/>
              </w:rPr>
            </w:pPr>
            <w:r>
              <w:rPr>
                <w:rFonts w:ascii="Times New Roman" w:cs="Times New Roman" w:eastAsia="Times New Roman" w:hAnsi="Times New Roman"/>
                <w:sz w:val="14"/>
                <w:szCs w:val="14"/>
                <w:i w:val="1"/>
                <w:iCs w:val="1"/>
                <w:color w:val="auto"/>
              </w:rPr>
              <w:t>Gross margin %</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57.1%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53.1%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19.9%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gridSpan w:val="3"/>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w w:val="98"/>
              </w:rPr>
              <w:t>Total cost of net revenues</w:t>
            </w:r>
          </w:p>
        </w:tc>
        <w:tc>
          <w:tcPr>
            <w:tcW w:w="37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0"/>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ind w:right="92"/>
              <w:spacing w:after="0" w:line="157" w:lineRule="exact"/>
              <w:rPr>
                <w:sz w:val="20"/>
                <w:szCs w:val="20"/>
                <w:color w:val="auto"/>
              </w:rPr>
            </w:pPr>
            <w:r>
              <w:rPr>
                <w:rFonts w:ascii="Times New Roman" w:cs="Times New Roman" w:eastAsia="Times New Roman" w:hAnsi="Times New Roman"/>
                <w:sz w:val="14"/>
                <w:szCs w:val="14"/>
                <w:color w:val="auto"/>
              </w:rPr>
              <w:t>69.4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0"/>
              <w:spacing w:after="0" w:line="15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71"/>
              <w:spacing w:after="0" w:line="157" w:lineRule="exact"/>
              <w:rPr>
                <w:sz w:val="20"/>
                <w:szCs w:val="20"/>
                <w:color w:val="auto"/>
              </w:rPr>
            </w:pPr>
            <w:r>
              <w:rPr>
                <w:rFonts w:ascii="Times New Roman" w:cs="Times New Roman" w:eastAsia="Times New Roman" w:hAnsi="Times New Roman"/>
                <w:sz w:val="14"/>
                <w:szCs w:val="14"/>
                <w:color w:val="auto"/>
              </w:rPr>
              <w:t>50.1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10"/>
              <w:spacing w:after="0" w:line="157"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32"/>
              <w:spacing w:after="0" w:line="157" w:lineRule="exact"/>
              <w:rPr>
                <w:sz w:val="20"/>
                <w:szCs w:val="20"/>
                <w:color w:val="auto"/>
              </w:rPr>
            </w:pPr>
            <w:r>
              <w:rPr>
                <w:rFonts w:ascii="Times New Roman" w:cs="Times New Roman" w:eastAsia="Times New Roman" w:hAnsi="Times New Roman"/>
                <w:sz w:val="14"/>
                <w:szCs w:val="14"/>
                <w:color w:val="auto"/>
              </w:rPr>
              <w:t>19.3</w:t>
            </w: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0"/>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92"/>
              <w:spacing w:after="0" w:line="157" w:lineRule="exact"/>
              <w:rPr>
                <w:sz w:val="20"/>
                <w:szCs w:val="20"/>
                <w:color w:val="auto"/>
              </w:rPr>
            </w:pPr>
            <w:r>
              <w:rPr>
                <w:rFonts w:ascii="Times New Roman" w:cs="Times New Roman" w:eastAsia="Times New Roman" w:hAnsi="Times New Roman"/>
                <w:sz w:val="14"/>
                <w:szCs w:val="14"/>
                <w:color w:val="auto"/>
              </w:rPr>
              <w:t>191.6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0"/>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ind w:right="71"/>
              <w:spacing w:after="0" w:line="157" w:lineRule="exact"/>
              <w:rPr>
                <w:sz w:val="20"/>
                <w:szCs w:val="20"/>
                <w:color w:val="auto"/>
              </w:rPr>
            </w:pPr>
            <w:r>
              <w:rPr>
                <w:rFonts w:ascii="Times New Roman" w:cs="Times New Roman" w:eastAsia="Times New Roman" w:hAnsi="Times New Roman"/>
                <w:sz w:val="14"/>
                <w:szCs w:val="14"/>
                <w:color w:val="auto"/>
              </w:rPr>
              <w:t>147.9</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0"/>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ind w:right="32"/>
              <w:spacing w:after="0" w:line="157" w:lineRule="exact"/>
              <w:rPr>
                <w:sz w:val="20"/>
                <w:szCs w:val="20"/>
                <w:color w:val="auto"/>
              </w:rPr>
            </w:pPr>
            <w:r>
              <w:rPr>
                <w:rFonts w:ascii="Times New Roman" w:cs="Times New Roman" w:eastAsia="Times New Roman" w:hAnsi="Times New Roman"/>
                <w:sz w:val="14"/>
                <w:szCs w:val="14"/>
                <w:color w:val="auto"/>
              </w:rPr>
              <w:t>43.7</w:t>
            </w:r>
          </w:p>
        </w:tc>
      </w:tr>
      <w:tr>
        <w:trPr>
          <w:trHeight w:val="189"/>
        </w:trPr>
        <w:tc>
          <w:tcPr>
            <w:tcW w:w="5280" w:type="dxa"/>
            <w:vAlign w:val="bottom"/>
            <w:gridSpan w:val="5"/>
          </w:tcPr>
          <w:p>
            <w:pPr>
              <w:ind w:left="20"/>
              <w:spacing w:after="0"/>
              <w:rPr>
                <w:sz w:val="20"/>
                <w:szCs w:val="20"/>
                <w:color w:val="auto"/>
              </w:rPr>
            </w:pPr>
            <w:r>
              <w:rPr>
                <w:rFonts w:ascii="Times New Roman" w:cs="Times New Roman" w:eastAsia="Times New Roman" w:hAnsi="Times New Roman"/>
                <w:sz w:val="14"/>
                <w:szCs w:val="14"/>
                <w:i w:val="1"/>
                <w:iCs w:val="1"/>
                <w:color w:val="auto"/>
              </w:rPr>
              <w:t>% of net revenues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24.0%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0"/>
        </w:trPr>
        <w:tc>
          <w:tcPr>
            <w:tcW w:w="52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209.2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157.6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51.6</w:t>
            </w: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595.0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467.3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127.7</w:t>
            </w:r>
          </w:p>
        </w:tc>
      </w:tr>
      <w:tr>
        <w:trPr>
          <w:trHeight w:val="189"/>
        </w:trPr>
        <w:tc>
          <w:tcPr>
            <w:tcW w:w="5280" w:type="dxa"/>
            <w:vAlign w:val="bottom"/>
            <w:gridSpan w:val="5"/>
          </w:tcPr>
          <w:p>
            <w:pPr>
              <w:ind w:left="20"/>
              <w:spacing w:after="0"/>
              <w:rPr>
                <w:sz w:val="20"/>
                <w:szCs w:val="20"/>
                <w:color w:val="auto"/>
              </w:rPr>
            </w:pPr>
            <w:r>
              <w:rPr>
                <w:rFonts w:ascii="Times New Roman" w:cs="Times New Roman" w:eastAsia="Times New Roman" w:hAnsi="Times New Roman"/>
                <w:sz w:val="14"/>
                <w:szCs w:val="14"/>
                <w:i w:val="1"/>
                <w:iCs w:val="1"/>
                <w:color w:val="auto"/>
              </w:rPr>
              <w:t>Gross margin %</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75.1%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75.9%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75.6%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76.0%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bl>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i w:val="1"/>
          <w:iCs w:val="1"/>
          <w:color w:val="auto"/>
        </w:rPr>
        <w:t>Changes and percentages are based on actual values. Certain tables may not sum or recalculate due to rounding.</w:t>
      </w:r>
    </w:p>
    <w:p>
      <w:pPr>
        <w:spacing w:after="0" w:line="172"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Cost of net revenues for our Clear Aligner and Scanner segments includes salaries for staff involved in the production process, the cost of materials, packaging, shipping costs, depreciation on capital equipment used in the production process, amortization of acquired intangible assets from Cadent, training costs and stock-based compensation.</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Clear Aligner</w:t>
      </w:r>
    </w:p>
    <w:p>
      <w:pPr>
        <w:spacing w:after="0" w:line="177"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Gross margin decreased for the three months ended September 30, 2016 compared to the same period in 2015 primarily driven by a higher number of aligners per case, partially offset by a higher worldwide ASP.</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Gross margin declined for the nine months ended September 30, 2016 compared to the same period in 2015 from lower worldwide ASP and higher number of aligners per case.</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Scanner</w:t>
      </w:r>
    </w:p>
    <w:p>
      <w:pPr>
        <w:spacing w:after="0" w:line="124"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Gross margin increased for the three and nine months ended September 30, 2016 compared to the same period in 2015 due to a product mix shift to our iTero Element scanner resulting in a higher ASP and lower costs per unit.</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7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740" w:type="dxa"/>
            <w:vAlign w:val="bottom"/>
            <w:tcBorders>
              <w:bottom w:val="single" w:sz="8" w:color="auto"/>
            </w:tcBorders>
          </w:tcPr>
          <w:p>
            <w:pPr>
              <w:spacing w:after="0"/>
              <w:rPr>
                <w:sz w:val="13"/>
                <w:szCs w:val="13"/>
                <w:color w:val="auto"/>
              </w:rPr>
            </w:pPr>
          </w:p>
        </w:tc>
      </w:tr>
      <w:tr>
        <w:trPr>
          <w:trHeight w:val="200"/>
        </w:trPr>
        <w:tc>
          <w:tcPr>
            <w:tcW w:w="4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2016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355"/>
              <w:spacing w:after="0"/>
              <w:rPr>
                <w:sz w:val="20"/>
                <w:szCs w:val="20"/>
                <w:color w:val="auto"/>
              </w:rPr>
            </w:pPr>
            <w:r>
              <w:rPr>
                <w:rFonts w:ascii="Times New Roman" w:cs="Times New Roman" w:eastAsia="Times New Roman" w:hAnsi="Times New Roman"/>
                <w:sz w:val="11"/>
                <w:szCs w:val="11"/>
                <w:b w:val="1"/>
                <w:bCs w:val="1"/>
                <w:color w:val="auto"/>
              </w:rPr>
              <w:t>2015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240" w:type="dxa"/>
            <w:vAlign w:val="bottom"/>
          </w:tcPr>
          <w:p>
            <w:pPr>
              <w:spacing w:after="0"/>
              <w:rPr>
                <w:sz w:val="17"/>
                <w:szCs w:val="17"/>
                <w:color w:val="auto"/>
              </w:rPr>
            </w:pPr>
          </w:p>
        </w:tc>
        <w:tc>
          <w:tcPr>
            <w:tcW w:w="800" w:type="dxa"/>
            <w:vAlign w:val="bottom"/>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2016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355"/>
              <w:spacing w:after="0"/>
              <w:rPr>
                <w:sz w:val="20"/>
                <w:szCs w:val="20"/>
                <w:color w:val="auto"/>
              </w:rPr>
            </w:pPr>
            <w:r>
              <w:rPr>
                <w:rFonts w:ascii="Times New Roman" w:cs="Times New Roman" w:eastAsia="Times New Roman" w:hAnsi="Times New Roman"/>
                <w:sz w:val="11"/>
                <w:szCs w:val="11"/>
                <w:b w:val="1"/>
                <w:bCs w:val="1"/>
                <w:color w:val="auto"/>
              </w:rPr>
              <w:t>2015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84"/>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4"/>
                <w:szCs w:val="14"/>
                <w:color w:val="auto"/>
              </w:rPr>
              <w:t>360.4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290.7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4"/>
                <w:szCs w:val="14"/>
                <w:color w:val="auto"/>
              </w:rPr>
              <w:t>69.7</w:t>
            </w: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of net revenues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45.5%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49.0%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45.8%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47.2%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i w:val="1"/>
          <w:iCs w:val="1"/>
          <w:color w:val="auto"/>
        </w:rPr>
        <w:t>Changes and percentages are based on actual values. Certain tables may not sum or recalculate due to rounding.</w:t>
      </w:r>
    </w:p>
    <w:p>
      <w:pPr>
        <w:spacing w:after="0" w:line="172"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Selling, general and administrative expense includes personnel-related costs including payroll, commissions and stock-based compensation for our sales force, marketing and administration in addition to media and advertising expenses, clinical education, trade shows and industry events, product marketing, outside consulting services, legal expenses, depreciation and amortization expense, the medical device excise tax ("MDET") and allocations of corporate overhead expenses including facilities and IT.</w:t>
      </w:r>
    </w:p>
    <w:p>
      <w:pPr>
        <w:spacing w:after="0" w:line="136"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Selling, general and administrative expense for the three months ended September 30, 2016 increased compared to the same period in 2015 primarily due to higher compensation related costs of $9.7 million primarily due to increased headcount in sales and customer support, which includes higher salaries expense, incentive bonuses and fringe benefits. In addition, we also incurred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460"/>
          </w:cols>
          <w:pgMar w:left="220" w:top="125" w:right="21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higher expenses from advertising and marketing of $5.1 million, equipment and material costs of $3.5 million, and outside services costs of $6.1 million.</w:t>
      </w:r>
    </w:p>
    <w:p>
      <w:pPr>
        <w:spacing w:after="0" w:line="175"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Selling, general and administrative expense for the nine months ended September 30, 2016 increased compared to the same period in 2015 primarily due to higher compensation related costs of $33.3 million primarily due to increased headcount in sales and customer support, which includes higher salaries expense, incentive bonuses and fringe benefits. We also incurred higher expenses from advertising and marketing of $12.1 million, equipment and material costs of $6.6 million, and outside services costs of $5.7 million; additionally, during the first quarter of 2015 there was a refund of MDET taxes paid in 2014 of $6.8 million as our aligners are now no longer subject to the excise tax.</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4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7"/>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640" w:type="dxa"/>
            <w:vAlign w:val="bottom"/>
            <w:tcBorders>
              <w:bottom w:val="single" w:sz="8" w:color="auto"/>
            </w:tcBorders>
          </w:tcPr>
          <w:p>
            <w:pPr>
              <w:spacing w:after="0"/>
              <w:rPr>
                <w:sz w:val="13"/>
                <w:szCs w:val="13"/>
                <w:color w:val="auto"/>
              </w:rPr>
            </w:pPr>
          </w:p>
        </w:tc>
      </w:tr>
      <w:tr>
        <w:trPr>
          <w:trHeight w:val="200"/>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2016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2015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220" w:type="dxa"/>
            <w:vAlign w:val="bottom"/>
          </w:tcPr>
          <w:p>
            <w:pPr>
              <w:spacing w:after="0"/>
              <w:rPr>
                <w:sz w:val="17"/>
                <w:szCs w:val="17"/>
                <w:color w:val="auto"/>
              </w:rPr>
            </w:pPr>
          </w:p>
        </w:tc>
        <w:tc>
          <w:tcPr>
            <w:tcW w:w="720" w:type="dxa"/>
            <w:vAlign w:val="bottom"/>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2016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75"/>
              <w:spacing w:after="0"/>
              <w:rPr>
                <w:sz w:val="20"/>
                <w:szCs w:val="20"/>
                <w:color w:val="auto"/>
              </w:rPr>
            </w:pPr>
            <w:r>
              <w:rPr>
                <w:rFonts w:ascii="Times New Roman" w:cs="Times New Roman" w:eastAsia="Times New Roman" w:hAnsi="Times New Roman"/>
                <w:sz w:val="11"/>
                <w:szCs w:val="11"/>
                <w:b w:val="1"/>
                <w:bCs w:val="1"/>
                <w:color w:val="auto"/>
              </w:rPr>
              <w:t>2015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w w:val="99"/>
              </w:rPr>
              <w:t>Change</w:t>
            </w:r>
          </w:p>
        </w:tc>
      </w:tr>
      <w:tr>
        <w:trPr>
          <w:trHeight w:val="184"/>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4"/>
                <w:szCs w:val="14"/>
                <w:color w:val="auto"/>
              </w:rPr>
              <w:t>54.1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4"/>
                <w:szCs w:val="14"/>
                <w:color w:val="auto"/>
              </w:rPr>
              <w:t>6.8</w:t>
            </w:r>
          </w:p>
        </w:tc>
      </w:tr>
      <w:tr>
        <w:trPr>
          <w:trHeight w:val="189"/>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of net revenues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7.7%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bl>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i w:val="1"/>
          <w:iCs w:val="1"/>
          <w:color w:val="auto"/>
        </w:rPr>
        <w:t>Changes and percentages are based on actual values. Certain tables may not sum or recalculate due to rounding.</w:t>
      </w:r>
    </w:p>
    <w:p>
      <w:pPr>
        <w:spacing w:after="0" w:line="130"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Research and development expense includes the personnel-related costs including stock-based compensation and outside consulting expenses associated with the research and development of new products and enhancements to existing products and allocations of corporate overhead expenses including facilities and IT.</w:t>
      </w:r>
    </w:p>
    <w:p>
      <w:pPr>
        <w:spacing w:after="0" w:line="125"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Research and development expense for the three and nine months ended September 30, 2016 increased compared to the same period in 2015 due to higher compensation costs from additional headcount and salary increases, offset by lower outside services.</w:t>
      </w:r>
    </w:p>
    <w:p>
      <w:pPr>
        <w:spacing w:after="0" w:line="2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Interest and other income (expenses), net (in millions):</w:t>
      </w:r>
    </w:p>
    <w:p>
      <w:pPr>
        <w:sectPr>
          <w:pgSz w:w="11900" w:h="16838" w:orient="portrait"/>
          <w:cols w:equalWidth="0" w:num="1">
            <w:col w:w="11460"/>
          </w:cols>
          <w:pgMar w:left="220" w:top="125" w:right="219" w:bottom="1440" w:gutter="0" w:footer="0" w:header="0"/>
        </w:sectPr>
      </w:pPr>
    </w:p>
    <w:p>
      <w:pPr>
        <w:spacing w:after="0" w:line="1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18415</wp:posOffset>
            </wp:positionV>
            <wp:extent cx="205041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50415" cy="6350"/>
                    </a:xfrm>
                    <a:prstGeom prst="rect">
                      <a:avLst/>
                    </a:prstGeom>
                    <a:noFill/>
                  </pic:spPr>
                </pic:pic>
              </a:graphicData>
            </a:graphic>
          </wp:anchor>
        </w:drawing>
      </w:r>
    </w:p>
    <w:p>
      <w:pPr>
        <w:spacing w:after="0" w:line="74" w:lineRule="exact"/>
        <w:rPr>
          <w:sz w:val="20"/>
          <w:szCs w:val="20"/>
          <w:color w:val="auto"/>
        </w:rPr>
      </w:pPr>
    </w:p>
    <w:p>
      <w:pPr>
        <w:ind w:left="5240"/>
        <w:spacing w:after="0"/>
        <w:tabs>
          <w:tab w:leader="none" w:pos="6360" w:val="left"/>
          <w:tab w:leader="none" w:pos="7400" w:val="left"/>
        </w:tabs>
        <w:rPr>
          <w:sz w:val="20"/>
          <w:szCs w:val="20"/>
          <w:color w:val="auto"/>
        </w:rPr>
      </w:pPr>
      <w:r>
        <w:rPr>
          <w:rFonts w:ascii="Times New Roman" w:cs="Times New Roman" w:eastAsia="Times New Roman" w:hAnsi="Times New Roman"/>
          <w:sz w:val="11"/>
          <w:szCs w:val="11"/>
          <w:b w:val="1"/>
          <w:bCs w:val="1"/>
          <w:color w:val="auto"/>
        </w:rPr>
        <w:t>2016</w:t>
      </w:r>
      <w:r>
        <w:rPr>
          <w:sz w:val="20"/>
          <w:szCs w:val="20"/>
          <w:color w:val="auto"/>
        </w:rPr>
        <w:tab/>
      </w:r>
      <w:r>
        <w:rPr>
          <w:rFonts w:ascii="Times New Roman" w:cs="Times New Roman" w:eastAsia="Times New Roman" w:hAnsi="Times New Roman"/>
          <w:sz w:val="11"/>
          <w:szCs w:val="11"/>
          <w:b w:val="1"/>
          <w:bCs w:val="1"/>
          <w:color w:val="auto"/>
        </w:rPr>
        <w:t>2015</w:t>
      </w:r>
      <w:r>
        <w:rPr>
          <w:sz w:val="20"/>
          <w:szCs w:val="20"/>
          <w:color w:val="auto"/>
        </w:rPr>
        <w:tab/>
      </w:r>
      <w:r>
        <w:rPr>
          <w:rFonts w:ascii="Times New Roman" w:cs="Times New Roman" w:eastAsia="Times New Roman" w:hAnsi="Times New Roman"/>
          <w:sz w:val="10"/>
          <w:szCs w:val="10"/>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277100" cy="139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7100" cy="139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18415</wp:posOffset>
            </wp:positionV>
            <wp:extent cx="209042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90420" cy="6350"/>
                    </a:xfrm>
                    <a:prstGeom prst="rect">
                      <a:avLst/>
                    </a:prstGeom>
                    <a:noFill/>
                  </pic:spPr>
                </pic:pic>
              </a:graphicData>
            </a:graphic>
          </wp:anchor>
        </w:drawing>
      </w:r>
    </w:p>
    <w:p>
      <w:pPr>
        <w:spacing w:after="0" w:line="74" w:lineRule="exact"/>
        <w:rPr>
          <w:sz w:val="20"/>
          <w:szCs w:val="20"/>
          <w:color w:val="auto"/>
        </w:rPr>
      </w:pPr>
    </w:p>
    <w:p>
      <w:pPr>
        <w:spacing w:after="0"/>
        <w:tabs>
          <w:tab w:leader="none" w:pos="1120" w:val="left"/>
          <w:tab w:leader="none" w:pos="2180" w:val="left"/>
        </w:tabs>
        <w:rPr>
          <w:sz w:val="20"/>
          <w:szCs w:val="20"/>
          <w:color w:val="auto"/>
        </w:rPr>
      </w:pPr>
      <w:r>
        <w:rPr>
          <w:rFonts w:ascii="Times New Roman" w:cs="Times New Roman" w:eastAsia="Times New Roman" w:hAnsi="Times New Roman"/>
          <w:sz w:val="11"/>
          <w:szCs w:val="11"/>
          <w:b w:val="1"/>
          <w:bCs w:val="1"/>
          <w:color w:val="auto"/>
        </w:rPr>
        <w:t>2016</w:t>
      </w:r>
      <w:r>
        <w:rPr>
          <w:sz w:val="20"/>
          <w:szCs w:val="20"/>
          <w:color w:val="auto"/>
        </w:rPr>
        <w:tab/>
      </w:r>
      <w:r>
        <w:rPr>
          <w:rFonts w:ascii="Times New Roman" w:cs="Times New Roman" w:eastAsia="Times New Roman" w:hAnsi="Times New Roman"/>
          <w:sz w:val="11"/>
          <w:szCs w:val="11"/>
          <w:b w:val="1"/>
          <w:bCs w:val="1"/>
          <w:color w:val="auto"/>
        </w:rPr>
        <w:t>2015</w:t>
      </w:r>
      <w:r>
        <w:rPr>
          <w:sz w:val="20"/>
          <w:szCs w:val="20"/>
          <w:color w:val="auto"/>
        </w:rPr>
        <w:tab/>
      </w:r>
      <w:r>
        <w:rPr>
          <w:rFonts w:ascii="Times New Roman" w:cs="Times New Roman" w:eastAsia="Times New Roman" w:hAnsi="Times New Roman"/>
          <w:sz w:val="10"/>
          <w:szCs w:val="10"/>
          <w:b w:val="1"/>
          <w:bCs w:val="1"/>
          <w:color w:val="auto"/>
        </w:rPr>
        <w:t>Change</w:t>
      </w:r>
    </w:p>
    <w:p>
      <w:pPr>
        <w:spacing w:after="0" w:line="35" w:lineRule="exact"/>
        <w:rPr>
          <w:sz w:val="20"/>
          <w:szCs w:val="20"/>
          <w:color w:val="auto"/>
        </w:rPr>
      </w:pPr>
    </w:p>
    <w:p>
      <w:pPr>
        <w:sectPr>
          <w:pgSz w:w="11900" w:h="16838" w:orient="portrait"/>
          <w:cols w:equalWidth="0" w:num="2">
            <w:col w:w="7860" w:space="720"/>
            <w:col w:w="2880"/>
          </w:cols>
          <w:pgMar w:left="220" w:top="125" w:right="219" w:bottom="1440" w:gutter="0" w:footer="0" w:header="0"/>
          <w:type w:val="continuous"/>
        </w:sectPr>
      </w:pPr>
    </w:p>
    <w:p>
      <w:pPr>
        <w:ind w:left="20"/>
        <w:spacing w:after="0"/>
        <w:tabs>
          <w:tab w:leader="none" w:pos="4820" w:val="left"/>
          <w:tab w:leader="none" w:pos="5560" w:val="left"/>
          <w:tab w:leader="none" w:pos="5980" w:val="left"/>
          <w:tab w:leader="none" w:pos="6660" w:val="left"/>
          <w:tab w:leader="none" w:pos="7140" w:val="left"/>
          <w:tab w:leader="none" w:pos="7740" w:val="left"/>
          <w:tab w:leader="none" w:pos="8180" w:val="left"/>
          <w:tab w:leader="none" w:pos="8900" w:val="left"/>
          <w:tab w:leader="none" w:pos="9320" w:val="left"/>
          <w:tab w:leader="none" w:pos="10000" w:val="left"/>
          <w:tab w:leader="none" w:pos="10460" w:val="left"/>
          <w:tab w:leader="none" w:pos="11160" w:val="left"/>
        </w:tabs>
        <w:rPr>
          <w:sz w:val="20"/>
          <w:szCs w:val="20"/>
          <w:color w:val="auto"/>
        </w:rPr>
      </w:pPr>
      <w:r>
        <w:rPr>
          <w:rFonts w:ascii="Times New Roman" w:cs="Times New Roman" w:eastAsia="Times New Roman" w:hAnsi="Times New Roman"/>
          <w:sz w:val="14"/>
          <w:szCs w:val="14"/>
          <w:color w:val="auto"/>
        </w:rPr>
        <w:t>Interest and other income (expenses), net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(1.6)</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(2.8)</w:t>
        <w:tab/>
        <w:t>$</w:t>
      </w:r>
      <w:r>
        <w:rPr>
          <w:sz w:val="20"/>
          <w:szCs w:val="20"/>
          <w:color w:val="auto"/>
        </w:rPr>
        <w:tab/>
      </w:r>
      <w:r>
        <w:rPr>
          <w:rFonts w:ascii="Times New Roman" w:cs="Times New Roman" w:eastAsia="Times New Roman" w:hAnsi="Times New Roman"/>
          <w:sz w:val="14"/>
          <w:szCs w:val="14"/>
          <w:color w:val="auto"/>
        </w:rPr>
        <w:t>4.0</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i w:val="1"/>
          <w:iCs w:val="1"/>
          <w:color w:val="auto"/>
        </w:rPr>
        <w:t>Changes and percentages are based on actual values. Certain tables may not sum or recalculate due to rounding.</w:t>
      </w:r>
    </w:p>
    <w:p>
      <w:pPr>
        <w:spacing w:after="0" w:line="172"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Interest and other income (expenses), net, includes foreign currency translation gains and losses, interest income earned on cash, cash equivalents and investment balances, gains and losses on foreign currency forward contracts and other miscellaneous charges.</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Interest and other income (expenses), net increased for the three and nine months ended September 30, 2016 compared to the same period in 2015 due to foreign currency fluctuations against the 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dollar, and increased interest income on higher average balances of marketable securities.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Equity in losses of investee, net of tax:</w:t>
      </w:r>
    </w:p>
    <w:p>
      <w:pPr>
        <w:spacing w:after="0" w:line="177"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We invested $46.7 million in SDC on July 25, 2016 and we account for this investment based on the equity method of accounting. For both the three and nine months ended September 30, 2016, we recognized a $0.5 million charge representing our share of losses attributable to equity method investments. (</w:t>
      </w:r>
      <w:r>
        <w:rPr>
          <w:rFonts w:ascii="Times New Roman" w:cs="Times New Roman" w:eastAsia="Times New Roman" w:hAnsi="Times New Roman"/>
          <w:sz w:val="14"/>
          <w:szCs w:val="14"/>
          <w:i w:val="1"/>
          <w:iCs w:val="1"/>
          <w:color w:val="auto"/>
        </w:rPr>
        <w:t>Refer to Note 4 "Equity Method Investments", of the Notes to our condensed consolidated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financial statements </w:t>
      </w:r>
      <w:r>
        <w:rPr>
          <w:rFonts w:ascii="Times New Roman" w:cs="Times New Roman" w:eastAsia="Times New Roman" w:hAnsi="Times New Roman"/>
          <w:sz w:val="14"/>
          <w:szCs w:val="14"/>
          <w:color w:val="auto"/>
        </w:rPr>
        <w:t>for details on equity method investments.)</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Income tax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680" w:type="dxa"/>
            <w:vAlign w:val="bottom"/>
            <w:tcBorders>
              <w:bottom w:val="single" w:sz="8" w:color="auto"/>
            </w:tcBorders>
          </w:tcPr>
          <w:p>
            <w:pPr>
              <w:spacing w:after="0"/>
              <w:rPr>
                <w:sz w:val="13"/>
                <w:szCs w:val="13"/>
                <w:color w:val="auto"/>
              </w:rPr>
            </w:pPr>
          </w:p>
        </w:tc>
      </w:tr>
      <w:tr>
        <w:trPr>
          <w:trHeight w:val="200"/>
        </w:trPr>
        <w:tc>
          <w:tcPr>
            <w:tcW w:w="5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2016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2015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220" w:type="dxa"/>
            <w:vAlign w:val="bottom"/>
          </w:tcPr>
          <w:p>
            <w:pPr>
              <w:spacing w:after="0"/>
              <w:rPr>
                <w:sz w:val="17"/>
                <w:szCs w:val="17"/>
                <w:color w:val="auto"/>
              </w:rPr>
            </w:pPr>
          </w:p>
        </w:tc>
        <w:tc>
          <w:tcPr>
            <w:tcW w:w="720" w:type="dxa"/>
            <w:vAlign w:val="bottom"/>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2016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2015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w w:val="94"/>
              </w:rPr>
              <w:t>Change</w:t>
            </w:r>
          </w:p>
        </w:tc>
      </w:tr>
      <w:tr>
        <w:trPr>
          <w:trHeight w:val="184"/>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4"/>
                <w:szCs w:val="14"/>
                <w:color w:val="auto"/>
              </w:rPr>
              <w:t>7.9</w:t>
            </w:r>
          </w:p>
        </w:tc>
      </w:tr>
      <w:tr>
        <w:trPr>
          <w:trHeight w:val="189"/>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tax rates</w:t>
            </w:r>
          </w:p>
        </w:tc>
        <w:tc>
          <w:tcPr>
            <w:tcW w:w="220" w:type="dxa"/>
            <w:vAlign w:val="bottom"/>
          </w:tcPr>
          <w:p>
            <w:pPr>
              <w:spacing w:after="0"/>
              <w:rPr>
                <w:sz w:val="16"/>
                <w:szCs w:val="16"/>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545"/>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60"/>
          </w:cols>
          <w:pgMar w:left="220" w:top="125" w:right="219" w:bottom="1440" w:gutter="0" w:footer="0" w:header="0"/>
          <w:type w:val="continuous"/>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6"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4"/>
          <w:szCs w:val="14"/>
          <w:color w:val="auto"/>
        </w:rPr>
        <w:t>Our provision for income taxes was $11.7 million and $8.9 million for the three months ended September 30, 2016 and 2015, respectively, representing effective tax rates of 18.4% and 24.3%, respectively. Our effective tax rate differs from the statutory federal income tax rate of 35% due to certain foreign earnings, most significantly in Costa Rica and the Netherlands, which is subject to lower tax rates, and the impacts from our international corporate restructuring, explained below, partially offset by the tax impact of certain stock-based compensation charges, and unrecognized tax benefits. The decrease in the effective tax rate for the three months ended September 30, 2016 compared to the three months ended September 30, 2015 was primarily related to our international corporate restructuring described below.</w:t>
      </w:r>
    </w:p>
    <w:p>
      <w:pPr>
        <w:spacing w:after="0" w:line="141"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4"/>
          <w:szCs w:val="14"/>
          <w:color w:val="auto"/>
        </w:rPr>
        <w:t>Our provision for income taxes was $39.2 million and $31.3 million for the nine months ended September 30, 2016 and 2015, respectively, representing effective tax rates of 21.6% and 24.8%, respectively. Our effective tax rate differs from the statutory federal income tax rate of 35% due to certain foreign earnings, most significantly in Costa Rica and the Netherlands, which is subject to lower tax rates, and the impacts from our international corporate restructuring, explained below, partially offset by the tax impact of certain stock-based compensation charges, and unrecognized tax benefits. The decrease in the effective tax rate for the nine months ended September 30, 2016 compared to the nine months ended September 30, 2015 was primarily related to our international corporate restructuring described below.</w:t>
      </w:r>
    </w:p>
    <w:p>
      <w:pPr>
        <w:spacing w:after="0" w:line="141"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25"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Our total gross unrecognized tax benefits, excluding interest and penalties, was $43.9 million and $39.4 million as of September 30, 2016 and December 31, 2015, respectively, all of which would impact our effective tax rate if recognized. Our total interest and penalties accrued as of September 30, 2016 was $1.7 million. We have elected to recognize interest and penalties related to unrecognized tax benefits as a component of income taxes. We do not expect any significant changes to the amount of unrecognized tax benefit within the next twelve months.</w:t>
      </w:r>
    </w:p>
    <w:p>
      <w:pPr>
        <w:spacing w:after="0" w:line="136"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We file U.S. federal, U.S. state, and non-U.S. income tax returns. Our major tax jurisdictions are U.S. federal and the State of California. For U.S. federal and state tax returns, we are no longer subject to tax examinations for years before 2000. With few exceptions, we are no longer subject to examination by foreign tax authorities for years before 2007. Our subsidiary in Israel is under audit by the local tax authorities for calendar years 2006 through 2013. The audit by the California Franchise Tax Board for fiscal years 2011, 2012 and 2013 was concluded without material adjustment during the quarter ended September 30, 2016.</w:t>
      </w:r>
    </w:p>
    <w:p>
      <w:pPr>
        <w:spacing w:after="0" w:line="141" w:lineRule="exact"/>
        <w:rPr>
          <w:sz w:val="20"/>
          <w:szCs w:val="20"/>
          <w:color w:val="auto"/>
        </w:rPr>
      </w:pPr>
    </w:p>
    <w:p>
      <w:pPr>
        <w:jc w:val="both"/>
        <w:ind w:firstLine="252"/>
        <w:spacing w:after="0" w:line="255" w:lineRule="auto"/>
        <w:rPr>
          <w:sz w:val="20"/>
          <w:szCs w:val="20"/>
          <w:color w:val="auto"/>
        </w:rPr>
      </w:pPr>
      <w:r>
        <w:rPr>
          <w:rFonts w:ascii="Times New Roman" w:cs="Times New Roman" w:eastAsia="Times New Roman" w:hAnsi="Times New Roman"/>
          <w:sz w:val="14"/>
          <w:szCs w:val="14"/>
          <w:color w:val="auto"/>
        </w:rPr>
        <w:t>On July 1, 2016, we implemented a new international corporate structure. This changes the structure of our international procurement and sales operations, as well as realigns the ownership and use of intellectual property among our wholly-owned subsidiaries. We continue to anticipate that an increasing percentage of our consolidated pre-tax income will be derived from, and reinvested in our foreign operations. We believe that income taxed in certain foreign jurisdictions at a lower rate relative to the U.S. federal statutory rate will have a beneficial impact on our worldwide effective tax rate over time. Although the license of intellectual property rights between consolidated entities did not result in any gain in the consolidated financial statements, the Company generated taxable gains in certain jurisdictions resulting in a tax expense in the quarter of $26.6 million. Additionally, as a result of the restructuring, we reassessed the need for a valuation allowance against our deferred tax assets considering all available evidence. Given the current earnings and anticipated future earnings of our subsidiary in Israel, we concluded that we have sufficient positive evidence to release the valuation allowance against our Israel operating loss carryforwards of $31.4 million, which resulted in an income tax benefit in this period of the same amount.</w:t>
      </w:r>
    </w:p>
    <w:p>
      <w:pPr>
        <w:spacing w:after="0" w:line="145"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As of September 30, 2016, we maintained a valuation allowance of $0.3 million against Australia capital loss carryforwards. These net capital loss carryforwards would result in the recording of an income tax benefit if we were to conclude it is more likely than not that the related deferred tax assets will be realized.</w:t>
      </w:r>
    </w:p>
    <w:p>
      <w:pPr>
        <w:spacing w:after="0" w:line="125" w:lineRule="exact"/>
        <w:rPr>
          <w:sz w:val="20"/>
          <w:szCs w:val="20"/>
          <w:color w:val="auto"/>
        </w:rPr>
      </w:pPr>
    </w:p>
    <w:p>
      <w:pPr>
        <w:jc w:val="both"/>
        <w:ind w:firstLine="252"/>
        <w:spacing w:after="0" w:line="255" w:lineRule="auto"/>
        <w:rPr>
          <w:sz w:val="20"/>
          <w:szCs w:val="20"/>
          <w:color w:val="auto"/>
        </w:rPr>
      </w:pPr>
      <w:r>
        <w:rPr>
          <w:rFonts w:ascii="Times New Roman" w:cs="Times New Roman" w:eastAsia="Times New Roman" w:hAnsi="Times New Roman"/>
          <w:sz w:val="14"/>
          <w:szCs w:val="14"/>
          <w:color w:val="auto"/>
        </w:rPr>
        <w:t>In June 2009, the Costa Rica Ministry of Foreign Trade, an agency of the Government of Costa Rica, granted a twelve year extension of certain income tax incentives, which were previously granted in 2002. The incentive tax rates will expire in various years beginning in 2017. We intend to seek a renewal of these income tax incentives before they expire. Under these incentives, all of the income in Costa Rica during these twelve year incentive periods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2016 and 2015. Income taxes were reduced by $0.3 million and $8.2 million for the three months ended September 30, 2016 and 2015, respectively, representing a minimal impact to diluted net income per share to the three months ended September 30, 2016 and a benefit to diluted net income per share of $0.10 in 2015. As a result of these incentives, our income taxes were reduced by $17.5 million and $24.6 million for the nine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460"/>
          </w:cols>
          <w:pgMar w:left="220" w:top="125" w:right="21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months ended September 30, 2016 and 2015, respectively, representing a benefit to diluted net income per share of $0.21 and $0.30 in 2016 and 2015, respectively.</w:t>
      </w:r>
    </w:p>
    <w:p>
      <w:pPr>
        <w:spacing w:after="0" w:line="175"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We maintain sufficient cash reserves in the U.S. and do not intend to repatriate our foreign earnings. As a result, income taxes have not been provided on these foreign earnings. If these earnings were distributed in the form of dividends or otherwise, or if the shares of the relevant foreign subsidiaries were sold or otherwise transferred, we would be subject to additional U.S. income taxes subject to an adjustment for foreign tax credits and foreign withholding taxes. We intend to use the undistributed earnings for local operating expansions and to meet local operating working capital needs. In addition, a significant amount of the cash earned by foreign subsidiaries is deployed to effect this international restructure.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24" w:lineRule="exact"/>
        <w:rPr>
          <w:sz w:val="20"/>
          <w:szCs w:val="20"/>
          <w:color w:val="auto"/>
        </w:rPr>
      </w:pPr>
    </w:p>
    <w:p>
      <w:pPr>
        <w:ind w:right="80" w:firstLine="252"/>
        <w:spacing w:after="0" w:line="282" w:lineRule="auto"/>
        <w:rPr>
          <w:sz w:val="20"/>
          <w:szCs w:val="20"/>
          <w:color w:val="auto"/>
        </w:rPr>
      </w:pPr>
      <w:r>
        <w:rPr>
          <w:rFonts w:ascii="Times New Roman" w:cs="Times New Roman" w:eastAsia="Times New Roman" w:hAnsi="Times New Roman"/>
          <w:sz w:val="14"/>
          <w:szCs w:val="14"/>
          <w:color w:val="auto"/>
        </w:rPr>
        <w:t>We fund our operations primarily from product sales and available cash and cash equivalents and marketable securities. As of September 30, 2016 and December 31, 2015, we had the following cash, cash equivalents, and short-term and long-term marketable securities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3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September 30, 2016</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December 31, 2015</w:t>
            </w:r>
          </w:p>
        </w:tc>
        <w:tc>
          <w:tcPr>
            <w:tcW w:w="0" w:type="dxa"/>
            <w:vAlign w:val="bottom"/>
          </w:tcPr>
          <w:p>
            <w:pPr>
              <w:spacing w:after="0"/>
              <w:rPr>
                <w:sz w:val="1"/>
                <w:szCs w:val="1"/>
                <w:color w:val="auto"/>
              </w:rPr>
            </w:pPr>
          </w:p>
        </w:tc>
      </w:tr>
      <w:tr>
        <w:trPr>
          <w:trHeight w:val="184"/>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419,948</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167,714</w:t>
            </w:r>
          </w:p>
        </w:tc>
        <w:tc>
          <w:tcPr>
            <w:tcW w:w="0" w:type="dxa"/>
            <w:vAlign w:val="bottom"/>
          </w:tcPr>
          <w:p>
            <w:pPr>
              <w:spacing w:after="0"/>
              <w:rPr>
                <w:sz w:val="1"/>
                <w:szCs w:val="1"/>
                <w:color w:val="auto"/>
              </w:rPr>
            </w:pPr>
          </w:p>
        </w:tc>
      </w:tr>
      <w:tr>
        <w:trPr>
          <w:trHeight w:val="189"/>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193,018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359,581</w:t>
            </w:r>
          </w:p>
        </w:tc>
        <w:tc>
          <w:tcPr>
            <w:tcW w:w="0" w:type="dxa"/>
            <w:vAlign w:val="bottom"/>
          </w:tcPr>
          <w:p>
            <w:pPr>
              <w:spacing w:after="0"/>
              <w:rPr>
                <w:sz w:val="1"/>
                <w:szCs w:val="1"/>
                <w:color w:val="auto"/>
              </w:rPr>
            </w:pPr>
          </w:p>
        </w:tc>
      </w:tr>
      <w:tr>
        <w:trPr>
          <w:trHeight w:val="21"/>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investments</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62,820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151,370</w:t>
            </w:r>
          </w:p>
        </w:tc>
        <w:tc>
          <w:tcPr>
            <w:tcW w:w="0" w:type="dxa"/>
            <w:vAlign w:val="bottom"/>
          </w:tcPr>
          <w:p>
            <w:pPr>
              <w:spacing w:after="0"/>
              <w:rPr>
                <w:sz w:val="1"/>
                <w:szCs w:val="1"/>
                <w:color w:val="auto"/>
              </w:rPr>
            </w:pPr>
          </w:p>
        </w:tc>
      </w:tr>
      <w:tr>
        <w:trPr>
          <w:trHeight w:val="179"/>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color w:val="auto"/>
              </w:rPr>
              <w:t>675,786</w:t>
            </w:r>
          </w:p>
        </w:tc>
        <w:tc>
          <w:tcPr>
            <w:tcW w:w="220" w:type="dxa"/>
            <w:vAlign w:val="bottom"/>
            <w:gridSpan w:val="2"/>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678,665</w:t>
            </w:r>
          </w:p>
        </w:tc>
        <w:tc>
          <w:tcPr>
            <w:tcW w:w="0" w:type="dxa"/>
            <w:vAlign w:val="bottom"/>
          </w:tcPr>
          <w:p>
            <w:pPr>
              <w:spacing w:after="0"/>
              <w:rPr>
                <w:sz w:val="1"/>
                <w:szCs w:val="1"/>
                <w:color w:val="auto"/>
              </w:rPr>
            </w:pPr>
          </w:p>
        </w:tc>
      </w:tr>
      <w:tr>
        <w:trPr>
          <w:trHeight w:val="21"/>
        </w:trPr>
        <w:tc>
          <w:tcPr>
            <w:tcW w:w="83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i w:val="1"/>
                <w:iCs w:val="1"/>
                <w:color w:val="auto"/>
              </w:rPr>
              <w:t xml:space="preserve">Cash flows </w:t>
            </w:r>
            <w:r>
              <w:rPr>
                <w:rFonts w:ascii="Times New Roman" w:cs="Times New Roman" w:eastAsia="Times New Roman" w:hAnsi="Times New Roman"/>
                <w:sz w:val="14"/>
                <w:szCs w:val="14"/>
                <w:color w:val="auto"/>
              </w:rPr>
              <w:t>(in thousands):</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3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3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200"/>
        </w:trPr>
        <w:tc>
          <w:tcPr>
            <w:tcW w:w="83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2016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2015</w:t>
            </w:r>
          </w:p>
        </w:tc>
        <w:tc>
          <w:tcPr>
            <w:tcW w:w="0" w:type="dxa"/>
            <w:vAlign w:val="bottom"/>
          </w:tcPr>
          <w:p>
            <w:pPr>
              <w:spacing w:after="0"/>
              <w:rPr>
                <w:sz w:val="1"/>
                <w:szCs w:val="1"/>
                <w:color w:val="auto"/>
              </w:rPr>
            </w:pPr>
          </w:p>
        </w:tc>
      </w:tr>
      <w:tr>
        <w:trPr>
          <w:trHeight w:val="184"/>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 provided by (used in):</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Operating activities</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166,674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158,642</w:t>
            </w:r>
          </w:p>
        </w:tc>
        <w:tc>
          <w:tcPr>
            <w:tcW w:w="0" w:type="dxa"/>
            <w:vAlign w:val="bottom"/>
          </w:tcPr>
          <w:p>
            <w:pPr>
              <w:spacing w:after="0"/>
              <w:rPr>
                <w:sz w:val="1"/>
                <w:szCs w:val="1"/>
                <w:color w:val="auto"/>
              </w:rPr>
            </w:pPr>
          </w:p>
        </w:tc>
      </w:tr>
      <w:tr>
        <w:trPr>
          <w:trHeight w:val="21"/>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Investing activities</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142,859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(92,625)</w:t>
            </w:r>
          </w:p>
        </w:tc>
        <w:tc>
          <w:tcPr>
            <w:tcW w:w="0" w:type="dxa"/>
            <w:vAlign w:val="bottom"/>
          </w:tcPr>
          <w:p>
            <w:pPr>
              <w:spacing w:after="0"/>
              <w:rPr>
                <w:sz w:val="1"/>
                <w:szCs w:val="1"/>
                <w:color w:val="auto"/>
              </w:rPr>
            </w:pPr>
          </w:p>
        </w:tc>
      </w:tr>
      <w:tr>
        <w:trPr>
          <w:trHeight w:val="189"/>
        </w:trPr>
        <w:tc>
          <w:tcPr>
            <w:tcW w:w="8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Financing activities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(57,619)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(88,955)</w:t>
            </w:r>
          </w:p>
        </w:tc>
        <w:tc>
          <w:tcPr>
            <w:tcW w:w="0" w:type="dxa"/>
            <w:vAlign w:val="bottom"/>
          </w:tcPr>
          <w:p>
            <w:pPr>
              <w:spacing w:after="0"/>
              <w:rPr>
                <w:sz w:val="1"/>
                <w:szCs w:val="1"/>
                <w:color w:val="auto"/>
              </w:rPr>
            </w:pPr>
          </w:p>
        </w:tc>
      </w:tr>
      <w:tr>
        <w:trPr>
          <w:trHeight w:val="21"/>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w:t>
            </w:r>
          </w:p>
        </w:tc>
        <w:tc>
          <w:tcPr>
            <w:tcW w:w="0" w:type="dxa"/>
            <w:vAlign w:val="bottom"/>
          </w:tcPr>
          <w:p>
            <w:pPr>
              <w:spacing w:after="0"/>
              <w:rPr>
                <w:sz w:val="1"/>
                <w:szCs w:val="1"/>
                <w:color w:val="auto"/>
              </w:rPr>
            </w:pPr>
          </w:p>
        </w:tc>
      </w:tr>
      <w:tr>
        <w:trPr>
          <w:trHeight w:val="179"/>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color w:val="auto"/>
              </w:rPr>
              <w:t>252,234</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(25,831)</w:t>
            </w:r>
          </w:p>
        </w:tc>
        <w:tc>
          <w:tcPr>
            <w:tcW w:w="0" w:type="dxa"/>
            <w:vAlign w:val="bottom"/>
          </w:tcPr>
          <w:p>
            <w:pPr>
              <w:spacing w:after="0"/>
              <w:rPr>
                <w:sz w:val="1"/>
                <w:szCs w:val="1"/>
                <w:color w:val="auto"/>
              </w:rPr>
            </w:pPr>
          </w:p>
        </w:tc>
      </w:tr>
      <w:tr>
        <w:trPr>
          <w:trHeight w:val="21"/>
        </w:trPr>
        <w:tc>
          <w:tcPr>
            <w:tcW w:w="8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As of September 30, 2016, we had $675.8 million of cash, cash equivalents and short-term and long-term marketable securities. Cash equivalents and marketable securities are comprised primarily of money market funds and debt instruments which include corporate bonds, U.S. dollar denominated foreign corporate bonds, commercial paper, municipal securities, U.S. government agency bonds, U.S. government treasury bonds and asset-backed securities. We do not enter into investments for trading or speculative purposes.</w:t>
      </w:r>
    </w:p>
    <w:p>
      <w:pPr>
        <w:spacing w:after="0" w:line="136" w:lineRule="exact"/>
        <w:rPr>
          <w:sz w:val="20"/>
          <w:szCs w:val="20"/>
          <w:color w:val="auto"/>
        </w:rPr>
      </w:pPr>
    </w:p>
    <w:p>
      <w:pPr>
        <w:jc w:val="both"/>
        <w:ind w:firstLine="252"/>
        <w:spacing w:after="0" w:line="256" w:lineRule="auto"/>
        <w:rPr>
          <w:sz w:val="20"/>
          <w:szCs w:val="20"/>
          <w:color w:val="auto"/>
        </w:rPr>
      </w:pPr>
      <w:r>
        <w:rPr>
          <w:rFonts w:ascii="Times New Roman" w:cs="Times New Roman" w:eastAsia="Times New Roman" w:hAnsi="Times New Roman"/>
          <w:sz w:val="14"/>
          <w:szCs w:val="14"/>
          <w:color w:val="auto"/>
        </w:rPr>
        <w:t>As of September 30, 2016, approximately $387.5 million of cash, cash equivalents and short-term and long-term marketable securities was held by our foreign subsidiaries. Amounts held by foreign subsidiaries are generally subject to U.S. income taxation on repatriation to the U.S. The costs to repatriate our foreign earnings to the U.S. would likely be material; however, our intent is to permanently reinvest our earnings from foreign operations, and our current plans do not require us to repatriate them to fund our U.S. operations as we generate sufficient domestic operating cash flow and have access to external funding under our current revolving line of credit. Additionally, we implemented a new international corporate structure on July 1, 2016. This corporate structure may reduce our overall effective tax rate over time through changes in the structure of our international procurement and sales operations, as well as realignment of the ownership and use of intellectual property among our wholly-owned subsidiaries.</w:t>
      </w:r>
    </w:p>
    <w:p>
      <w:pPr>
        <w:spacing w:after="0" w:line="144"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The structure includes legal entities located in jurisdictions with income tax rates lower than the U.S. federal statutory tax rate. Such intercompany arrangements would be designed to result in income earned by such entities in accordance with arm’s-length principles and commensurate with functions performed, risks assumed and ownership of valuable corporate assets. We believe that income taxed in certain foreign jurisdictions at a lower rate relative to the U.S. federal statutory rate will have a beneficial impact on our worldwide effective tax rate over the medium to long term.</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460"/>
          </w:cols>
          <w:pgMar w:left="220" w:top="125" w:right="21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April 2014 Repurchase Program</w:t>
      </w:r>
    </w:p>
    <w:p>
      <w:pPr>
        <w:spacing w:after="0" w:line="177"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In April 2014, we announced that our Board of Directors had authorized a stock repurchase program ("April 2014 Repurchase Program") pursuant to which we may purchase up to $300.0 million of our common stock over the next three years.</w:t>
      </w:r>
    </w:p>
    <w:p>
      <w:pPr>
        <w:spacing w:after="0" w:line="125"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On May 3, 2016, as part of our $300.0 million April 2014 Repurchase Program, we entered into an accelerated share repurchase agreement ("ASR") to repurchase $50.0 million of our common stock (the "2016 ASR"). Under the terms of the 2016 ASR, we paid $50.0 million and received an initial delivery of approximately 0.5 million shares. The 2016 ASR was completed on September 6, 2016 with a final delivery of approximately 0.1 million shares. We received a total of approximately 0.6 million shares under the 2016 ASR at a weighted average share price of $81.89. The final number of shares repurchased was based on our volume-weighted average stock price during the term of the transaction, less an agreed upon discount.</w:t>
      </w:r>
    </w:p>
    <w:p>
      <w:pPr>
        <w:spacing w:after="0" w:line="141"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During 2016, we have repurchased on the open market 88,000 shares of our common stock at a weighted average of $93.21 per share, including commissions, for an aggregate purchase price of approximately $8.2 million. All repurchased shares were retired. As of September 30, 2016, we have $41.8 million remaining under the April 2014 Repurchase Program.</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April 2016 Repurchase Program</w:t>
      </w:r>
    </w:p>
    <w:p>
      <w:pPr>
        <w:spacing w:after="0" w:line="177"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4"/>
          <w:szCs w:val="14"/>
          <w:color w:val="auto"/>
        </w:rPr>
        <w:t>On April 28, 2016, we announced that our Board of Directors had authorized an additional plan to repurchase up to $300.0 million of the Company's stock ("the April 2016 Repurchase Plan").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 As of September 30, 2016, there have not been any repurchases under this plan. (</w:t>
      </w:r>
      <w:r>
        <w:rPr>
          <w:rFonts w:ascii="Times New Roman" w:cs="Times New Roman" w:eastAsia="Times New Roman" w:hAnsi="Times New Roman"/>
          <w:sz w:val="14"/>
          <w:szCs w:val="14"/>
          <w:i w:val="1"/>
          <w:iCs w:val="1"/>
          <w:color w:val="auto"/>
        </w:rPr>
        <w:t>Refer to Note 10 "Common Stock Repurchase", of the Notes to condensed consolidated financial statements</w:t>
      </w:r>
      <w:r>
        <w:rPr>
          <w:rFonts w:ascii="Times New Roman" w:cs="Times New Roman" w:eastAsia="Times New Roman" w:hAnsi="Times New Roman"/>
          <w:sz w:val="14"/>
          <w:szCs w:val="14"/>
          <w:color w:val="auto"/>
        </w:rPr>
        <w:t xml:space="preserve"> for details of common stock repurchase).</w:t>
      </w:r>
    </w:p>
    <w:p>
      <w:pPr>
        <w:spacing w:after="0" w:line="141" w:lineRule="exact"/>
        <w:rPr>
          <w:sz w:val="20"/>
          <w:szCs w:val="20"/>
          <w:color w:val="auto"/>
        </w:rPr>
      </w:pPr>
    </w:p>
    <w:p>
      <w:pPr>
        <w:jc w:val="both"/>
        <w:ind w:firstLine="252"/>
        <w:spacing w:after="0" w:line="256" w:lineRule="auto"/>
        <w:rPr>
          <w:sz w:val="20"/>
          <w:szCs w:val="20"/>
          <w:color w:val="auto"/>
        </w:rPr>
      </w:pPr>
      <w:r>
        <w:rPr>
          <w:rFonts w:ascii="Times New Roman" w:cs="Times New Roman" w:eastAsia="Times New Roman" w:hAnsi="Times New Roman"/>
          <w:sz w:val="14"/>
          <w:szCs w:val="14"/>
          <w:color w:val="auto"/>
        </w:rPr>
        <w:t>We believe that our current cash and cash equivalents and marketable securities combined with our positive cash flows from operations will be sufficient to fund our operations and stock repurchases for at least the next 12 months. If we are unable to generate adequate operating cash flows, we may need to suspend our stock repurchase program or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Operating Activities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the nine months ended September 30, 2016, cash flows from operations of $166.7 million resulted primarily from our net income of approximately $142.1 million as well as the following:</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Significant non-cash activities:</w:t>
      </w:r>
    </w:p>
    <w:p>
      <w:pPr>
        <w:spacing w:after="0" w:line="177" w:lineRule="exact"/>
        <w:rPr>
          <w:sz w:val="20"/>
          <w:szCs w:val="20"/>
          <w:color w:val="auto"/>
        </w:rPr>
      </w:pPr>
    </w:p>
    <w:p>
      <w:pPr>
        <w:ind w:left="500" w:hanging="119"/>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net change in deferred tax assets of $17.5 million,</w:t>
      </w:r>
    </w:p>
    <w:p>
      <w:pPr>
        <w:spacing w:after="0" w:line="21" w:lineRule="exact"/>
        <w:rPr>
          <w:rFonts w:ascii="Times New Roman" w:cs="Times New Roman" w:eastAsia="Times New Roman" w:hAnsi="Times New Roman"/>
          <w:sz w:val="14"/>
          <w:szCs w:val="14"/>
          <w:color w:val="auto"/>
        </w:rPr>
      </w:pPr>
    </w:p>
    <w:p>
      <w:pPr>
        <w:ind w:left="500" w:hanging="119"/>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of $16.8 million related to our fixed assets and acquired intangible assets,</w:t>
      </w:r>
    </w:p>
    <w:p>
      <w:pPr>
        <w:spacing w:after="0" w:line="6" w:lineRule="exact"/>
        <w:rPr>
          <w:rFonts w:ascii="Times New Roman" w:cs="Times New Roman" w:eastAsia="Times New Roman" w:hAnsi="Times New Roman"/>
          <w:sz w:val="14"/>
          <w:szCs w:val="14"/>
          <w:color w:val="auto"/>
        </w:rPr>
      </w:pPr>
    </w:p>
    <w:p>
      <w:pPr>
        <w:ind w:left="500" w:hanging="119"/>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of $39.9 million related to equity incentive compensation awards granted to our employees,</w:t>
      </w:r>
    </w:p>
    <w:p>
      <w:pPr>
        <w:spacing w:after="0" w:line="6" w:lineRule="exact"/>
        <w:rPr>
          <w:rFonts w:ascii="Times New Roman" w:cs="Times New Roman" w:eastAsia="Times New Roman" w:hAnsi="Times New Roman"/>
          <w:sz w:val="14"/>
          <w:szCs w:val="14"/>
          <w:color w:val="auto"/>
        </w:rPr>
      </w:pPr>
    </w:p>
    <w:p>
      <w:pPr>
        <w:ind w:left="500" w:hanging="119"/>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tax benefits from stock based compensation of $13.1 million and</w:t>
      </w:r>
    </w:p>
    <w:p>
      <w:pPr>
        <w:spacing w:after="0" w:line="6" w:lineRule="exact"/>
        <w:rPr>
          <w:rFonts w:ascii="Times New Roman" w:cs="Times New Roman" w:eastAsia="Times New Roman" w:hAnsi="Times New Roman"/>
          <w:sz w:val="14"/>
          <w:szCs w:val="14"/>
          <w:color w:val="auto"/>
        </w:rPr>
      </w:pPr>
    </w:p>
    <w:p>
      <w:pPr>
        <w:ind w:left="500" w:hanging="119"/>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excess tax benefits from our share-based payment arrangements of $13.9 million.</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Significant changes in working capital:</w:t>
      </w:r>
    </w:p>
    <w:p>
      <w:pPr>
        <w:spacing w:after="0" w:line="177" w:lineRule="exact"/>
        <w:rPr>
          <w:sz w:val="20"/>
          <w:szCs w:val="20"/>
          <w:color w:val="auto"/>
        </w:rPr>
      </w:pPr>
    </w:p>
    <w:p>
      <w:pPr>
        <w:ind w:left="500" w:hanging="119"/>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$93.1 million in accounts receivable which is a result of the increase in net revenues,</w:t>
      </w:r>
    </w:p>
    <w:p>
      <w:pPr>
        <w:spacing w:after="0" w:line="21" w:lineRule="exact"/>
        <w:rPr>
          <w:rFonts w:ascii="Times New Roman" w:cs="Times New Roman" w:eastAsia="Times New Roman" w:hAnsi="Times New Roman"/>
          <w:sz w:val="14"/>
          <w:szCs w:val="14"/>
          <w:color w:val="auto"/>
        </w:rPr>
      </w:pPr>
    </w:p>
    <w:p>
      <w:pPr>
        <w:ind w:left="500" w:hanging="119"/>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$46.5 million in deferred revenues corresponding to the increases in case shipments, and</w:t>
      </w:r>
    </w:p>
    <w:p>
      <w:pPr>
        <w:spacing w:after="0" w:line="6" w:lineRule="exact"/>
        <w:rPr>
          <w:rFonts w:ascii="Times New Roman" w:cs="Times New Roman" w:eastAsia="Times New Roman" w:hAnsi="Times New Roman"/>
          <w:sz w:val="14"/>
          <w:szCs w:val="14"/>
          <w:color w:val="auto"/>
        </w:rPr>
      </w:pPr>
    </w:p>
    <w:p>
      <w:pPr>
        <w:ind w:left="500" w:hanging="119"/>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$39.0 million in accrued and other long-term liabilities due to timing of payments and activities.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460"/>
          </w:cols>
          <w:pgMar w:left="220" w:top="125" w:right="21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Investing Activities</w:t>
      </w:r>
    </w:p>
    <w:p>
      <w:pPr>
        <w:spacing w:after="0" w:line="124"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Net cash provided by investing activities was $142.9 million for the nine months ended September 30, 2016 primarily consisting of purchases of marketable securities of $283.8 million, and property, plant and equipment purchases of $56.4 million and $46.7 million related to our acquisition of 17% equity interest of SmileDirectClub, LLC ("SDC"). These outflows were partially offset by $537.8 million of maturities and sales of our marketable securities.</w:t>
      </w:r>
    </w:p>
    <w:p>
      <w:pPr>
        <w:spacing w:after="0" w:line="136"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For the remainder of 2016, we expect to spend an additional $20 million to $25 million on capital expenditures for estimated total capital expenditures of $76 million to $81 million for 2016 primarily for additional manufacturing capacity, new facilities and a new enterprise resource planning system. Although we believe our current investment portfolio has little risk of impairment, we cannot predict future market conditions or market liquidity and can provide no assurance that our investment portfolio will remain unimpaired.</w:t>
      </w:r>
    </w:p>
    <w:p>
      <w:pPr>
        <w:spacing w:after="0" w:line="1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Financing Activities</w:t>
      </w:r>
    </w:p>
    <w:p>
      <w:pPr>
        <w:spacing w:after="0" w:line="124"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Net cash used in financing activities was $57.6 million for the nine months ended September 30, 2016 primarily resulting from a common stock repurchase of $58.2 million and payroll taxes paid for vesting of restricted stock units through share withholdings of $26.3 million. These outflows were offset in part by $13.9 million from excess tax benefits from our share-based compensation arrangements and $12.9 million in proceeds from issuance of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124" w:lineRule="exact"/>
        <w:rPr>
          <w:sz w:val="20"/>
          <w:szCs w:val="20"/>
          <w:color w:val="auto"/>
        </w:rPr>
      </w:pPr>
    </w:p>
    <w:p>
      <w:pPr>
        <w:jc w:val="both"/>
        <w:ind w:firstLine="252"/>
        <w:spacing w:after="0" w:line="254" w:lineRule="auto"/>
        <w:rPr>
          <w:sz w:val="20"/>
          <w:szCs w:val="20"/>
          <w:color w:val="auto"/>
        </w:rPr>
      </w:pPr>
      <w:r>
        <w:rPr>
          <w:rFonts w:ascii="Times New Roman" w:cs="Times New Roman" w:eastAsia="Times New Roman" w:hAnsi="Times New Roman"/>
          <w:sz w:val="14"/>
          <w:szCs w:val="14"/>
          <w:color w:val="auto"/>
        </w:rPr>
        <w:t>Our contractual obligations have not significantly changed since December 31, 2015 as disclosed in our Annual Report on Form 10-K. We believe that our current cash, cash equivalents and short-term marketable securities combined with our existing borrowing capacity will be sufficient to fund our operations for at least the next 12 months. If we are unable to generate adequate operating cash flows and need more funds beyond our available liquid investments and those available under our credit facility, we may need to suspend our stock repurchase program or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 (</w:t>
      </w:r>
      <w:r>
        <w:rPr>
          <w:rFonts w:ascii="Times New Roman" w:cs="Times New Roman" w:eastAsia="Times New Roman" w:hAnsi="Times New Roman"/>
          <w:sz w:val="14"/>
          <w:szCs w:val="14"/>
          <w:i w:val="1"/>
          <w:iCs w:val="1"/>
          <w:color w:val="auto"/>
        </w:rPr>
        <w:t>Refer to Note 8 "Commitments and Contingencies", of the Notes to our condensed consolidated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statements </w:t>
      </w:r>
      <w:r>
        <w:rPr>
          <w:rFonts w:ascii="Times New Roman" w:cs="Times New Roman" w:eastAsia="Times New Roman" w:hAnsi="Times New Roman"/>
          <w:sz w:val="14"/>
          <w:szCs w:val="14"/>
          <w:color w:val="auto"/>
        </w:rPr>
        <w:t>for details on our commitments and contingencies).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77"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As of September 30, 2016, we had no off-balance sheet arrangements that have, or are reasonably likely to have, a current or future material effect on our consolidated financial condition, results of operations, liquidity, capital expenditures or capital resources.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 Provisions</w:t>
      </w:r>
    </w:p>
    <w:p>
      <w:pPr>
        <w:spacing w:after="0" w:line="72"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99"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September 30, 2016, we did not have any material indemnification claims that were probable or reasonably possible.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460"/>
          </w:cols>
          <w:pgMar w:left="220" w:top="125" w:right="21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6"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4"/>
          <w:szCs w:val="14"/>
          <w:color w:val="auto"/>
        </w:rPr>
        <w:t>Management’s discussion and analysis of our financial condition and results of operations is based upon our Condensed Consolidated Financial Statements, which have been prepared in accordance with accounting principles generally accepted in the United States of America. The preparation of condensed consolidated financial statements requires our management to make estimates and judgments that affect the reported amounts of assets and liabilities, net revenues and expenses and disclosures at the date of the financial statements. We evaluate our estimates on an on-going basis, including those related to revenue recognition, accounts receivable, intangible assets, legal contingencies, impairment of goodwill and income taxes. We use authoritative pronouncements, historical experience and other assumptions as the basis for making estimates. Actual results could differ from those estimates.</w:t>
      </w:r>
    </w:p>
    <w:p>
      <w:pPr>
        <w:spacing w:after="0" w:line="141"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We believe the following critical accounting policies reflect our most significant estimates, judgments and assumptions used in the preparation of our consolidated financial statements. These critical accounting policies and related disclosures appear in our Annual Report on Form 10-K for the year ended December 31, 2015:</w:t>
      </w:r>
    </w:p>
    <w:p>
      <w:pPr>
        <w:spacing w:after="0" w:line="73" w:lineRule="exact"/>
        <w:rPr>
          <w:sz w:val="20"/>
          <w:szCs w:val="20"/>
          <w:color w:val="auto"/>
        </w:rPr>
      </w:pPr>
    </w:p>
    <w:p>
      <w:pPr>
        <w:ind w:left="760" w:hanging="379"/>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recognition;</w:t>
      </w:r>
    </w:p>
    <w:p>
      <w:pPr>
        <w:spacing w:after="0" w:line="21"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w:t>
      </w:r>
    </w:p>
    <w:p>
      <w:pPr>
        <w:spacing w:after="0" w:line="6"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Goodwill and finite-lived acquired intangible assets,</w:t>
      </w:r>
    </w:p>
    <w:p>
      <w:pPr>
        <w:spacing w:after="0" w:line="6"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of goodwill, finite-lived acquired intangible assets and long-lived assets, and</w:t>
      </w:r>
    </w:p>
    <w:p>
      <w:pPr>
        <w:spacing w:after="0" w:line="6"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Accounting for income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1 “Summary of Significant Accounting Policies” of the Notes to Condensed Consolidated Financial Statements for a discussion of recent accounting pronouncements.</w:t>
      </w:r>
    </w:p>
    <w:p>
      <w:pPr>
        <w:spacing w:after="0" w:line="19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3"/>
          <w:szCs w:val="13"/>
          <w:b w:val="1"/>
          <w:bCs w:val="1"/>
          <w:color w:val="auto"/>
        </w:rPr>
        <w:t>QUANTITATIVE AND QUALITATIVE DISCLOSURES ABOUT MARKET RISK</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the normal course of business, we are exposed to foreign currency exchange rate and interest rate risks that could impact our financial position and results of operations.</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77"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4"/>
          <w:szCs w:val="14"/>
          <w:color w:val="auto"/>
        </w:rPr>
        <w:t>Changes in interest rates could impact our anticipated interest income on our cash equivalents and investments in marketable securities. Our cash equivalents and investments are fixed-rate short-term and long-term securities. Fixed-rate securities may have their fair market value adversely impacted due to a rise in interest rates, and, as a result, our future investment income may fall short of expectations due to changes in interest rates or we may suffer losses in principal if forced to sell securities which have declined in market value due to changes in interest rates. As of September 30, 2016, we had approximately $255.8 million invested in available-for-sale marketable securities. An immediate 10% change in interest rates would not have a material adverse impact on our future operating results and cash flows.</w:t>
      </w:r>
    </w:p>
    <w:p>
      <w:pPr>
        <w:spacing w:after="0" w:line="141"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We do not enter into investments for trading or speculative purposes and have not used any derivative financial instruments to manage our interest rate risk exposure. We do not have interest bearing liabilities outstanding as of September 30, 2016, and, therefore, we were not subject to risks from immediate interest rate increases.</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Currency Rate Risk</w:t>
      </w:r>
    </w:p>
    <w:p>
      <w:pPr>
        <w:spacing w:after="0" w:line="177"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We operate in North America, Europe, Asia Pacific, Costa Rica, and Israel. As a result of our international business activities, our financial results could be affected by factors such as changes in foreign currency exchange rates or economic conditions in foreign markets, and there is no assurance that exchange rate fluctuations will not harm our business in the future. We generally sell our products in the local currency of the respective countries. This provides some natural hedging because most of the subsidiaries’ operating expenses are generally denominated in their local currencies as discussed further below. Regardless of this natural hedging, our results of operations may be adversely impacted by exchange rate fluctuations.</w:t>
      </w:r>
    </w:p>
    <w:p>
      <w:pPr>
        <w:spacing w:after="0" w:line="141"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4"/>
          <w:szCs w:val="14"/>
          <w:color w:val="auto"/>
        </w:rPr>
        <w:t>We have in the past and may in the future enter into foreign currency forward contracts to minimize the short-term impact of foreign currency exchange rate fluctuations on cash and certain trade and intercompany receivables and payables. These forward contracts are not designated as hedging instruments and do not subject us to material balance sheet risk due to fluctuations in foreign currency exchange rates. The gains and losses on these forward contracts are intended to offset the gains and losses in the underlying foreign currency denominated monetary assets and liabilities being economically hedged. These instruments are marked to market through earnings every period and generally are one month in original maturity. We do not enter into foreign currency forward contracts for trading or speculative purposes. As our international operations grow, we will continue to reassess our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460"/>
          </w:cols>
          <w:pgMar w:left="220" w:top="125" w:right="21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approach to managing the risks relating to fluctuations in currency rates. It is difficult to predict the impact hedging activities could have on our results of operations. As of September 30, 2016 we had no foreign currency forward contracts outstanding.</w:t>
      </w:r>
    </w:p>
    <w:p>
      <w:pPr>
        <w:spacing w:after="0" w:line="125"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Although we will continue to monitor our exposure to currency fluctuations, and, where appropriate, may use financial hedging techniques in the future to minimize the effect of these fluctuations, the impact of an aggregate change of 10% in foreign currency exchange rates relative to the U.S. dollar on our results of operations and financial position could be material.</w:t>
      </w:r>
    </w:p>
    <w:p>
      <w:pPr>
        <w:spacing w:after="0" w:line="14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3"/>
          <w:szCs w:val="13"/>
          <w:b w:val="1"/>
          <w:bCs w:val="1"/>
          <w:color w:val="auto"/>
        </w:rPr>
        <w:t>CONTROLS AND PROCEDURES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24" w:lineRule="exact"/>
        <w:rPr>
          <w:sz w:val="20"/>
          <w:szCs w:val="20"/>
          <w:color w:val="auto"/>
        </w:rPr>
      </w:pPr>
    </w:p>
    <w:p>
      <w:pPr>
        <w:jc w:val="both"/>
        <w:ind w:firstLine="252"/>
        <w:spacing w:after="0" w:line="256"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September 30, 2016,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 rules and forms.</w:t>
      </w: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77"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During the third quarter of 2016, we implemented the first phase of a multi- year, company-wide program to transform certain business processes or extend established processes including the transition to a new enterprise resource planning ("ERP") software system to perform various functions. The first phase included our North America and EMEA operations. In connection with this implementation, we have updated our internal controls over financial reporting, as necessary, to accommodate modifications to our business processes and accounting procedures. We do not believe that the ERP implementation will have an adverse effect on our internal control over financial reporting.</w:t>
      </w:r>
    </w:p>
    <w:p>
      <w:pPr>
        <w:spacing w:after="0" w:line="78"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Except as described above, there were no changes in our internal control over financial reporting that occurred during the third quarter of 2016 that have materially affected, or are reasonably likely to materially affect, our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460"/>
          </w:cols>
          <w:pgMar w:left="220" w:top="125" w:right="21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17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LEGAL PROCEEDINGS</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Securities Class Action Lawsuit</w:t>
      </w:r>
    </w:p>
    <w:p>
      <w:pPr>
        <w:spacing w:after="0" w:line="187" w:lineRule="exact"/>
        <w:rPr>
          <w:sz w:val="20"/>
          <w:szCs w:val="20"/>
          <w:color w:val="auto"/>
        </w:rPr>
      </w:pPr>
    </w:p>
    <w:p>
      <w:pPr>
        <w:jc w:val="both"/>
        <w:ind w:firstLine="252"/>
        <w:spacing w:after="0" w:line="267" w:lineRule="auto"/>
        <w:rPr>
          <w:sz w:val="20"/>
          <w:szCs w:val="20"/>
          <w:color w:val="auto"/>
        </w:rPr>
      </w:pPr>
      <w:r>
        <w:rPr>
          <w:rFonts w:ascii="Times New Roman" w:cs="Times New Roman" w:eastAsia="Times New Roman" w:hAnsi="Times New Roman"/>
          <w:sz w:val="14"/>
          <w:szCs w:val="14"/>
          <w:color w:val="auto"/>
        </w:rPr>
        <w:t>On November 28, 2012, plaintiff City of Dearborn Heights Act 345 Police &amp; Fire Retirement System filed a lawsuit against Align, Thomas M. Prescott (“Mr. Prescott”), Align’s former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Briefing for the appeals was completed in May 2015 and the Ninth Circuit held oral arguments in October 2016</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 xml:space="preserve">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Shareholder Derivative Lawsuit</w:t>
      </w:r>
    </w:p>
    <w:p>
      <w:pPr>
        <w:spacing w:after="0" w:line="177" w:lineRule="exact"/>
        <w:rPr>
          <w:sz w:val="20"/>
          <w:szCs w:val="20"/>
          <w:color w:val="auto"/>
        </w:rPr>
      </w:pPr>
    </w:p>
    <w:p>
      <w:pPr>
        <w:jc w:val="both"/>
        <w:ind w:firstLine="252"/>
        <w:spacing w:after="0" w:line="254" w:lineRule="auto"/>
        <w:rPr>
          <w:sz w:val="20"/>
          <w:szCs w:val="20"/>
          <w:color w:val="auto"/>
        </w:rPr>
      </w:pPr>
      <w:r>
        <w:rPr>
          <w:rFonts w:ascii="Times New Roman" w:cs="Times New Roman" w:eastAsia="Times New Roman" w:hAnsi="Times New Roman"/>
          <w:sz w:val="14"/>
          <w:szCs w:val="14"/>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Align is currently unable to predict the outcome of this complaint and therefore cannot determine the likelihood of loss nor estimate a range of possible losses, if any.</w:t>
      </w:r>
    </w:p>
    <w:p>
      <w:pPr>
        <w:spacing w:after="0" w:line="147"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4"/>
          <w:szCs w:val="14"/>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460"/>
          </w:cols>
          <w:pgMar w:left="220" w:top="125" w:right="21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4"/>
          <w:szCs w:val="14"/>
          <w:color w:val="auto"/>
        </w:rPr>
        <w:t>ITEM 1A.</w:t>
      </w:r>
      <w:r>
        <w:rPr>
          <w:sz w:val="20"/>
          <w:szCs w:val="20"/>
          <w:color w:val="auto"/>
        </w:rPr>
        <w:tab/>
      </w:r>
      <w:r>
        <w:rPr>
          <w:rFonts w:ascii="Times New Roman" w:cs="Times New Roman" w:eastAsia="Times New Roman" w:hAnsi="Times New Roman"/>
          <w:sz w:val="13"/>
          <w:szCs w:val="13"/>
          <w:b w:val="1"/>
          <w:bCs w:val="1"/>
          <w:color w:val="auto"/>
        </w:rPr>
        <w:t>RISK FACTORS</w:t>
      </w:r>
    </w:p>
    <w:p>
      <w:pPr>
        <w:spacing w:after="0" w:line="185" w:lineRule="exact"/>
        <w:rPr>
          <w:sz w:val="20"/>
          <w:szCs w:val="20"/>
          <w:color w:val="auto"/>
        </w:rPr>
      </w:pPr>
    </w:p>
    <w:p>
      <w:pPr>
        <w:jc w:val="both"/>
        <w:ind w:firstLine="168"/>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We depend on the sale of the Invisalign system for the vast majority of our net revenues, and any decline in sales of Invisalign treatment for any reason, or a decline in average selling prices would adversely affect net revenues, gross margin and net income.</w:t>
      </w:r>
    </w:p>
    <w:p>
      <w:pPr>
        <w:spacing w:after="0" w:line="71"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We expect that net revenues from the sale of the Invisalign System, primarily Invisalign Full and Invisalign Teen,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our operating results would be harmed.</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Demand for our products may not increase as rapidly as we anticipate due to a variety of factors including a weakness in general economic conditions.</w:t>
      </w:r>
    </w:p>
    <w:p>
      <w:pPr>
        <w:spacing w:after="0" w:line="124" w:lineRule="exact"/>
        <w:rPr>
          <w:sz w:val="20"/>
          <w:szCs w:val="20"/>
          <w:color w:val="auto"/>
        </w:rPr>
      </w:pPr>
    </w:p>
    <w:p>
      <w:pPr>
        <w:jc w:val="both"/>
        <w:ind w:firstLine="252"/>
        <w:spacing w:after="0" w:line="254" w:lineRule="auto"/>
        <w:rPr>
          <w:sz w:val="20"/>
          <w:szCs w:val="20"/>
          <w:color w:val="auto"/>
        </w:rPr>
      </w:pPr>
      <w:r>
        <w:rPr>
          <w:rFonts w:ascii="Times New Roman" w:cs="Times New Roman" w:eastAsia="Times New Roman" w:hAnsi="Times New Roman"/>
          <w:sz w:val="14"/>
          <w:szCs w:val="14"/>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patient traffic in dentists’ offices, reduction in consumer spending on higher value procedures or a reduction in the demand for dental services generally, each of which would have a material adverse effect on our sales and operating results.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the treatment of malocclusion, but a number of dental professionals believe that the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The frequency of use of the Invisalign system by orthodontists or GPs may not increase at the rate that we anticipate or at all.</w:t>
      </w:r>
    </w:p>
    <w:p>
      <w:pPr>
        <w:spacing w:after="0" w:line="124"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declines in average selling prices of our products which may decrease our net revenues.</w:t>
      </w:r>
    </w:p>
    <w:p>
      <w:pPr>
        <w:spacing w:after="0" w:line="124" w:lineRule="exact"/>
        <w:rPr>
          <w:sz w:val="20"/>
          <w:szCs w:val="20"/>
          <w:color w:val="auto"/>
        </w:rPr>
      </w:pPr>
    </w:p>
    <w:p>
      <w:pPr>
        <w:jc w:val="both"/>
        <w:ind w:firstLine="252"/>
        <w:spacing w:after="0" w:line="255" w:lineRule="auto"/>
        <w:rPr>
          <w:sz w:val="20"/>
          <w:szCs w:val="20"/>
          <w:color w:val="auto"/>
        </w:rPr>
      </w:pPr>
      <w:r>
        <w:rPr>
          <w:rFonts w:ascii="Times New Roman" w:cs="Times New Roman" w:eastAsia="Times New Roman" w:hAnsi="Times New Roman"/>
          <w:sz w:val="14"/>
          <w:szCs w:val="14"/>
          <w:color w:val="auto"/>
        </w:rPr>
        <w:t>We provide volume based discount programs to our doctors. In addition, we sell a number of products at different list prices. If we introduce any price reductions or consumer rebate programs; if we expand our discount programs in the future or participation in these programs increases; if our product mix shifts to lower priced products or products that have a higher percentage of deferred revenue, our average selling prices would be adversely affected and our net revenues, gross profit, gross margin and net income may be reduced. In July 2015, we launched a new product policy called "Additional Aligners at No Charge" that addresses one of our customer's top complaints. With this product policy change, we no longer distinguish between mid-course correction and case refinements and allow doctors to order additional aligners to address either treatment need at no charge, subject to certain requirements. Based on this new product policy, beginning in the third quarter of 2015, we deferred more revenue as a result of providing free additional aligners for eligible treatments. Additionally, as we grandfathered over 1 million open cases, we will recognize lower revenues as additional aligners are shipped for at least the next two years until these cases complete.</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fluctuations in currency exchange rates, which could negatively affect our financial condition and results of operations.</w:t>
      </w:r>
    </w:p>
    <w:p>
      <w:pPr>
        <w:spacing w:after="0" w:line="177" w:lineRule="exact"/>
        <w:rPr>
          <w:sz w:val="20"/>
          <w:szCs w:val="20"/>
          <w:color w:val="auto"/>
        </w:rPr>
      </w:pPr>
    </w:p>
    <w:p>
      <w:pPr>
        <w:jc w:val="both"/>
        <w:ind w:firstLine="189"/>
        <w:spacing w:after="0" w:line="260" w:lineRule="auto"/>
        <w:rPr>
          <w:sz w:val="20"/>
          <w:szCs w:val="20"/>
          <w:color w:val="auto"/>
        </w:rPr>
      </w:pPr>
      <w:r>
        <w:rPr>
          <w:rFonts w:ascii="Times New Roman" w:cs="Times New Roman" w:eastAsia="Times New Roman" w:hAnsi="Times New Roman"/>
          <w:sz w:val="14"/>
          <w:szCs w:val="14"/>
          <w:color w:val="auto"/>
        </w:rPr>
        <w:t>Although the U.S. dollar is our reporting currency, a portion of our net revenues and net income are generated in foreign currencies. Net revenues and net income generated by subsidiaries operating outside of the U.S. are translated into U.S. dollars using exchange rates effective during the respective period and are affected by changes in exchange rates. As a result, negative movements in currency exchange rates against the U.S. dollar will adversely affect our net revenues and net income in our consolidated financial statements. The exchange rate between the U.S. dollar and foreign currencies has fluctuated substantially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460"/>
          </w:cols>
          <w:pgMar w:left="220" w:top="125" w:right="21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recent years and may continue to fluctuate substantially in the future. We have in the past and may in the future enter into currency hedging transactions in an effort to cover some of our exposure to foreign currency exchange fluctuations. These transactions may not operate to fully or effectively hedge our exposure to currency fluctuations, and, under certain circumstances, these transactions could have an adverse effect on our financial condition.</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As we continue to grow, we are subject to growth related risks, including risks related to excess or constrained capacity at our existing facilities.</w:t>
      </w:r>
    </w:p>
    <w:p>
      <w:pPr>
        <w:spacing w:after="0" w:line="177" w:lineRule="exact"/>
        <w:rPr>
          <w:sz w:val="20"/>
          <w:szCs w:val="20"/>
          <w:color w:val="auto"/>
        </w:rPr>
      </w:pPr>
    </w:p>
    <w:p>
      <w:pPr>
        <w:jc w:val="both"/>
        <w:ind w:firstLine="252"/>
        <w:spacing w:after="0" w:line="253" w:lineRule="auto"/>
        <w:rPr>
          <w:sz w:val="20"/>
          <w:szCs w:val="20"/>
          <w:color w:val="auto"/>
        </w:rPr>
      </w:pPr>
      <w:r>
        <w:rPr>
          <w:rFonts w:ascii="Times New Roman" w:cs="Times New Roman" w:eastAsia="Times New Roman" w:hAnsi="Times New Roman"/>
          <w:sz w:val="14"/>
          <w:szCs w:val="14"/>
          <w:color w:val="auto"/>
        </w:rPr>
        <w:t>We are subject to growth related risks, including excess or constrained capacity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 be unable to manage such growth effectively. Any such failure could have a material adverse impact on our business, operations and prospects. We intend to establish additional Order Acquisition and Treatment Planning facilities closer to our International customers in order to improve our operational efficiency and provide doctors with a great experience to further improve their confidence in using Invisalign to treat more patients, more often. Our ability to plan, construct and equip additional manufacturing facilities is subject to significant risk and uncertainty, including risks inherent in the establishment of a new manufacturing facility, such as hiring and retaining employees and delays and cost overruns as a result of a number of factors, any of which may be out of our control. If the transition into this additional facility is significantly delayed or demand for our product exceeds our current expectations, we may not be able to fulfill orders timely, which may negatively impact our financial results and overall business. In addition, because we cannot immediately adapt our production capacity and related cost structures to changing market conditions, our manufacturing capacity may at times exceed or fall short of our production requirements. In addition, if product demand decreases or we fail to forecast demand accurately, we could be required to write off inventory or record excess capacity charges, which would lower our gross margin. Production of our intra oral scanners may also be limited by capacity constraints due to a variety of factors, including our dependency on third party vendors for key components in addition to limited production yields. Any or all of these problems could result in the loss of customers, provide an opportunity for competing products to gain market acceptance and otherwise harm our business and financial results.</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If we fail to sustain or increase profitability or revenue growth in future periods, the market price for our common stock may decline.</w:t>
      </w:r>
    </w:p>
    <w:p>
      <w:pPr>
        <w:spacing w:after="0" w:line="124"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If we are to sustain or increase profitability in future periods, we will need to continue to increase our net revenues, while controlling our expenses. Because our business is evolving, it is difficult to predict our future operating results or levels of growth, and we have in the past not been and may in the future not be able to sustain our historical growth rates. If we do not increase profitability or revenue growth or otherwise meet the expectations of securities analysts or investors, the market price of our common stock will likely decline.</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Our financial results have fluctuated in the past and may fluctuate in the future which may cause volatility in our stock price.</w:t>
      </w:r>
    </w:p>
    <w:p>
      <w:pPr>
        <w:spacing w:after="0" w:line="124"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25" w:lineRule="exact"/>
        <w:rPr>
          <w:sz w:val="20"/>
          <w:szCs w:val="20"/>
          <w:color w:val="auto"/>
        </w:rPr>
      </w:pPr>
    </w:p>
    <w:p>
      <w:pPr>
        <w:ind w:left="500" w:hanging="182"/>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visibility into and difficulty predicting the level of activity in our customers’ practices from quarter to quarter;</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weakness in consumer spending as a result of the slowdown in the U.S. economy and global economies;</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relationships with our distributors;</w:t>
      </w:r>
    </w:p>
    <w:p>
      <w:pPr>
        <w:spacing w:after="0" w:line="132" w:lineRule="exact"/>
        <w:rPr>
          <w:rFonts w:ascii="Times New Roman" w:cs="Times New Roman" w:eastAsia="Times New Roman" w:hAnsi="Times New Roman"/>
          <w:sz w:val="14"/>
          <w:szCs w:val="14"/>
          <w:color w:val="auto"/>
        </w:rPr>
      </w:pPr>
    </w:p>
    <w:p>
      <w:pPr>
        <w:ind w:left="500" w:hanging="182"/>
        <w:spacing w:after="0" w:line="282" w:lineRule="auto"/>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timing of receipt of Invisalign case product orders during a given quarter which, given our cycle time and the delay between case receipts and case shipments, could have an impact on which quarter revenue can be recognized;</w:t>
      </w:r>
    </w:p>
    <w:p>
      <w:pPr>
        <w:spacing w:after="0" w:line="83"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currency exchange rates against the U.S. dollar;</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product mix;</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scale production of our iTero Element scanner to meet customer demand;</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participation in our customer rebate or discount programs increases our average selling price will be adversely affected;</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 fluctuations in the number of doctors in their offices and their availability to take appointments;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460"/>
          </w:cols>
          <w:pgMar w:left="220" w:top="125" w:right="21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6" w:lineRule="exact"/>
        <w:rPr>
          <w:sz w:val="20"/>
          <w:szCs w:val="20"/>
          <w:color w:val="auto"/>
        </w:rPr>
      </w:pPr>
    </w:p>
    <w:p>
      <w:pPr>
        <w:ind w:left="500" w:hanging="18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of or changes to our marketing programs from quarter to quarter;</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our contract manufacturers for the production of sub-assemblies for our intra-oral scanners;</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of industry tradeshows;</w:t>
      </w:r>
    </w:p>
    <w:p>
      <w:pPr>
        <w:spacing w:after="0" w:line="132" w:lineRule="exact"/>
        <w:rPr>
          <w:rFonts w:ascii="Times New Roman" w:cs="Times New Roman" w:eastAsia="Times New Roman" w:hAnsi="Times New Roman"/>
          <w:sz w:val="14"/>
          <w:szCs w:val="14"/>
          <w:color w:val="auto"/>
        </w:rPr>
      </w:pPr>
    </w:p>
    <w:p>
      <w:pPr>
        <w:ind w:left="500" w:hanging="182"/>
        <w:spacing w:after="0" w:line="282" w:lineRule="auto"/>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timing of when revenue is recognized, including as a result of the introduction of new products or promotions, modifications to our terms and conditions or as a result of changes to critical accounting estimates or new accounting pronouncements;</w:t>
      </w:r>
    </w:p>
    <w:p>
      <w:pPr>
        <w:spacing w:after="0" w:line="83"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our effective tax rate;</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delays in production caused by insufficient capacity or availability of raw materials;</w:t>
      </w:r>
    </w:p>
    <w:p>
      <w:pPr>
        <w:spacing w:after="0" w:line="132" w:lineRule="exact"/>
        <w:rPr>
          <w:rFonts w:ascii="Times New Roman" w:cs="Times New Roman" w:eastAsia="Times New Roman" w:hAnsi="Times New Roman"/>
          <w:sz w:val="14"/>
          <w:szCs w:val="14"/>
          <w:color w:val="auto"/>
        </w:rPr>
      </w:pPr>
    </w:p>
    <w:p>
      <w:pPr>
        <w:ind w:left="500" w:hanging="182"/>
        <w:spacing w:after="0" w:line="282" w:lineRule="auto"/>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disruptions in the manufacturing process, including unexpected turnover in the labor force or the introduction of new production processes, power outages or natural or other disasters beyond our control;</w:t>
      </w:r>
    </w:p>
    <w:p>
      <w:pPr>
        <w:spacing w:after="0" w:line="83"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and marketing of directly competitive products by existing and new competitors;</w:t>
      </w:r>
    </w:p>
    <w:p>
      <w:pPr>
        <w:spacing w:after="0" w:line="132" w:lineRule="exact"/>
        <w:rPr>
          <w:rFonts w:ascii="Times New Roman" w:cs="Times New Roman" w:eastAsia="Times New Roman" w:hAnsi="Times New Roman"/>
          <w:sz w:val="14"/>
          <w:szCs w:val="14"/>
          <w:color w:val="auto"/>
        </w:rPr>
      </w:pPr>
    </w:p>
    <w:p>
      <w:pPr>
        <w:ind w:left="500" w:hanging="182"/>
        <w:spacing w:after="0" w:line="282" w:lineRule="auto"/>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our business as a result our agreement to manufacture clear aligners for SmileDirectClub, including, market acceptance of the SmileDirectClub business model and product, possible adverse customer reaction, and negative publicity about us and our products,</w:t>
      </w:r>
    </w:p>
    <w:p>
      <w:pPr>
        <w:spacing w:after="0" w:line="83"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major changes in available technology or the preferences of customers may cause our current product offerings to become less competitive or obsolete;</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aggressive price competition from competitors;</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and expenditures in connection with litigation;</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new product introductions by us and our competitors, as well as customer order deferrals in anticipation of enhancements or new products;</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delays in our receipt of patient records made through an intraoral scanner for any reason;</w:t>
      </w:r>
    </w:p>
    <w:p>
      <w:pPr>
        <w:spacing w:after="0" w:line="132" w:lineRule="exact"/>
        <w:rPr>
          <w:rFonts w:ascii="Times New Roman" w:cs="Times New Roman" w:eastAsia="Times New Roman" w:hAnsi="Times New Roman"/>
          <w:sz w:val="14"/>
          <w:szCs w:val="14"/>
          <w:color w:val="auto"/>
        </w:rPr>
      </w:pPr>
    </w:p>
    <w:p>
      <w:pPr>
        <w:ind w:left="500" w:hanging="182"/>
        <w:spacing w:after="0" w:line="282" w:lineRule="auto"/>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83"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inaccurate forecasting of net revenues, production and other operating costs,</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research and development to develop new products and enhancements; and</w:t>
      </w:r>
    </w:p>
    <w:p>
      <w:pPr>
        <w:spacing w:after="0" w:line="174"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hedge against a portion of our foreign currency-denominated assets and liabilities.</w:t>
      </w:r>
    </w:p>
    <w:p>
      <w:pPr>
        <w:spacing w:after="0" w:line="175" w:lineRule="exact"/>
        <w:rPr>
          <w:sz w:val="20"/>
          <w:szCs w:val="20"/>
          <w:color w:val="auto"/>
        </w:rPr>
      </w:pPr>
    </w:p>
    <w:p>
      <w:pPr>
        <w:jc w:val="both"/>
        <w:ind w:firstLine="252"/>
        <w:spacing w:after="0" w:line="256" w:lineRule="auto"/>
        <w:rPr>
          <w:sz w:val="20"/>
          <w:szCs w:val="20"/>
          <w:color w:val="auto"/>
        </w:rPr>
      </w:pPr>
      <w:r>
        <w:rPr>
          <w:rFonts w:ascii="Times New Roman" w:cs="Times New Roman" w:eastAsia="Times New Roman" w:hAnsi="Times New Roman"/>
          <w:sz w:val="14"/>
          <w:szCs w:val="14"/>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Our future success may depend on our ability to develop, successfully introduce and achieve market acceptance of new products.</w:t>
      </w:r>
    </w:p>
    <w:p>
      <w:pPr>
        <w:spacing w:after="0" w:line="124"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future products is a function of many variables, which include, among other things, our ability to:</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460"/>
          </w:cols>
          <w:pgMar w:left="220" w:top="125" w:right="21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63" w:lineRule="exact"/>
        <w:rPr>
          <w:sz w:val="20"/>
          <w:szCs w:val="20"/>
          <w:color w:val="auto"/>
        </w:rPr>
      </w:pPr>
    </w:p>
    <w:p>
      <w:pPr>
        <w:ind w:left="500" w:hanging="18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correctly identify customer needs and preferences and predict future needs and preferences;</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functionality and features that address customer requirements;</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ensure compatibility of our computer operating systems and hardware configurations with those of our customers;</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allocate our research and development funding to products with higher growth prospects;</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 and respond to our competitors’ development of new products and technological innovations;</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differentiate our offerings from our competitors’ offerings;</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innovate and develop new technologies and applications;</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third-party reimbursement of procedures using our products;</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adequate intellectual property rights; and</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encourage customers to adopt new technologies.</w:t>
      </w:r>
    </w:p>
    <w:p>
      <w:pPr>
        <w:spacing w:after="0" w:line="175"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4"/>
          <w:szCs w:val="14"/>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Invisalign. Since it takes approximately 12 to 24 months to treat a patient, our customers may be unwilling to rapidly adopt our new products until they successfully complete at least one case or until more historical clinical results are available.</w:t>
      </w:r>
    </w:p>
    <w:p>
      <w:pPr>
        <w:spacing w:after="0" w:line="141"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Our ability to market and sell new products may also be subject to government regulation, including approval or clearance by the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A disruption in the operations of our primary freight carrier or higher shipping costs could cause a decline in our net revenues or a reduction in our earnings.</w:t>
      </w:r>
    </w:p>
    <w:p>
      <w:pPr>
        <w:spacing w:after="0" w:line="124"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operating profits could materially decline. In a rising fuel cost environment, our freight costs will 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on our international operations, which exposes us to foreign operational, political and other risks that may harm our business.</w:t>
      </w:r>
    </w:p>
    <w:p>
      <w:pPr>
        <w:spacing w:after="0" w:line="124" w:lineRule="exact"/>
        <w:rPr>
          <w:sz w:val="20"/>
          <w:szCs w:val="20"/>
          <w:color w:val="auto"/>
        </w:rPr>
      </w:pPr>
    </w:p>
    <w:p>
      <w:pPr>
        <w:jc w:val="both"/>
        <w:ind w:firstLine="252"/>
        <w:spacing w:after="0" w:line="256" w:lineRule="auto"/>
        <w:rPr>
          <w:sz w:val="20"/>
          <w:szCs w:val="20"/>
          <w:color w:val="auto"/>
        </w:rPr>
      </w:pPr>
      <w:r>
        <w:rPr>
          <w:rFonts w:ascii="Times New Roman" w:cs="Times New Roman" w:eastAsia="Times New Roman" w:hAnsi="Times New Roman"/>
          <w:sz w:val="14"/>
          <w:szCs w:val="14"/>
          <w:color w:val="auto"/>
        </w:rPr>
        <w:t>Our key production steps are performed in operations located outside of the U.S. At our facility in San Jose, Costa Rica, technicians use a sophisticated, internally developed computer-modeling program to prepare digital treatment plans, which are then transmitted electronically to Juarez, Mexico. These digital files form the basis of the ClinCheck treatment plan and are used to manufacture aligner molds. Our order acquisition, aligner fabrication and shipping operations are conducted in Juarez, Mexico. In addition to the research and development efforts conducted in our North America facilities, we also carry out research and development at locations in Moscow, Russia. In addition, our customer-care, accounts receivable, credit and collections and customer event registration organizations are located at our facility in San Jose, Costa Rica. We also have operations in Israel where the design and wand assembly and our intra-oral scanner are manufactured. Our reliance on international operations exposes us to risks and uncertainties that may affect our business or results of operation, including:</w:t>
      </w:r>
    </w:p>
    <w:p>
      <w:pPr>
        <w:spacing w:after="0" w:line="144" w:lineRule="exact"/>
        <w:rPr>
          <w:sz w:val="20"/>
          <w:szCs w:val="20"/>
          <w:color w:val="auto"/>
        </w:rPr>
      </w:pPr>
    </w:p>
    <w:p>
      <w:pPr>
        <w:ind w:left="500" w:hanging="182"/>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hiring and retaining employees generally, as well as difficulties in hiring and retaining employees with the necessary skills to perform the more technical aspects of our operations;</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managing international operations, including any travel restrictions to or from our facilities located in Russia and Israel;</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460"/>
          </w:cols>
          <w:pgMar w:left="220" w:top="125" w:right="21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6" w:lineRule="exact"/>
        <w:rPr>
          <w:sz w:val="20"/>
          <w:szCs w:val="20"/>
          <w:color w:val="auto"/>
        </w:rPr>
      </w:pPr>
    </w:p>
    <w:p>
      <w:pPr>
        <w:ind w:left="500" w:hanging="182"/>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currency exchange rates;</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income taxes, and other restrictions and limitations, if we were to decide to repatriate any of our foreign cash balances back to the U.S.;</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import and export license requirements and restrictions;</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controlling production volume and quality of the manufacturing process;</w:t>
      </w:r>
    </w:p>
    <w:p>
      <w:pPr>
        <w:spacing w:after="0" w:line="132" w:lineRule="exact"/>
        <w:rPr>
          <w:rFonts w:ascii="Times New Roman" w:cs="Times New Roman" w:eastAsia="Times New Roman" w:hAnsi="Times New Roman"/>
          <w:sz w:val="14"/>
          <w:szCs w:val="14"/>
          <w:color w:val="auto"/>
        </w:rPr>
      </w:pPr>
    </w:p>
    <w:p>
      <w:pPr>
        <w:jc w:val="both"/>
        <w:ind w:left="500" w:hanging="182"/>
        <w:spacing w:after="0" w:line="260" w:lineRule="auto"/>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social and economic instability, including as a result of increased levels of violence in Juarez, Mexico or the Middle East. We cannot predict the effect on us of any future armed conflict, political instability or violence in these regions. In addition, some of our employees in Israel are obligated to perform annual reserve duty in the Israeli military and are subject to being called for additional active duty under emergency circumstances.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w:t>
      </w:r>
    </w:p>
    <w:p>
      <w:pPr>
        <w:spacing w:after="0" w:line="99"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of terrorism and acts of war;</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geopolitical instability and the responses to it, such as the possibility of additional sanctions against Russia which continue to bring uncertainty to this region;</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and limitations in telecommunication services;</w:t>
      </w:r>
    </w:p>
    <w:p>
      <w:pPr>
        <w:spacing w:after="0" w:line="132" w:lineRule="exact"/>
        <w:rPr>
          <w:rFonts w:ascii="Times New Roman" w:cs="Times New Roman" w:eastAsia="Times New Roman" w:hAnsi="Times New Roman"/>
          <w:sz w:val="14"/>
          <w:szCs w:val="14"/>
          <w:color w:val="auto"/>
        </w:rPr>
      </w:pPr>
    </w:p>
    <w:p>
      <w:pPr>
        <w:ind w:left="500" w:hanging="182"/>
        <w:spacing w:after="0" w:line="282" w:lineRule="auto"/>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or material transportation delays or disruption, including as a result of increased levels of violence, acts of terrorism, acts of war or health epidemics restricting travel to and from our international locations or as a result of natural disasters, such as earthquakes or volcanic eruptions;</w:t>
      </w:r>
    </w:p>
    <w:p>
      <w:pPr>
        <w:spacing w:after="0" w:line="83"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burdens of complying with a wide variety of local country and regional laws, including the risks associated with the Foreign Corrupt Practices Act and local anti-bribery compliance;</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restrictions and changes in tariffs; and</w:t>
      </w:r>
    </w:p>
    <w:p>
      <w:pPr>
        <w:spacing w:after="0" w:line="132"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adverse tax consequences.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If any of these risks materialize in the future, we could experience production delays and lost or delayed revenue.</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We earn an increasingly larger portion of our total revenues from international sales and face risks attendant to those operations.</w:t>
      </w:r>
    </w:p>
    <w:p>
      <w:pPr>
        <w:spacing w:after="0" w:line="177"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We earn an increasingly larger portion of our total revenues from international sales generated through our foreign direct and indirect operations. Since our growth strategy depends in part on our ability to further penetrate markets outside the U.S. and increase the localization of our products and services, we expect to continue to increase our sales and presence outside the U.S., particularly in the high-growth markets. Our international operations are subject to risks that are customarily encountered in non-U.S. operations, including:</w:t>
      </w:r>
    </w:p>
    <w:p>
      <w:pPr>
        <w:spacing w:after="0" w:line="136" w:lineRule="exact"/>
        <w:rPr>
          <w:sz w:val="20"/>
          <w:szCs w:val="20"/>
          <w:color w:val="auto"/>
        </w:rPr>
      </w:pPr>
    </w:p>
    <w:p>
      <w:pPr>
        <w:ind w:left="500" w:hanging="182"/>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local political and economic instability;</w:t>
      </w:r>
    </w:p>
    <w:p>
      <w:pPr>
        <w:spacing w:after="0" w:line="174" w:lineRule="exact"/>
        <w:rPr>
          <w:rFonts w:ascii="Times New Roman" w:cs="Times New Roman" w:eastAsia="Times New Roman" w:hAnsi="Times New Roman"/>
          <w:sz w:val="14"/>
          <w:szCs w:val="14"/>
          <w:color w:val="auto"/>
        </w:rPr>
      </w:pPr>
    </w:p>
    <w:p>
      <w:pPr>
        <w:jc w:val="both"/>
        <w:ind w:left="500" w:hanging="182"/>
        <w:spacing w:after="0" w:line="266" w:lineRule="auto"/>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UK Bribery Act of 2010 and export control laws, in spite of our policies and procedures designed to ensure compliance with these laws;</w:t>
      </w:r>
    </w:p>
    <w:p>
      <w:pPr>
        <w:spacing w:after="0" w:line="135" w:lineRule="exact"/>
        <w:rPr>
          <w:rFonts w:ascii="Times New Roman" w:cs="Times New Roman" w:eastAsia="Times New Roman" w:hAnsi="Times New Roman"/>
          <w:sz w:val="14"/>
          <w:szCs w:val="14"/>
          <w:color w:val="auto"/>
        </w:rPr>
      </w:pPr>
    </w:p>
    <w:p>
      <w:pPr>
        <w:ind w:left="500" w:hanging="182"/>
        <w:spacing w:after="0" w:line="282" w:lineRule="auto"/>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it is our intention to indefinitely reinvest earnings outside the U.S., restrictions on the transfer of funds held by our foreign subsidiaries, including with respect to restrictions on our ability to repatriate foreign cash to the U.S at favorable tax rates;</w:t>
      </w:r>
    </w:p>
    <w:p>
      <w:pPr>
        <w:spacing w:after="0" w:line="124"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currency exchange rates; and</w:t>
      </w:r>
    </w:p>
    <w:p>
      <w:pPr>
        <w:spacing w:after="0" w:line="174" w:lineRule="exact"/>
        <w:rPr>
          <w:rFonts w:ascii="Times New Roman" w:cs="Times New Roman" w:eastAsia="Times New Roman" w:hAnsi="Times New Roman"/>
          <w:sz w:val="14"/>
          <w:szCs w:val="14"/>
          <w:color w:val="auto"/>
        </w:rPr>
      </w:pPr>
    </w:p>
    <w:p>
      <w:pPr>
        <w:ind w:left="500" w:hanging="182"/>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expense of developing, testing and making localized versions of our products.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460"/>
          </w:cols>
          <w:pgMar w:left="220" w:top="125" w:right="21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Any of these factors, either individually or in combination, could materially impact our international operations and adversely affect our business as a whole.</w:t>
      </w:r>
    </w:p>
    <w:p>
      <w:pPr>
        <w:spacing w:after="0" w:line="173" w:lineRule="exact"/>
        <w:rPr>
          <w:sz w:val="20"/>
          <w:szCs w:val="20"/>
          <w:color w:val="auto"/>
        </w:rPr>
      </w:pPr>
    </w:p>
    <w:p>
      <w:pPr>
        <w:jc w:val="both"/>
        <w:ind w:firstLine="206"/>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accurately predict our volume growth, and fail to hire a sufficient number of technicians in advance of such demand, the delivery time of our products could be delayed which could adversely affect our results of operations.</w:t>
      </w:r>
    </w:p>
    <w:p>
      <w:pPr>
        <w:spacing w:after="0" w:line="71"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Treatment planning is a key step leading to our manufacturing process which relies on sophisticated computer technology requiring new technicians to undergo a relatively long training process. Training production technicians takes approximately 90 to 120 days. As a result, if we are unable to accurately predict our volume growth, we may not have a sufficient number of trained technicians to deliver our products within the timeframe our customers expect. Such a delay could cause us to lose existing customers or fail to attract new customers. This could cause a decline in our net revenues and net income and could adversely affect our results of operations.</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124" w:lineRule="exact"/>
        <w:rPr>
          <w:sz w:val="20"/>
          <w:szCs w:val="20"/>
          <w:color w:val="auto"/>
        </w:rPr>
      </w:pPr>
    </w:p>
    <w:p>
      <w:pPr>
        <w:jc w:val="both"/>
        <w:ind w:firstLine="252"/>
        <w:spacing w:after="0" w:line="256" w:lineRule="auto"/>
        <w:rPr>
          <w:sz w:val="20"/>
          <w:szCs w:val="20"/>
          <w:color w:val="auto"/>
        </w:rPr>
      </w:pPr>
      <w:r>
        <w:rPr>
          <w:rFonts w:ascii="Times New Roman" w:cs="Times New Roman" w:eastAsia="Times New Roman" w:hAnsi="Times New Roman"/>
          <w:sz w:val="14"/>
          <w:szCs w:val="14"/>
          <w:color w:val="auto"/>
        </w:rPr>
        <w:t>Our digital dental modeling is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locations in Costa Rica and Mexico are in earthquake zones and may be subject to other natural disasters. If there is a major earthquake or any other natural 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headquarters facility in California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42" w:lineRule="exact"/>
        <w:rPr>
          <w:sz w:val="20"/>
          <w:szCs w:val="20"/>
          <w:color w:val="auto"/>
        </w:rPr>
      </w:pPr>
    </w:p>
    <w:p>
      <w:pPr>
        <w:jc w:val="both"/>
        <w:ind w:firstLine="168"/>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23" w:lineRule="exact"/>
        <w:rPr>
          <w:sz w:val="20"/>
          <w:szCs w:val="20"/>
          <w:color w:val="auto"/>
        </w:rPr>
      </w:pPr>
    </w:p>
    <w:p>
      <w:pPr>
        <w:jc w:val="both"/>
        <w:ind w:firstLine="252"/>
        <w:spacing w:after="0" w:line="253" w:lineRule="auto"/>
        <w:rPr>
          <w:sz w:val="20"/>
          <w:szCs w:val="20"/>
          <w:color w:val="auto"/>
        </w:rPr>
      </w:pPr>
      <w:r>
        <w:rPr>
          <w:rFonts w:ascii="Times New Roman" w:cs="Times New Roman" w:eastAsia="Times New Roman" w:hAnsi="Times New Roman"/>
          <w:sz w:val="14"/>
          <w:szCs w:val="14"/>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We are in the process of implementing a multi-year, company-wide program to transform certain business processes or extend established processes, including the transition to a new enterprise resource planning ("ERP") software system to perform various functions. We implemented the first phase of our ERP on July 1, 2016, and while we believe we are past any potential significant business disruption, we are still monitoring and troubleshooting potential issues. The implementation of additional functionality in the ERP system entails certain risks, including difficulties with changes in business processes that could disrupt our operations, such as our ability to track orders and timely ship products, manage our supply chain and aggregate financial and operational data. Additionally, this implementation may not achieve the anticipated benefits and may divert management's attention from other operational activities, negatively affect employee morale, or have other unintended consequences. Additionally, if we are not able to accurately forecast expenses and capitalized costs related to the project, this may have an adverse impact on our financial condition and operating results.</w:t>
      </w:r>
    </w:p>
    <w:p>
      <w:pPr>
        <w:spacing w:after="0" w:line="148" w:lineRule="exact"/>
        <w:rPr>
          <w:sz w:val="20"/>
          <w:szCs w:val="20"/>
          <w:color w:val="auto"/>
        </w:rPr>
      </w:pPr>
    </w:p>
    <w:p>
      <w:pPr>
        <w:jc w:val="both"/>
        <w:ind w:firstLine="288"/>
        <w:spacing w:after="0" w:line="254" w:lineRule="auto"/>
        <w:rPr>
          <w:sz w:val="20"/>
          <w:szCs w:val="20"/>
          <w:color w:val="auto"/>
        </w:rPr>
      </w:pPr>
      <w:r>
        <w:rPr>
          <w:rFonts w:ascii="Times New Roman" w:cs="Times New Roman" w:eastAsia="Times New Roman" w:hAnsi="Times New Roman"/>
          <w:sz w:val="14"/>
          <w:szCs w:val="14"/>
          <w:color w:val="auto"/>
        </w:rPr>
        <w:t>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and misappropriate our confidential information or that of third parties, create system disruptions or cause shutdowns. Furthermore, sophisticated hardware and operating system software and applications that we either internally develop or procure from third parties which we depend upon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net revenues and operating results.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460"/>
          </w:cols>
          <w:pgMar w:left="220" w:top="125" w:right="21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6"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125"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41"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36"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77" w:lineRule="exact"/>
        <w:rPr>
          <w:sz w:val="20"/>
          <w:szCs w:val="20"/>
          <w:color w:val="auto"/>
        </w:rPr>
      </w:pPr>
    </w:p>
    <w:p>
      <w:pPr>
        <w:jc w:val="both"/>
        <w:ind w:firstLine="252"/>
        <w:spacing w:after="0" w:line="253" w:lineRule="auto"/>
        <w:rPr>
          <w:sz w:val="20"/>
          <w:szCs w:val="20"/>
          <w:color w:val="auto"/>
        </w:rPr>
      </w:pPr>
      <w:r>
        <w:rPr>
          <w:rFonts w:ascii="Times New Roman" w:cs="Times New Roman" w:eastAsia="Times New Roman" w:hAnsi="Times New Roman"/>
          <w:sz w:val="14"/>
          <w:szCs w:val="14"/>
          <w:color w:val="auto"/>
        </w:rPr>
        <w:t>Currently, our products compete directly against products manufactured and distributed by various companies, both within and outside the U.S. Many of these manufacturers, including Danaher Corporation, 3M, and Dentsply Sirona Inc., have substantially greater financial resources and manufacturing and marketing experience than we do and may, in the future, attempt to develop an orthodontic system similar to ours or combine technologies that make our product economically unattractive. The expiration of certain key patents commencing in 2017 owned by us may result in additional competition. Existing competitors may begin offering products more similar to ours. We may face more intense competition if new entrants to the clear aligner market are significantly larger than we are with greater resources and the ability to leverage their existing channels in the dental market to compete directly with us. In addition, corresponding foreign patents will start to expire in 2018, which may lead to increased competition in some of the markets outside the U.S. Large consumer product companies may also enter the orthodontic supply market. Furthermore, we may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and stock price. We cannot assure you that we will be able to compete successfully against our current or future competitors or that competitive pressures will not have a material adverse effect on our business, results of operations and financial condition.</w:t>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If the security of our customer and patient information is compromised, patient care could suffer, and we could be liable for related damages, and our reputation could be impaired.</w:t>
      </w:r>
    </w:p>
    <w:p>
      <w:pPr>
        <w:spacing w:after="0" w:line="124"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1460"/>
          </w:cols>
          <w:pgMar w:left="220" w:top="125" w:right="21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4" w:lineRule="exact"/>
        <w:rPr>
          <w:sz w:val="20"/>
          <w:szCs w:val="20"/>
          <w:color w:val="auto"/>
        </w:rPr>
      </w:pPr>
    </w:p>
    <w:p>
      <w:pPr>
        <w:jc w:val="both"/>
        <w:ind w:firstLine="168"/>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71"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September 30, 2016, we had issued 417 U.S. patents, 331 foreign issued patents, and 374 pending global patent applications.</w:t>
      </w:r>
    </w:p>
    <w:p>
      <w:pPr>
        <w:spacing w:after="0" w:line="125" w:lineRule="exact"/>
        <w:rPr>
          <w:sz w:val="20"/>
          <w:szCs w:val="20"/>
          <w:color w:val="auto"/>
        </w:rPr>
      </w:pPr>
    </w:p>
    <w:p>
      <w:pPr>
        <w:jc w:val="both"/>
        <w:ind w:firstLine="252"/>
        <w:spacing w:after="0" w:line="253" w:lineRule="auto"/>
        <w:rPr>
          <w:sz w:val="20"/>
          <w:szCs w:val="20"/>
          <w:color w:val="auto"/>
        </w:rPr>
      </w:pPr>
      <w:r>
        <w:rPr>
          <w:rFonts w:ascii="Times New Roman" w:cs="Times New Roman" w:eastAsia="Times New Roman" w:hAnsi="Times New Roman"/>
          <w:sz w:val="14"/>
          <w:szCs w:val="14"/>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46"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Litigation is subject to inherent uncertainties and unfavorable rulings could occur.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123" w:lineRule="exact"/>
        <w:rPr>
          <w:sz w:val="20"/>
          <w:szCs w:val="20"/>
          <w:color w:val="auto"/>
        </w:rPr>
      </w:pPr>
    </w:p>
    <w:p>
      <w:pPr>
        <w:jc w:val="both"/>
        <w:ind w:firstLine="168"/>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71" w:lineRule="exact"/>
        <w:rPr>
          <w:sz w:val="20"/>
          <w:szCs w:val="20"/>
          <w:color w:val="auto"/>
        </w:rPr>
      </w:pPr>
    </w:p>
    <w:p>
      <w:pPr>
        <w:jc w:val="both"/>
        <w:ind w:firstLine="252"/>
        <w:spacing w:after="0" w:line="254" w:lineRule="auto"/>
        <w:rPr>
          <w:sz w:val="20"/>
          <w:szCs w:val="20"/>
          <w:color w:val="auto"/>
        </w:rPr>
      </w:pPr>
      <w:r>
        <w:rPr>
          <w:rFonts w:ascii="Times New Roman" w:cs="Times New Roman" w:eastAsia="Times New Roman" w:hAnsi="Times New Roman"/>
          <w:sz w:val="14"/>
          <w:szCs w:val="14"/>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in future periods is subject to the risk that our controls may become inadequate because of changes in conditions, and, as a result, the degree of compliance of our internal control over financial reporting with the existing policies or procedures may become ineffective.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If we lose our key personnel or are unable to attract and retain key personnel, we may be unable to pursue business opportunities or develop our products.</w:t>
      </w:r>
    </w:p>
    <w:p>
      <w:pPr>
        <w:spacing w:after="0" w:line="177"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 work in private practices, universities and other research institutions. Thus, we may be unable to attract and retain personnel with the advanced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1460"/>
          </w:cols>
          <w:pgMar w:left="220" w:top="125" w:right="21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qualifications necessary for the further development of our business. Furthermore, we may not be successful in retaining our key personnel or their services. If we are unable to attract and retain key personnel, our business could be materially harmed. In addition, David L. White, our CFO announced his retirement effective November 10, 2016. While we also announced the appointment of John F. Morici as CFO effective that same date and we expect to engage in an orderly transition, our ability to execute our business strategy and retain key personnel may be adversely affected by the uncertainty associated with this transaction.</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If we infringe the patents or proprietary rights of other parties or are subject to a patent infringement claim, our ability to grow our business may be severely limited.</w:t>
      </w:r>
    </w:p>
    <w:p>
      <w:pPr>
        <w:spacing w:after="0" w:line="124" w:lineRule="exact"/>
        <w:rPr>
          <w:sz w:val="20"/>
          <w:szCs w:val="20"/>
          <w:color w:val="auto"/>
        </w:rPr>
      </w:pPr>
    </w:p>
    <w:p>
      <w:pPr>
        <w:jc w:val="both"/>
        <w:ind w:firstLine="252"/>
        <w:spacing w:after="0" w:line="255" w:lineRule="auto"/>
        <w:rPr>
          <w:sz w:val="20"/>
          <w:szCs w:val="20"/>
          <w:color w:val="auto"/>
        </w:rPr>
      </w:pPr>
      <w:r>
        <w:rPr>
          <w:rFonts w:ascii="Times New Roman" w:cs="Times New Roman" w:eastAsia="Times New Roman" w:hAnsi="Times New Roman"/>
          <w:sz w:val="14"/>
          <w:szCs w:val="14"/>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43" w:lineRule="exact"/>
        <w:rPr>
          <w:sz w:val="20"/>
          <w:szCs w:val="20"/>
          <w:color w:val="auto"/>
        </w:rPr>
      </w:pPr>
    </w:p>
    <w:p>
      <w:pPr>
        <w:jc w:val="both"/>
        <w:ind w:firstLine="168"/>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71" w:lineRule="exact"/>
        <w:rPr>
          <w:sz w:val="20"/>
          <w:szCs w:val="20"/>
          <w:color w:val="auto"/>
        </w:rPr>
      </w:pPr>
    </w:p>
    <w:p>
      <w:pPr>
        <w:jc w:val="both"/>
        <w:ind w:firstLine="252"/>
        <w:spacing w:after="0" w:line="253" w:lineRule="auto"/>
        <w:rPr>
          <w:sz w:val="20"/>
          <w:szCs w:val="20"/>
          <w:color w:val="auto"/>
        </w:rPr>
      </w:pPr>
      <w:r>
        <w:rPr>
          <w:rFonts w:ascii="Times New Roman" w:cs="Times New Roman" w:eastAsia="Times New Roman" w:hAnsi="Times New Roman"/>
          <w:sz w:val="14"/>
          <w:szCs w:val="14"/>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the vast majority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146" w:lineRule="exact"/>
        <w:rPr>
          <w:sz w:val="20"/>
          <w:szCs w:val="20"/>
          <w:color w:val="auto"/>
        </w:rPr>
      </w:pPr>
    </w:p>
    <w:p>
      <w:pPr>
        <w:jc w:val="both"/>
        <w:ind w:firstLine="168"/>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71"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4"/>
          <w:szCs w:val="14"/>
          <w:color w:val="auto"/>
        </w:rPr>
        <w:t>We rely on a third party manufacturer to supply key sub-assemblies for our iTero Element scanner. As a result, if this third party manufacturer fails to deliver its components, if we lose its services or if we fail to negotiate acceptable terms,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 that results in delays in our fulfillment of customer orders may cause us to lose revenues and suffer damage to our customer relationships.</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We primarily rely on our direct sales force to sell our products, and any failure to maintain our direct sales force could harm our business.</w:t>
      </w:r>
    </w:p>
    <w:p>
      <w:pPr>
        <w:spacing w:after="0" w:line="124"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Our ability to sell our products and generate revenues primarily depends upon our direct sales force within our North American and international markets. We do not have any long-term employment contracts with the members of our direct sales force. The loss of the services provided by these key personnel may harm our business. If we are unable to retain our direct sales force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1460"/>
          </w:cols>
          <w:pgMar w:left="220" w:top="125" w:right="21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personnel or replace them with individuals of equivalent technical expertise and qualifications, or if we are unable to successfully instill such technical expertise or if we fail to establish and maintain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If our distributor relationships are not successful, our ability to market and sell our products would be harmed and our financial performance will be adversely affected.</w:t>
      </w:r>
    </w:p>
    <w:p>
      <w:pPr>
        <w:spacing w:after="0" w:line="124"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25" w:lineRule="exact"/>
        <w:rPr>
          <w:sz w:val="20"/>
          <w:szCs w:val="20"/>
          <w:color w:val="auto"/>
        </w:rPr>
      </w:pPr>
    </w:p>
    <w:p>
      <w:pPr>
        <w:ind w:left="760" w:hanging="379"/>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agreements with distributors may terminate prematurely due to disagreements or may result in litigation between the partners;</w:t>
      </w:r>
    </w:p>
    <w:p>
      <w:pPr>
        <w:spacing w:after="0" w:line="132"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renew existing distributor agreements on acceptable terms;</w:t>
      </w:r>
    </w:p>
    <w:p>
      <w:pPr>
        <w:spacing w:after="0" w:line="132"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distributors may not devote sufficient resources to the sale of products;</w:t>
      </w:r>
    </w:p>
    <w:p>
      <w:pPr>
        <w:spacing w:after="0" w:line="132"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distributors may be unsuccessful in marketing our products;</w:t>
      </w:r>
    </w:p>
    <w:p>
      <w:pPr>
        <w:spacing w:after="0" w:line="132"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existing relationships with distributors may preclude us from entering into additional future arrangements with other distributors; and</w:t>
      </w:r>
    </w:p>
    <w:p>
      <w:pPr>
        <w:spacing w:after="0" w:line="132"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negotiate future distributor agreements on acceptable terms.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products are considered medical devices and are subject to extensive regulation in the U.S. and internationally. FDA regulations are wide ranging and govern, among other things:</w:t>
      </w:r>
    </w:p>
    <w:p>
      <w:pPr>
        <w:spacing w:after="0" w:line="175" w:lineRule="exact"/>
        <w:rPr>
          <w:sz w:val="20"/>
          <w:szCs w:val="20"/>
          <w:color w:val="auto"/>
        </w:rPr>
      </w:pPr>
    </w:p>
    <w:p>
      <w:pPr>
        <w:ind w:left="760" w:hanging="379"/>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design, development, manufacturing and testing;</w:t>
      </w:r>
    </w:p>
    <w:p>
      <w:pPr>
        <w:spacing w:after="0" w:line="132"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labeling;</w:t>
      </w:r>
    </w:p>
    <w:p>
      <w:pPr>
        <w:spacing w:after="0" w:line="132"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storage;</w:t>
      </w:r>
    </w:p>
    <w:p>
      <w:pPr>
        <w:spacing w:after="0" w:line="132"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pre-market clearance or approval;</w:t>
      </w:r>
    </w:p>
    <w:p>
      <w:pPr>
        <w:spacing w:after="0" w:line="132"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complaint handling and corrective actions;</w:t>
      </w:r>
    </w:p>
    <w:p>
      <w:pPr>
        <w:spacing w:after="0" w:line="132"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advertising and promotion; and</w:t>
      </w:r>
    </w:p>
    <w:p>
      <w:pPr>
        <w:spacing w:after="0" w:line="132"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sales and distribution.</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failure to comply with applicable regulatory requirements could result in enforcement action by the FDA or state agencies, which may include any of the following sanctions:</w:t>
      </w:r>
    </w:p>
    <w:p>
      <w:pPr>
        <w:spacing w:after="0" w:line="175" w:lineRule="exact"/>
        <w:rPr>
          <w:sz w:val="20"/>
          <w:szCs w:val="20"/>
          <w:color w:val="auto"/>
        </w:rPr>
      </w:pPr>
    </w:p>
    <w:p>
      <w:pPr>
        <w:ind w:left="760" w:hanging="379"/>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warning letters, fines, injunctions, consent decrees and civil penalties;</w:t>
      </w:r>
    </w:p>
    <w:p>
      <w:pPr>
        <w:spacing w:after="0" w:line="132"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repair, replacement, refunds, recall or seizure of our products;</w:t>
      </w:r>
    </w:p>
    <w:p>
      <w:pPr>
        <w:spacing w:after="0" w:line="132"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restrictions or partial suspension or total shutdown of production;</w:t>
      </w:r>
    </w:p>
    <w:p>
      <w:pPr>
        <w:spacing w:after="0" w:line="132"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refusing our requests for 510(k) clearance or pre-market approval of new products, new intended uses, or modifications to existing products;</w:t>
      </w:r>
    </w:p>
    <w:p>
      <w:pPr>
        <w:spacing w:after="0" w:line="132"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withdrawing clearance or pre-market approvals that have already been granted; and</w:t>
      </w:r>
    </w:p>
    <w:p>
      <w:pPr>
        <w:spacing w:after="0" w:line="132"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criminal prosecution.</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1460"/>
          </w:cols>
          <w:pgMar w:left="220" w:top="125" w:right="21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6"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141"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141" w:lineRule="exact"/>
        <w:rPr>
          <w:sz w:val="20"/>
          <w:szCs w:val="20"/>
          <w:color w:val="auto"/>
        </w:rPr>
      </w:pPr>
    </w:p>
    <w:p>
      <w:pPr>
        <w:jc w:val="both"/>
        <w:ind w:firstLine="252"/>
        <w:spacing w:after="0" w:line="254" w:lineRule="auto"/>
        <w:rPr>
          <w:sz w:val="20"/>
          <w:szCs w:val="20"/>
          <w:color w:val="auto"/>
        </w:rPr>
      </w:pPr>
      <w:r>
        <w:rPr>
          <w:rFonts w:ascii="Times New Roman" w:cs="Times New Roman" w:eastAsia="Times New Roman" w:hAnsi="Times New Roman"/>
          <w:sz w:val="14"/>
          <w:szCs w:val="14"/>
          <w:color w:val="auto"/>
        </w:rPr>
        <w:t>In addition, as part of the Dodd-Frank Wall Street Reform and Consumer Protection Act, the SEC adopted disclosure requirements regarding the use of certain minerals, known as conflict minerals, which are mined from the Democratic Republic of Congo and adjoining countries, as well as procedures regarding a manufacturer's efforts to identify and discourage the sourcing of such minerals and metals produced from those minerals. Additional reporting obligations are being proposed by the European Union. The U.S. requirements and any additional requirements in Europe could affect the sourcing and availability of metals used in the manufacture of a limited number of parts (if any) contained in our products. For example, the implementation of these disclosure requirements may decrease the number of suppliers capable of supplying our needs for certain metals, thereby negatively affecting our ability to obtain products in sufficient quantities or at competitive prices. Our material sourcing is broad based and multi-tiered, and we may be unable to conclusively verify the origins for all metals used in our products. We may suffer financial and reputational harm if customers require, and we are unable to deliver, certification that our products are conflict free. Regardless, we will incur additional costs associated with compliance with these disclosure requirements, including time-consuming and costly efforts to determine the source of any conflict minerals used in our products.</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If compliance with healthcare regulations becomes costly and difficult for our customers or for us, we may not be able to grow our business.</w:t>
      </w:r>
    </w:p>
    <w:p>
      <w:pPr>
        <w:spacing w:after="0" w:line="124"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In response to perceived increases in health care costs in recent years, Congress passed health care reform legislation that President Obama signed into law in March 2010. This legislation contains many provisions designed to generate the revenues necessary to fund the coverage expansions. The most relevant of these provisions are those that impose fees or taxes on certain health-related industries, including medical device manufacturers.</w:t>
      </w:r>
    </w:p>
    <w:p>
      <w:pPr>
        <w:spacing w:after="0" w:line="141" w:lineRule="exact"/>
        <w:rPr>
          <w:sz w:val="20"/>
          <w:szCs w:val="20"/>
          <w:color w:val="auto"/>
        </w:rPr>
      </w:pPr>
    </w:p>
    <w:p>
      <w:pPr>
        <w:jc w:val="both"/>
        <w:ind w:firstLine="252"/>
        <w:spacing w:after="0" w:line="256" w:lineRule="auto"/>
        <w:rPr>
          <w:sz w:val="20"/>
          <w:szCs w:val="20"/>
          <w:color w:val="auto"/>
        </w:rPr>
      </w:pPr>
      <w:r>
        <w:rPr>
          <w:rFonts w:ascii="Times New Roman" w:cs="Times New Roman" w:eastAsia="Times New Roman" w:hAnsi="Times New Roman"/>
          <w:sz w:val="14"/>
          <w:szCs w:val="14"/>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Extensive and changing government regulation of the healthcare industry may be expensive to comply with and exposes us to the risk of substantial government penalties.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addition to medical device laws and regulations, numerous state and federal healthcare-related laws regulate our business, covering areas such as:</w:t>
      </w:r>
    </w:p>
    <w:p>
      <w:pPr>
        <w:spacing w:after="0" w:line="175" w:lineRule="exact"/>
        <w:rPr>
          <w:sz w:val="20"/>
          <w:szCs w:val="20"/>
          <w:color w:val="auto"/>
        </w:rPr>
      </w:pPr>
    </w:p>
    <w:p>
      <w:pPr>
        <w:ind w:left="760" w:hanging="379"/>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storage, transmission and disclosure of medical information and healthcare records;</w:t>
      </w:r>
    </w:p>
    <w:p>
      <w:pPr>
        <w:spacing w:after="0" w:line="132" w:lineRule="exact"/>
        <w:rPr>
          <w:rFonts w:ascii="Times New Roman" w:cs="Times New Roman" w:eastAsia="Times New Roman" w:hAnsi="Times New Roman"/>
          <w:sz w:val="14"/>
          <w:szCs w:val="14"/>
          <w:color w:val="auto"/>
        </w:rPr>
      </w:pPr>
    </w:p>
    <w:p>
      <w:pPr>
        <w:ind w:left="760" w:hanging="379"/>
        <w:spacing w:after="0" w:line="282" w:lineRule="auto"/>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prohibitions against the offer, payment or receipt of remuneration to induce referrals to entities providing healthcare services or goods or to induce the order, purchase or recommendation of our products; and</w:t>
      </w:r>
    </w:p>
    <w:p>
      <w:pPr>
        <w:spacing w:after="0" w:line="83"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marketing and advertising of our products.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460"/>
          </w:cols>
          <w:pgMar w:left="220" w:top="125" w:right="21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6"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Complying with these laws and regulations could be expensive and time-consuming, and could increase our operating costs or reduce or eliminate certain of our sales and marketing activities or our revenues.</w:t>
      </w:r>
    </w:p>
    <w:p>
      <w:pPr>
        <w:spacing w:after="0" w:line="1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We face risks related to our international sales, including the need to obtain necessary foreign regulatory clearance or approvals.</w:t>
      </w:r>
    </w:p>
    <w:p>
      <w:pPr>
        <w:spacing w:after="0" w:line="124" w:lineRule="exact"/>
        <w:rPr>
          <w:sz w:val="20"/>
          <w:szCs w:val="20"/>
          <w:color w:val="auto"/>
        </w:rPr>
      </w:pPr>
    </w:p>
    <w:p>
      <w:pPr>
        <w:jc w:val="both"/>
        <w:ind w:firstLine="252"/>
        <w:spacing w:after="0" w:line="256" w:lineRule="auto"/>
        <w:rPr>
          <w:sz w:val="20"/>
          <w:szCs w:val="20"/>
          <w:color w:val="auto"/>
        </w:rPr>
      </w:pPr>
      <w:r>
        <w:rPr>
          <w:rFonts w:ascii="Times New Roman" w:cs="Times New Roman" w:eastAsia="Times New Roman" w:hAnsi="Times New Roman"/>
          <w:sz w:val="14"/>
          <w:szCs w:val="14"/>
          <w:color w:val="auto"/>
        </w:rPr>
        <w:t>Outside of North America, we currently sell our products in Europe, Asia Pacific, Latin America and the Middle East and may expand into other countries from time to time. For sales of our products outside the U.S., we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w:t>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Our business exposes us to potential product liability claims, and we may incur substantial expenses if we are subject to product liability claims or litigation.</w:t>
      </w:r>
    </w:p>
    <w:p>
      <w:pPr>
        <w:spacing w:after="0" w:line="124"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 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Historically, the market price for our common stock has been volatile.</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market price of our common stock could be subject to wide price fluctuations in response to various factors, many of which are beyond our control. The factors include:</w:t>
      </w:r>
    </w:p>
    <w:p>
      <w:pPr>
        <w:spacing w:after="0" w:line="175" w:lineRule="exact"/>
        <w:rPr>
          <w:sz w:val="20"/>
          <w:szCs w:val="20"/>
          <w:color w:val="auto"/>
        </w:rPr>
      </w:pPr>
    </w:p>
    <w:p>
      <w:pPr>
        <w:ind w:left="760" w:hanging="379"/>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quarterly variations in our results of operations and liquidity;</w:t>
      </w:r>
    </w:p>
    <w:p>
      <w:pPr>
        <w:spacing w:after="0" w:line="132"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recommendations by the investment community or in their estimates of our net revenues or operating results;</w:t>
      </w:r>
    </w:p>
    <w:p>
      <w:pPr>
        <w:spacing w:after="0" w:line="132"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in the press or investment community concerning our business and results of operations;</w:t>
      </w:r>
    </w:p>
    <w:p>
      <w:pPr>
        <w:spacing w:after="0" w:line="132"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actions by our competitors, such as product announcements or acquisitions;</w:t>
      </w:r>
    </w:p>
    <w:p>
      <w:pPr>
        <w:spacing w:after="0" w:line="132"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technological innovations or new products by us, our customers or competitors; and</w:t>
      </w:r>
    </w:p>
    <w:p>
      <w:pPr>
        <w:spacing w:after="0" w:line="132" w:lineRule="exact"/>
        <w:rPr>
          <w:rFonts w:ascii="Times New Roman" w:cs="Times New Roman" w:eastAsia="Times New Roman" w:hAnsi="Times New Roman"/>
          <w:sz w:val="14"/>
          <w:szCs w:val="14"/>
          <w:color w:val="auto"/>
        </w:rPr>
      </w:pPr>
    </w:p>
    <w:p>
      <w:pPr>
        <w:ind w:left="760" w:hanging="379"/>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market conditions.</w:t>
      </w:r>
    </w:p>
    <w:p>
      <w:pPr>
        <w:spacing w:after="0" w:line="175"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significant amounts of our common stock may depress our stock price.</w:t>
      </w:r>
    </w:p>
    <w:p>
      <w:pPr>
        <w:spacing w:after="0" w:line="124"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1460"/>
          </w:cols>
          <w:pgMar w:left="220" w:top="125" w:right="21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If our goodwill or long-lived assets become impaired, we may be required to record a significant charge to earnings.</w:t>
      </w:r>
    </w:p>
    <w:p>
      <w:pPr>
        <w:spacing w:after="0" w:line="177"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4"/>
          <w:szCs w:val="14"/>
          <w:color w:val="auto"/>
        </w:rPr>
        <w:t>Under Generally Accepted Accounting Principles in the United States (“U.S. GAAP”), we review our goodwill and long-lived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Changes in, or interpretations of, accounting rules and regulations, could result in unfavorable accounting charges.</w:t>
      </w:r>
    </w:p>
    <w:p>
      <w:pPr>
        <w:spacing w:after="0" w:line="124"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We prepare our consolidated financial statements in conformity with U.S. GAAP.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relate to revenue recognition and leases.</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manage our exposure to global financial and securities market risk successfully, our operating results and financial statements could be materially impacted.</w:t>
      </w:r>
    </w:p>
    <w:p>
      <w:pPr>
        <w:spacing w:after="0" w:line="124"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4"/>
          <w:szCs w:val="14"/>
          <w:color w:val="auto"/>
        </w:rPr>
        <w:t>The primary objective of our investment activities is to preserve principal. To achieve this objective, a majority of our marketable investments are investment grade, liquid,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In a current unstable credit environment, we might incur significant realized, unrealized or impairment losses associated with these investments.</w:t>
      </w:r>
    </w:p>
    <w:p>
      <w:pPr>
        <w:spacing w:after="0" w:line="139" w:lineRule="exact"/>
        <w:rPr>
          <w:sz w:val="20"/>
          <w:szCs w:val="20"/>
          <w:color w:val="auto"/>
        </w:rPr>
      </w:pPr>
    </w:p>
    <w:p>
      <w:pPr>
        <w:ind w:right="180" w:firstLine="18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On July 1, 2016, we changed our corporate structure; however, if we are unable to maintain this structure or if it is challenged by U.S. or foreign tax authorities, we may be unable to realize tax savings which could materially and adversely affect our operating results.</w:t>
      </w:r>
    </w:p>
    <w:p>
      <w:pPr>
        <w:spacing w:after="0" w:line="123"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We implemented a new international corporate structure on July 1, 2016. This corporate structure may reduce our overall effective tax rate over time through changes in the structure of our international procurement and sales operations, as well as realignment of the ownership and use of intellectual property among our wholly-owned subsidiaries.</w:t>
      </w:r>
    </w:p>
    <w:p>
      <w:pPr>
        <w:spacing w:after="0" w:line="125"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The structure includes legal entities located in jurisdictions with income tax rates lower than the U.S. federal statutory tax rate. Such intercompany arrangements would be designed to result in income earned by such entities in accordance with arm’s-length principles and commensurate with functions performed, risks assumed and ownership of valuable corporate assets. We believe that income taxed in certain foreign jurisdictions at a lower rate relative to the U.S. federal statutory rate will have a beneficial impact on our worldwide effective tax rate over the medium to long term.</w:t>
      </w:r>
    </w:p>
    <w:p>
      <w:pPr>
        <w:spacing w:after="0" w:line="136"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If the structure is challenged by U.S. or foreign tax authorities, if changes in domestic and international tax laws negatively impact the structure, including proposed legislation to reform U.S. taxation of international business activities, or if we do not operate our business in a manner consistent with the structure and applicable regulatory provisions, we may fail to achieve the financial and operational efficiencies that we anticipate as a result of the structure, and our business, financial condition and operating results may be materially and adversely affected.</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Our effective tax rate may vary significantly from period to period.</w:t>
      </w:r>
    </w:p>
    <w:p>
      <w:pPr>
        <w:spacing w:after="0" w:line="124" w:lineRule="exact"/>
        <w:rPr>
          <w:sz w:val="20"/>
          <w:szCs w:val="20"/>
          <w:color w:val="auto"/>
        </w:rPr>
      </w:pPr>
    </w:p>
    <w:p>
      <w:pPr>
        <w:jc w:val="both"/>
        <w:ind w:firstLine="252"/>
        <w:spacing w:after="0" w:line="256" w:lineRule="auto"/>
        <w:rPr>
          <w:sz w:val="20"/>
          <w:szCs w:val="20"/>
          <w:color w:val="auto"/>
        </w:rPr>
      </w:pPr>
      <w:r>
        <w:rPr>
          <w:rFonts w:ascii="Times New Roman" w:cs="Times New Roman" w:eastAsia="Times New Roman" w:hAnsi="Times New Roman"/>
          <w:sz w:val="14"/>
          <w:szCs w:val="14"/>
          <w:color w:val="auto"/>
        </w:rPr>
        <w:t>Various internal and external factors may have favorable or unfavorable effects on our future effective tax rate. These factors include, but are not limited to, changes in tax laws, regulations and/or rates,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 option deductions relating to incentive stock options and employee stock purchase plans, settlement of income tax audits, and changes in overall levels of pretax earnings. For example, the FASB issued ASU No. 2016-19 “Improvements to Employee Share-Based Payment Accounting,” which will, among other things, change how we account for our tax shortfalls or benefits from stock based awards, and this guidance may have a favorable or unfavorable effect on our future effective tax rate. We are still evaluating the impact of this guidance on our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460"/>
          </w:cols>
          <w:pgMar w:left="220" w:top="125" w:right="21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6" w:lineRule="exact"/>
        <w:rPr>
          <w:sz w:val="20"/>
          <w:szCs w:val="20"/>
          <w:color w:val="auto"/>
        </w:rPr>
      </w:pPr>
    </w:p>
    <w:p>
      <w:pPr>
        <w:jc w:val="both"/>
        <w:ind w:firstLine="252"/>
        <w:spacing w:after="0" w:line="254" w:lineRule="auto"/>
        <w:rPr>
          <w:sz w:val="20"/>
          <w:szCs w:val="20"/>
          <w:color w:val="auto"/>
        </w:rPr>
      </w:pPr>
      <w:r>
        <w:rPr>
          <w:rFonts w:ascii="Times New Roman" w:cs="Times New Roman" w:eastAsia="Times New Roman" w:hAnsi="Times New Roman"/>
          <w:sz w:val="14"/>
          <w:szCs w:val="14"/>
          <w:color w:val="auto"/>
        </w:rPr>
        <w:t>In June 2009, the Costa Rica Ministry of Foreign Trade, an agency of the Government of Costa Rica, granted a twelve year extension of certain income tax incentives, which were previously granted in 2002. The incentive tax rates will expire in various years beginning in 2017. We intend to seek a renewal of these income tax incentives before they expire. Under these incentives, all of the income in Costa Rica during these twelve year incentive periods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2016 and 2015. Income taxes were reduced by $0.3 million and $8.2 million for the three months ended September 30, 2016 and 2015, respectively, representing a minimal impact to diluted net income per share to the three months ended September 30, 2016 and a benefit to diluted net income per share of $0.10 in 2015. As a result of these incentives, our income taxes were reduced by $17.5 million and $24.6 million for the nine months ended September 30, 2016 and 2015, respectively, representing a benefit to diluted net income per share of $0.21 and $0.30 in 2016 and 2015, respectively.</w:t>
      </w:r>
    </w:p>
    <w:p>
      <w:pPr>
        <w:spacing w:after="0" w:line="1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laws or tax rulings could negatively impact our income tax provision and net income.</w:t>
      </w:r>
    </w:p>
    <w:p>
      <w:pPr>
        <w:spacing w:after="0" w:line="187" w:lineRule="exact"/>
        <w:rPr>
          <w:sz w:val="20"/>
          <w:szCs w:val="20"/>
          <w:color w:val="auto"/>
        </w:rPr>
      </w:pPr>
    </w:p>
    <w:p>
      <w:pPr>
        <w:jc w:val="both"/>
        <w:ind w:firstLine="252"/>
        <w:spacing w:after="0" w:line="254" w:lineRule="auto"/>
        <w:rPr>
          <w:sz w:val="20"/>
          <w:szCs w:val="20"/>
          <w:color w:val="auto"/>
        </w:rPr>
      </w:pPr>
      <w:r>
        <w:rPr>
          <w:rFonts w:ascii="Times New Roman" w:cs="Times New Roman" w:eastAsia="Times New Roman" w:hAnsi="Times New Roman"/>
          <w:sz w:val="14"/>
          <w:szCs w:val="14"/>
          <w:color w:val="auto"/>
        </w:rPr>
        <w:t>As a U.S. multinational corporation, we are subject to changing tax laws both within and outside of the U.S. Changes in tax laws or tax rulings, or changes in interpretations of existing tax laws, could affect our income tax provision and net income or require us to change the manner in which we operate our business. Many countries in Europe, as well as a number of other countries and organizations, have recently proposed or recommended changes to existing tax laws or have enacted new laws. For example, the Organization for Economic Cooperation and Development ("OECD") has been working on a "Base Erosion and Profit Shifting Project," which is focused on a number of issues, including the shifting of profits between affiliated entities in different tax jurisdictions. The OECD has issued in 2015, and is expected to continue to issue, guidelines and proposals that may change various aspects of the existing framework under which our tax obligations are determined in many of the countries in which we do business. In addition, the current U.S. administration and key members of Congress have made public statements indicating that tax reform is a priority. Certain changes to U.S. tax laws, including limitations on the ability to defer U.S. taxation on earnings outside of the United States until those earnings are repatriated to the United States, could affect the tax treatment of our foreign earnings.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1460"/>
          </w:cols>
          <w:pgMar w:left="220" w:top="125" w:right="21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1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3"/>
          <w:szCs w:val="13"/>
          <w:b w:val="1"/>
          <w:bCs w:val="1"/>
          <w:color w:val="auto"/>
        </w:rPr>
        <w:t>UNREGISTERED SALES OF EQUITY SECURITIES AND USE OF PROCEEDS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Following is a summary of stock repurchases for the three months ended September 30, 2016:</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100" w:type="dxa"/>
            <w:vAlign w:val="bottom"/>
          </w:tcPr>
          <w:p>
            <w:pPr>
              <w:spacing w:after="0"/>
              <w:rPr>
                <w:sz w:val="11"/>
                <w:szCs w:val="11"/>
                <w:color w:val="auto"/>
              </w:rPr>
            </w:pPr>
          </w:p>
        </w:tc>
        <w:tc>
          <w:tcPr>
            <w:tcW w:w="1820" w:type="dxa"/>
            <w:vAlign w:val="bottom"/>
            <w:vMerge w:val="restart"/>
          </w:tcPr>
          <w:p>
            <w:pPr>
              <w:jc w:val="center"/>
              <w:ind w:right="36"/>
              <w:spacing w:after="0"/>
              <w:rPr>
                <w:sz w:val="20"/>
                <w:szCs w:val="20"/>
                <w:color w:val="auto"/>
              </w:rPr>
            </w:pPr>
            <w:r>
              <w:rPr>
                <w:rFonts w:ascii="Times New Roman" w:cs="Times New Roman" w:eastAsia="Times New Roman" w:hAnsi="Times New Roman"/>
                <w:sz w:val="11"/>
                <w:szCs w:val="11"/>
                <w:b w:val="1"/>
                <w:bCs w:val="1"/>
                <w:color w:val="auto"/>
              </w:rPr>
              <w:t>Approximate Dollar Value of Shares</w:t>
            </w:r>
          </w:p>
        </w:tc>
        <w:tc>
          <w:tcPr>
            <w:tcW w:w="0" w:type="dxa"/>
            <w:vAlign w:val="bottom"/>
          </w:tcPr>
          <w:p>
            <w:pPr>
              <w:spacing w:after="0"/>
              <w:rPr>
                <w:sz w:val="1"/>
                <w:szCs w:val="1"/>
                <w:color w:val="auto"/>
              </w:rPr>
            </w:pPr>
          </w:p>
        </w:tc>
      </w:tr>
      <w:tr>
        <w:trPr>
          <w:trHeight w:val="115"/>
        </w:trPr>
        <w:tc>
          <w:tcPr>
            <w:tcW w:w="4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Average Price Paid per</w:t>
            </w:r>
          </w:p>
        </w:tc>
        <w:tc>
          <w:tcPr>
            <w:tcW w:w="1820" w:type="dxa"/>
            <w:vAlign w:val="bottom"/>
            <w:gridSpan w:val="2"/>
          </w:tcPr>
          <w:p>
            <w:pPr>
              <w:jc w:val="center"/>
              <w:ind w:right="460"/>
              <w:spacing w:after="0" w:line="115" w:lineRule="exact"/>
              <w:rPr>
                <w:sz w:val="20"/>
                <w:szCs w:val="20"/>
                <w:color w:val="auto"/>
              </w:rPr>
            </w:pPr>
            <w:r>
              <w:rPr>
                <w:rFonts w:ascii="Times New Roman" w:cs="Times New Roman" w:eastAsia="Times New Roman" w:hAnsi="Times New Roman"/>
                <w:sz w:val="11"/>
                <w:szCs w:val="11"/>
                <w:b w:val="1"/>
                <w:bCs w:val="1"/>
                <w:color w:val="auto"/>
              </w:rPr>
              <w:t>Repurchased as Part of</w:t>
            </w:r>
          </w:p>
        </w:tc>
        <w:tc>
          <w:tcPr>
            <w:tcW w:w="10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480" w:type="dxa"/>
            <w:vAlign w:val="bottom"/>
            <w:vMerge w:val="restart"/>
          </w:tcPr>
          <w:p>
            <w:pPr>
              <w:ind w:left="208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240" w:type="dxa"/>
            <w:vAlign w:val="bottom"/>
            <w:vMerge w:val="restart"/>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1820" w:type="dxa"/>
            <w:vAlign w:val="bottom"/>
            <w:gridSpan w:val="2"/>
          </w:tcPr>
          <w:p>
            <w:pPr>
              <w:jc w:val="center"/>
              <w:ind w:right="460"/>
              <w:spacing w:after="0" w:line="115" w:lineRule="exact"/>
              <w:rPr>
                <w:sz w:val="20"/>
                <w:szCs w:val="20"/>
                <w:color w:val="auto"/>
              </w:rPr>
            </w:pPr>
            <w:r>
              <w:rPr>
                <w:rFonts w:ascii="Times New Roman" w:cs="Times New Roman" w:eastAsia="Times New Roman" w:hAnsi="Times New Roman"/>
                <w:sz w:val="11"/>
                <w:szCs w:val="11"/>
                <w:b w:val="1"/>
                <w:bCs w:val="1"/>
                <w:color w:val="auto"/>
              </w:rPr>
              <w:t>Publicly Announced</w:t>
            </w:r>
          </w:p>
        </w:tc>
        <w:tc>
          <w:tcPr>
            <w:tcW w:w="192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that May Yet Be Repurchased Under</w:t>
            </w:r>
          </w:p>
        </w:tc>
        <w:tc>
          <w:tcPr>
            <w:tcW w:w="0" w:type="dxa"/>
            <w:vAlign w:val="bottom"/>
          </w:tcPr>
          <w:p>
            <w:pPr>
              <w:spacing w:after="0"/>
              <w:rPr>
                <w:sz w:val="1"/>
                <w:szCs w:val="1"/>
                <w:color w:val="auto"/>
              </w:rPr>
            </w:pPr>
          </w:p>
        </w:tc>
      </w:tr>
      <w:tr>
        <w:trPr>
          <w:trHeight w:val="152"/>
        </w:trPr>
        <w:tc>
          <w:tcPr>
            <w:tcW w:w="448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3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Repurchased</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Share</w:t>
            </w:r>
          </w:p>
        </w:tc>
        <w:tc>
          <w:tcPr>
            <w:tcW w:w="240" w:type="dxa"/>
            <w:vAlign w:val="bottom"/>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Program</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1"/>
                <w:szCs w:val="11"/>
                <w:b w:val="1"/>
                <w:bCs w:val="1"/>
                <w:color w:val="auto"/>
              </w:rPr>
              <w:t xml:space="preserve">the Programs </w:t>
            </w:r>
            <w:r>
              <w:rPr>
                <w:rFonts w:ascii="Times New Roman" w:cs="Times New Roman" w:eastAsia="Times New Roman" w:hAnsi="Times New Roman"/>
                <w:sz w:val="6"/>
                <w:szCs w:val="6"/>
                <w:b w:val="1"/>
                <w:bCs w:val="1"/>
                <w:color w:val="auto"/>
              </w:rPr>
              <w:t>(1)</w:t>
            </w:r>
          </w:p>
        </w:tc>
        <w:tc>
          <w:tcPr>
            <w:tcW w:w="0" w:type="dxa"/>
            <w:vAlign w:val="bottom"/>
          </w:tcPr>
          <w:p>
            <w:pPr>
              <w:spacing w:after="0"/>
              <w:rPr>
                <w:sz w:val="1"/>
                <w:szCs w:val="1"/>
                <w:color w:val="auto"/>
              </w:rPr>
            </w:pPr>
          </w:p>
        </w:tc>
      </w:tr>
      <w:tr>
        <w:trPr>
          <w:trHeight w:val="18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July 1, 2016 through July 31, 2016</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364,978,175</w:t>
            </w:r>
          </w:p>
        </w:tc>
        <w:tc>
          <w:tcPr>
            <w:tcW w:w="0" w:type="dxa"/>
            <w:vAlign w:val="bottom"/>
          </w:tcPr>
          <w:p>
            <w:pPr>
              <w:spacing w:after="0"/>
              <w:rPr>
                <w:sz w:val="1"/>
                <w:szCs w:val="1"/>
                <w:color w:val="auto"/>
              </w:rPr>
            </w:pPr>
          </w:p>
        </w:tc>
      </w:tr>
      <w:tr>
        <w:trPr>
          <w:trHeight w:val="21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 2016 through August 31, 2016</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364,978,175</w:t>
            </w:r>
          </w:p>
        </w:tc>
        <w:tc>
          <w:tcPr>
            <w:tcW w:w="0" w:type="dxa"/>
            <w:vAlign w:val="bottom"/>
          </w:tcPr>
          <w:p>
            <w:pPr>
              <w:spacing w:after="0"/>
              <w:rPr>
                <w:sz w:val="1"/>
                <w:szCs w:val="1"/>
                <w:color w:val="auto"/>
              </w:rPr>
            </w:pPr>
          </w:p>
        </w:tc>
      </w:tr>
      <w:tr>
        <w:trPr>
          <w:trHeight w:val="21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September 1, 2016 through September 30, 2016</w:t>
            </w:r>
          </w:p>
        </w:tc>
        <w:tc>
          <w:tcPr>
            <w:tcW w:w="138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231,009</w:t>
            </w: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100.32</w:t>
            </w:r>
          </w:p>
        </w:tc>
        <w:tc>
          <w:tcPr>
            <w:tcW w:w="240" w:type="dxa"/>
            <w:vAlign w:val="bottom"/>
          </w:tcPr>
          <w:p>
            <w:pPr>
              <w:spacing w:after="0"/>
              <w:rPr>
                <w:sz w:val="18"/>
                <w:szCs w:val="18"/>
                <w:color w:val="auto"/>
              </w:rPr>
            </w:pPr>
          </w:p>
        </w:tc>
        <w:tc>
          <w:tcPr>
            <w:tcW w:w="1380" w:type="dxa"/>
            <w:vAlign w:val="bottom"/>
          </w:tcPr>
          <w:p>
            <w:pPr>
              <w:jc w:val="right"/>
              <w:ind w:right="58"/>
              <w:spacing w:after="0"/>
              <w:rPr>
                <w:sz w:val="20"/>
                <w:szCs w:val="20"/>
                <w:color w:val="auto"/>
              </w:rPr>
            </w:pPr>
            <w:r>
              <w:rPr>
                <w:rFonts w:ascii="Times New Roman" w:cs="Times New Roman" w:eastAsia="Times New Roman" w:hAnsi="Times New Roman"/>
                <w:sz w:val="14"/>
                <w:szCs w:val="14"/>
                <w:color w:val="auto"/>
              </w:rPr>
              <w:t>231,009</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341,803,668</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4"/>
          <w:szCs w:val="14"/>
          <w:b w:val="1"/>
          <w:bCs w:val="1"/>
          <w:i w:val="1"/>
          <w:iCs w:val="1"/>
          <w:color w:val="auto"/>
        </w:rPr>
        <w:t>Stock repurchase Programs</w:t>
      </w:r>
    </w:p>
    <w:p>
      <w:pPr>
        <w:spacing w:after="0" w:line="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April 2014 Repurchase Program</w:t>
      </w:r>
    </w:p>
    <w:p>
      <w:pPr>
        <w:spacing w:after="0" w:line="135"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In April 2014, we announced that our Board of Directors had authorized a stock repurchase program ("April 2014 Repurchase Program") pursuant to which we may purchase up to $300.0 million of our common stock over the next three years.</w:t>
      </w:r>
    </w:p>
    <w:p>
      <w:pPr>
        <w:spacing w:after="0" w:line="125" w:lineRule="exact"/>
        <w:rPr>
          <w:sz w:val="20"/>
          <w:szCs w:val="20"/>
          <w:color w:val="auto"/>
        </w:rPr>
      </w:pPr>
    </w:p>
    <w:p>
      <w:pPr>
        <w:jc w:val="both"/>
        <w:ind w:firstLine="252"/>
        <w:spacing w:after="0" w:line="260" w:lineRule="auto"/>
        <w:rPr>
          <w:sz w:val="20"/>
          <w:szCs w:val="20"/>
          <w:color w:val="auto"/>
        </w:rPr>
      </w:pPr>
      <w:r>
        <w:rPr>
          <w:rFonts w:ascii="Times New Roman" w:cs="Times New Roman" w:eastAsia="Times New Roman" w:hAnsi="Times New Roman"/>
          <w:sz w:val="14"/>
          <w:szCs w:val="14"/>
          <w:color w:val="auto"/>
        </w:rPr>
        <w:t>On May 3, 2016, as part of our $300.0 million April 2014 Repurchase Program, we entered into an accelerated share repurchase agreement ("ASR") to repurchase $50.0 million of our common stock (the "2016 ASR"). Under the terms of the 2016 ASR, we paid $50.0 million and received an initial delivery of approximately 0.5 million shares. The 2016 ASR was completed on September 6, 2016 with a final delivery of approximately 0.1 million shares. We received a total of approximately 0.6 million shares under the 2016 ASR at a weighted average share price of $81.89. The final number of shares repurchased was based on our volume-weighted average stock price during the term of the transaction, less an agreed upon discount.</w:t>
      </w:r>
    </w:p>
    <w:p>
      <w:pPr>
        <w:spacing w:after="0" w:line="141" w:lineRule="exact"/>
        <w:rPr>
          <w:sz w:val="20"/>
          <w:szCs w:val="20"/>
          <w:color w:val="auto"/>
        </w:rPr>
      </w:pPr>
    </w:p>
    <w:p>
      <w:pPr>
        <w:jc w:val="both"/>
        <w:ind w:firstLine="252"/>
        <w:spacing w:after="0" w:line="282" w:lineRule="auto"/>
        <w:rPr>
          <w:sz w:val="20"/>
          <w:szCs w:val="20"/>
          <w:color w:val="auto"/>
        </w:rPr>
      </w:pPr>
      <w:r>
        <w:rPr>
          <w:rFonts w:ascii="Times New Roman" w:cs="Times New Roman" w:eastAsia="Times New Roman" w:hAnsi="Times New Roman"/>
          <w:sz w:val="14"/>
          <w:szCs w:val="14"/>
          <w:color w:val="auto"/>
        </w:rPr>
        <w:t>During 2016, we have repurchased on the open market 88,000 shares of our common stock at a weighted average of $93.21 per share, including commissions, for an aggregate purchase price of approximately $8.2 million. All repurchased shares were retired. As of September 30, 2016, we have $41.8 million remaining under the April 2014 Repurchase Program.</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April 2016 Repurchase Program</w:t>
      </w:r>
    </w:p>
    <w:p>
      <w:pPr>
        <w:spacing w:after="0" w:line="177"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4"/>
          <w:szCs w:val="14"/>
          <w:color w:val="auto"/>
        </w:rPr>
        <w:t>On April 28, 2016, we announced that our Board of Directors had authorized an additional plan to repurchase up to $300.0 million of the Company's stock ("the April 2016 Repurchase Plan").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 As of September 30, 2016, there have not been any repurchases under this plan. (</w:t>
      </w:r>
      <w:r>
        <w:rPr>
          <w:rFonts w:ascii="Times New Roman" w:cs="Times New Roman" w:eastAsia="Times New Roman" w:hAnsi="Times New Roman"/>
          <w:sz w:val="14"/>
          <w:szCs w:val="14"/>
          <w:i w:val="1"/>
          <w:iCs w:val="1"/>
          <w:color w:val="auto"/>
        </w:rPr>
        <w:t>Refer to Note 10 "Common Stock Repurchase", of the Notes to condensed consolidated financial statements</w:t>
      </w:r>
      <w:r>
        <w:rPr>
          <w:rFonts w:ascii="Times New Roman" w:cs="Times New Roman" w:eastAsia="Times New Roman" w:hAnsi="Times New Roman"/>
          <w:sz w:val="14"/>
          <w:szCs w:val="14"/>
          <w:color w:val="auto"/>
        </w:rPr>
        <w:t xml:space="preserve"> for details of common stock repurchase).</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expect to finance future stock repurchases with current cash on hand.</w:t>
      </w:r>
    </w:p>
    <w:p>
      <w:pPr>
        <w:spacing w:after="0" w:line="15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3"/>
          <w:szCs w:val="13"/>
          <w:b w:val="1"/>
          <w:bCs w:val="1"/>
          <w:color w:val="auto"/>
        </w:rPr>
        <w:t>DEFAULTS UPON SENIOR SECURITIES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9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3"/>
          <w:szCs w:val="13"/>
          <w:b w:val="1"/>
          <w:bCs w:val="1"/>
          <w:color w:val="auto"/>
        </w:rPr>
        <w:t>MINE SAFETY DISCLOSURES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None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 Exhibits: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1460"/>
          </w:cols>
          <w:pgMar w:left="220" w:top="125" w:right="21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8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00" w:type="dxa"/>
            <w:vAlign w:val="bottom"/>
          </w:tcPr>
          <w:p>
            <w:pPr>
              <w:spacing w:after="0"/>
              <w:rPr>
                <w:sz w:val="11"/>
                <w:szCs w:val="11"/>
                <w:color w:val="auto"/>
              </w:rPr>
            </w:pPr>
          </w:p>
        </w:tc>
      </w:tr>
      <w:tr>
        <w:trPr>
          <w:trHeight w:val="95"/>
        </w:trPr>
        <w:tc>
          <w:tcPr>
            <w:tcW w:w="840" w:type="dxa"/>
            <w:vAlign w:val="bottom"/>
            <w:gridSpan w:val="2"/>
          </w:tcPr>
          <w:p>
            <w:pPr>
              <w:spacing w:after="0" w:line="95" w:lineRule="exact"/>
              <w:rPr>
                <w:sz w:val="20"/>
                <w:szCs w:val="20"/>
                <w:color w:val="auto"/>
              </w:rPr>
            </w:pPr>
            <w:r>
              <w:rPr>
                <w:rFonts w:ascii="Times New Roman" w:cs="Times New Roman" w:eastAsia="Times New Roman" w:hAnsi="Times New Roman"/>
                <w:sz w:val="11"/>
                <w:szCs w:val="11"/>
                <w:b w:val="1"/>
                <w:bCs w:val="1"/>
                <w:color w:val="auto"/>
              </w:rPr>
              <w:t>Number</w:t>
            </w:r>
          </w:p>
        </w:tc>
        <w:tc>
          <w:tcPr>
            <w:tcW w:w="2880" w:type="dxa"/>
            <w:vAlign w:val="bottom"/>
          </w:tcPr>
          <w:p>
            <w:pPr>
              <w:spacing w:after="0"/>
              <w:rPr>
                <w:sz w:val="8"/>
                <w:szCs w:val="8"/>
                <w:color w:val="auto"/>
              </w:rPr>
            </w:pPr>
          </w:p>
        </w:tc>
        <w:tc>
          <w:tcPr>
            <w:tcW w:w="3140" w:type="dxa"/>
            <w:vAlign w:val="bottom"/>
            <w:gridSpan w:val="2"/>
          </w:tcPr>
          <w:p>
            <w:pPr>
              <w:spacing w:after="0" w:line="95" w:lineRule="exact"/>
              <w:rPr>
                <w:sz w:val="20"/>
                <w:szCs w:val="20"/>
                <w:color w:val="auto"/>
              </w:rPr>
            </w:pPr>
            <w:r>
              <w:rPr>
                <w:rFonts w:ascii="Times New Roman" w:cs="Times New Roman" w:eastAsia="Times New Roman" w:hAnsi="Times New Roman"/>
                <w:sz w:val="11"/>
                <w:szCs w:val="11"/>
                <w:b w:val="1"/>
                <w:bCs w:val="1"/>
                <w:color w:val="auto"/>
              </w:rPr>
              <w:t>Description</w:t>
            </w:r>
          </w:p>
        </w:tc>
        <w:tc>
          <w:tcPr>
            <w:tcW w:w="1160" w:type="dxa"/>
            <w:vAlign w:val="bottom"/>
            <w:gridSpan w:val="3"/>
          </w:tcPr>
          <w:p>
            <w:pPr>
              <w:ind w:left="500"/>
              <w:spacing w:after="0" w:line="95" w:lineRule="exact"/>
              <w:rPr>
                <w:sz w:val="20"/>
                <w:szCs w:val="20"/>
                <w:color w:val="auto"/>
              </w:rPr>
            </w:pPr>
            <w:r>
              <w:rPr>
                <w:rFonts w:ascii="Times New Roman" w:cs="Times New Roman" w:eastAsia="Times New Roman" w:hAnsi="Times New Roman"/>
                <w:sz w:val="11"/>
                <w:szCs w:val="11"/>
                <w:b w:val="1"/>
                <w:bCs w:val="1"/>
                <w:color w:val="auto"/>
              </w:rPr>
              <w:t>Filing</w:t>
            </w:r>
          </w:p>
        </w:tc>
        <w:tc>
          <w:tcPr>
            <w:tcW w:w="520" w:type="dxa"/>
            <w:vAlign w:val="bottom"/>
          </w:tcPr>
          <w:p>
            <w:pPr>
              <w:spacing w:after="0"/>
              <w:rPr>
                <w:sz w:val="8"/>
                <w:szCs w:val="8"/>
                <w:color w:val="auto"/>
              </w:rPr>
            </w:pPr>
          </w:p>
        </w:tc>
        <w:tc>
          <w:tcPr>
            <w:tcW w:w="560" w:type="dxa"/>
            <w:vAlign w:val="bottom"/>
            <w:gridSpan w:val="2"/>
          </w:tcPr>
          <w:p>
            <w:pPr>
              <w:jc w:val="center"/>
              <w:ind w:right="320"/>
              <w:spacing w:after="0" w:line="95" w:lineRule="exact"/>
              <w:rPr>
                <w:sz w:val="20"/>
                <w:szCs w:val="20"/>
                <w:color w:val="auto"/>
              </w:rPr>
            </w:pPr>
            <w:r>
              <w:rPr>
                <w:rFonts w:ascii="Times New Roman" w:cs="Times New Roman" w:eastAsia="Times New Roman" w:hAnsi="Times New Roman"/>
                <w:sz w:val="11"/>
                <w:szCs w:val="11"/>
                <w:b w:val="1"/>
                <w:bCs w:val="1"/>
                <w:color w:val="auto"/>
              </w:rPr>
              <w:t>Date</w:t>
            </w:r>
          </w:p>
        </w:tc>
        <w:tc>
          <w:tcPr>
            <w:tcW w:w="520" w:type="dxa"/>
            <w:vAlign w:val="bottom"/>
          </w:tcPr>
          <w:p>
            <w:pPr>
              <w:spacing w:after="0"/>
              <w:rPr>
                <w:sz w:val="8"/>
                <w:szCs w:val="8"/>
                <w:color w:val="auto"/>
              </w:rPr>
            </w:pPr>
          </w:p>
        </w:tc>
        <w:tc>
          <w:tcPr>
            <w:tcW w:w="380" w:type="dxa"/>
            <w:vAlign w:val="bottom"/>
            <w:tcBorders>
              <w:top w:val="single" w:sz="8" w:color="auto"/>
            </w:tcBorders>
          </w:tcPr>
          <w:p>
            <w:pPr>
              <w:spacing w:after="0" w:line="95" w:lineRule="exact"/>
              <w:rPr>
                <w:sz w:val="20"/>
                <w:szCs w:val="20"/>
                <w:color w:val="auto"/>
              </w:rPr>
            </w:pPr>
            <w:r>
              <w:rPr>
                <w:rFonts w:ascii="Times New Roman" w:cs="Times New Roman" w:eastAsia="Times New Roman" w:hAnsi="Times New Roman"/>
                <w:sz w:val="11"/>
                <w:szCs w:val="11"/>
                <w:b w:val="1"/>
                <w:bCs w:val="1"/>
                <w:color w:val="auto"/>
                <w:w w:val="86"/>
              </w:rPr>
              <w:t>Number</w:t>
            </w:r>
          </w:p>
        </w:tc>
        <w:tc>
          <w:tcPr>
            <w:tcW w:w="580" w:type="dxa"/>
            <w:vAlign w:val="bottom"/>
          </w:tcPr>
          <w:p>
            <w:pPr>
              <w:spacing w:after="0"/>
              <w:rPr>
                <w:sz w:val="8"/>
                <w:szCs w:val="8"/>
                <w:color w:val="auto"/>
              </w:rPr>
            </w:pPr>
          </w:p>
        </w:tc>
        <w:tc>
          <w:tcPr>
            <w:tcW w:w="700" w:type="dxa"/>
            <w:vAlign w:val="bottom"/>
          </w:tcPr>
          <w:p>
            <w:pPr>
              <w:jc w:val="center"/>
              <w:spacing w:after="0" w:line="95" w:lineRule="exact"/>
              <w:rPr>
                <w:sz w:val="20"/>
                <w:szCs w:val="20"/>
                <w:color w:val="auto"/>
              </w:rPr>
            </w:pPr>
            <w:r>
              <w:rPr>
                <w:rFonts w:ascii="Times New Roman" w:cs="Times New Roman" w:eastAsia="Times New Roman" w:hAnsi="Times New Roman"/>
                <w:sz w:val="11"/>
                <w:szCs w:val="11"/>
                <w:b w:val="1"/>
                <w:bCs w:val="1"/>
                <w:color w:val="auto"/>
                <w:w w:val="98"/>
              </w:rPr>
              <w:t>Filed here with</w:t>
            </w:r>
          </w:p>
        </w:tc>
      </w:tr>
      <w:tr>
        <w:trPr>
          <w:trHeight w:val="20"/>
        </w:trPr>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0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440" w:type="dxa"/>
            <w:vAlign w:val="bottom"/>
          </w:tcPr>
          <w:p>
            <w:pPr>
              <w:spacing w:after="0"/>
              <w:rPr>
                <w:sz w:val="17"/>
                <w:szCs w:val="17"/>
                <w:color w:val="auto"/>
              </w:rPr>
            </w:pP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Class C Non-Incentive Unit Purchase Agreement, July 25, 2016</w:t>
            </w: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Form 8-K</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07/28/16</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10.1</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440" w:type="dxa"/>
            <w:vAlign w:val="bottom"/>
          </w:tcPr>
          <w:p>
            <w:pPr>
              <w:spacing w:after="0"/>
              <w:rPr>
                <w:sz w:val="18"/>
                <w:szCs w:val="18"/>
                <w:color w:val="auto"/>
              </w:rPr>
            </w:pP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Employment Agreement between the Align Technology, Inc. and John Morici</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195"/>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440" w:type="dxa"/>
            <w:vAlign w:val="bottom"/>
          </w:tcPr>
          <w:p>
            <w:pPr>
              <w:spacing w:after="0"/>
              <w:rPr>
                <w:sz w:val="16"/>
                <w:szCs w:val="16"/>
                <w:color w:val="auto"/>
              </w:rPr>
            </w:pP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Certification of Chief Executive Officer pursuant to 18 U.S.C. Section 1350, as adopted pursuant to</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183"/>
        </w:trPr>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Section 302 of the Sarbanes-Oxley Act of 2002.</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5"/>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440" w:type="dxa"/>
            <w:vAlign w:val="bottom"/>
          </w:tcPr>
          <w:p>
            <w:pPr>
              <w:spacing w:after="0"/>
              <w:rPr>
                <w:sz w:val="16"/>
                <w:szCs w:val="16"/>
                <w:color w:val="auto"/>
              </w:rPr>
            </w:pP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Certification of Chief Financial Officer pursuant to 18 U.S.C. Section 1350, as adopted pursuant to</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183"/>
        </w:trPr>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Section 302 of the Sarbanes-Oxley Act of 2002.</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5"/>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440" w:type="dxa"/>
            <w:vAlign w:val="bottom"/>
          </w:tcPr>
          <w:p>
            <w:pPr>
              <w:spacing w:after="0"/>
              <w:rPr>
                <w:sz w:val="16"/>
                <w:szCs w:val="16"/>
                <w:color w:val="auto"/>
              </w:rPr>
            </w:pP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Certification of Chief Executive Officer and Chief Financial Officer pursuant to 18 U.S.C.</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183"/>
        </w:trPr>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Section 1350, as adopted pursuant to Section 906 of the Sarbanes-Oxley Act of 2002.</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0"/>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101.INS</w:t>
            </w: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XBRL Instance Document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210"/>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101.SCH</w:t>
            </w: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210"/>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101.CAL</w:t>
            </w: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210"/>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101.DEF</w:t>
            </w: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210"/>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101.LAB</w:t>
            </w: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210"/>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101.PRE</w:t>
            </w: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545"/>
        </w:trPr>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20" w:type="dxa"/>
            <w:vAlign w:val="bottom"/>
            <w:gridSpan w:val="3"/>
          </w:tcPr>
          <w:p>
            <w:pPr>
              <w:ind w:left="4800"/>
              <w:spacing w:after="0"/>
              <w:rPr>
                <w:sz w:val="20"/>
                <w:szCs w:val="20"/>
                <w:color w:val="auto"/>
              </w:rPr>
            </w:pPr>
            <w:r>
              <w:rPr>
                <w:rFonts w:ascii="Times New Roman" w:cs="Times New Roman" w:eastAsia="Times New Roman" w:hAnsi="Times New Roman"/>
                <w:sz w:val="14"/>
                <w:szCs w:val="14"/>
                <w:color w:val="auto"/>
              </w:rPr>
              <w:t>52</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300"/>
          </w:cols>
          <w:pgMar w:left="220" w:top="125" w:right="37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3340" w:type="dxa"/>
            <w:vAlign w:val="bottom"/>
          </w:tcPr>
          <w:p>
            <w:pPr>
              <w:spacing w:after="0"/>
              <w:rPr>
                <w:sz w:val="15"/>
                <w:szCs w:val="15"/>
                <w:color w:val="auto"/>
              </w:rPr>
            </w:pPr>
          </w:p>
        </w:tc>
        <w:tc>
          <w:tcPr>
            <w:tcW w:w="4260" w:type="dxa"/>
            <w:vAlign w:val="bottom"/>
            <w:gridSpan w:val="2"/>
          </w:tcPr>
          <w:p>
            <w:pPr>
              <w:ind w:left="2280"/>
              <w:spacing w:after="0"/>
              <w:rPr>
                <w:sz w:val="20"/>
                <w:szCs w:val="20"/>
                <w:color w:val="auto"/>
              </w:rPr>
            </w:pPr>
            <w:r>
              <w:rPr>
                <w:rFonts w:ascii="Times New Roman" w:cs="Times New Roman" w:eastAsia="Times New Roman" w:hAnsi="Times New Roman"/>
                <w:sz w:val="14"/>
                <w:szCs w:val="14"/>
                <w:color w:val="auto"/>
              </w:rPr>
              <w:t>ALIGN TECHNOLOGY, INC.</w:t>
            </w:r>
          </w:p>
        </w:tc>
        <w:tc>
          <w:tcPr>
            <w:tcW w:w="66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461"/>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November 8, 2016</w:t>
            </w:r>
          </w:p>
        </w:tc>
        <w:tc>
          <w:tcPr>
            <w:tcW w:w="4260" w:type="dxa"/>
            <w:vAlign w:val="bottom"/>
            <w:gridSpan w:val="2"/>
          </w:tcPr>
          <w:p>
            <w:pPr>
              <w:ind w:left="2500"/>
              <w:spacing w:after="0"/>
              <w:rPr>
                <w:sz w:val="20"/>
                <w:szCs w:val="20"/>
                <w:color w:val="auto"/>
              </w:rPr>
            </w:pPr>
            <w:r>
              <w:rPr>
                <w:rFonts w:ascii="Times New Roman" w:cs="Times New Roman" w:eastAsia="Times New Roman" w:hAnsi="Times New Roman"/>
                <w:sz w:val="14"/>
                <w:szCs w:val="14"/>
                <w:color w:val="auto"/>
              </w:rPr>
              <w:t>By:</w:t>
            </w:r>
          </w:p>
        </w:tc>
        <w:tc>
          <w:tcPr>
            <w:tcW w:w="6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w:t>
            </w:r>
          </w:p>
        </w:tc>
        <w:tc>
          <w:tcPr>
            <w:tcW w:w="3180" w:type="dxa"/>
            <w:vAlign w:val="bottom"/>
          </w:tcPr>
          <w:p>
            <w:pPr>
              <w:jc w:val="center"/>
              <w:ind w:right="1837"/>
              <w:spacing w:after="0"/>
              <w:rPr>
                <w:sz w:val="20"/>
                <w:szCs w:val="20"/>
                <w:color w:val="auto"/>
              </w:rPr>
            </w:pPr>
            <w:r>
              <w:rPr>
                <w:rFonts w:ascii="Times New Roman" w:cs="Times New Roman" w:eastAsia="Times New Roman" w:hAnsi="Times New Roman"/>
                <w:sz w:val="14"/>
                <w:szCs w:val="14"/>
                <w:color w:val="auto"/>
              </w:rPr>
              <w:t>JOSEPH M. HOGAN</w:t>
            </w:r>
          </w:p>
        </w:tc>
      </w:tr>
      <w:tr>
        <w:trPr>
          <w:trHeight w:val="21"/>
        </w:trPr>
        <w:tc>
          <w:tcPr>
            <w:tcW w:w="3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r>
      <w:tr>
        <w:trPr>
          <w:trHeight w:val="108"/>
        </w:trPr>
        <w:tc>
          <w:tcPr>
            <w:tcW w:w="33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180" w:type="dxa"/>
            <w:vAlign w:val="bottom"/>
          </w:tcPr>
          <w:p>
            <w:pPr>
              <w:jc w:val="center"/>
              <w:ind w:right="2117"/>
              <w:spacing w:after="0" w:line="108" w:lineRule="exact"/>
              <w:rPr>
                <w:sz w:val="20"/>
                <w:szCs w:val="20"/>
                <w:color w:val="auto"/>
              </w:rPr>
            </w:pPr>
            <w:r>
              <w:rPr>
                <w:rFonts w:ascii="Times New Roman" w:cs="Times New Roman" w:eastAsia="Times New Roman" w:hAnsi="Times New Roman"/>
                <w:sz w:val="11"/>
                <w:szCs w:val="11"/>
                <w:b w:val="1"/>
                <w:bCs w:val="1"/>
                <w:color w:val="auto"/>
              </w:rPr>
              <w:t>Joseph M. Hogan</w:t>
            </w:r>
          </w:p>
        </w:tc>
      </w:tr>
      <w:tr>
        <w:trPr>
          <w:trHeight w:val="148"/>
        </w:trPr>
        <w:tc>
          <w:tcPr>
            <w:tcW w:w="33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840" w:type="dxa"/>
            <w:vAlign w:val="bottom"/>
            <w:gridSpan w:val="2"/>
          </w:tcPr>
          <w:p>
            <w:pPr>
              <w:jc w:val="center"/>
              <w:ind w:right="1477"/>
              <w:spacing w:after="0"/>
              <w:rPr>
                <w:sz w:val="20"/>
                <w:szCs w:val="20"/>
                <w:color w:val="auto"/>
              </w:rPr>
            </w:pPr>
            <w:r>
              <w:rPr>
                <w:rFonts w:ascii="Times New Roman" w:cs="Times New Roman" w:eastAsia="Times New Roman" w:hAnsi="Times New Roman"/>
                <w:sz w:val="11"/>
                <w:szCs w:val="11"/>
                <w:b w:val="1"/>
                <w:bCs w:val="1"/>
                <w:color w:val="auto"/>
              </w:rPr>
              <w:t>President and Chief Executive Officer</w:t>
            </w:r>
          </w:p>
        </w:tc>
      </w:tr>
      <w:tr>
        <w:trPr>
          <w:trHeight w:val="448"/>
        </w:trPr>
        <w:tc>
          <w:tcPr>
            <w:tcW w:w="3340" w:type="dxa"/>
            <w:vAlign w:val="bottom"/>
          </w:tcPr>
          <w:p>
            <w:pPr>
              <w:spacing w:after="0"/>
              <w:rPr>
                <w:sz w:val="24"/>
                <w:szCs w:val="24"/>
                <w:color w:val="auto"/>
              </w:rPr>
            </w:pPr>
          </w:p>
        </w:tc>
        <w:tc>
          <w:tcPr>
            <w:tcW w:w="4260" w:type="dxa"/>
            <w:vAlign w:val="bottom"/>
            <w:gridSpan w:val="2"/>
          </w:tcPr>
          <w:p>
            <w:pPr>
              <w:ind w:left="2500"/>
              <w:spacing w:after="0"/>
              <w:rPr>
                <w:sz w:val="20"/>
                <w:szCs w:val="20"/>
                <w:color w:val="auto"/>
              </w:rPr>
            </w:pPr>
            <w:r>
              <w:rPr>
                <w:rFonts w:ascii="Times New Roman" w:cs="Times New Roman" w:eastAsia="Times New Roman" w:hAnsi="Times New Roman"/>
                <w:sz w:val="14"/>
                <w:szCs w:val="14"/>
                <w:color w:val="auto"/>
              </w:rPr>
              <w:t>By:</w:t>
            </w:r>
          </w:p>
        </w:tc>
        <w:tc>
          <w:tcPr>
            <w:tcW w:w="6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w:t>
            </w:r>
          </w:p>
        </w:tc>
        <w:tc>
          <w:tcPr>
            <w:tcW w:w="3180" w:type="dxa"/>
            <w:vAlign w:val="bottom"/>
          </w:tcPr>
          <w:p>
            <w:pPr>
              <w:jc w:val="center"/>
              <w:ind w:right="1837"/>
              <w:spacing w:after="0"/>
              <w:rPr>
                <w:sz w:val="20"/>
                <w:szCs w:val="20"/>
                <w:color w:val="auto"/>
              </w:rPr>
            </w:pPr>
            <w:r>
              <w:rPr>
                <w:rFonts w:ascii="Times New Roman" w:cs="Times New Roman" w:eastAsia="Times New Roman" w:hAnsi="Times New Roman"/>
                <w:sz w:val="14"/>
                <w:szCs w:val="14"/>
                <w:color w:val="auto"/>
                <w:w w:val="98"/>
              </w:rPr>
              <w:t>DAVID L. WHITE</w:t>
            </w:r>
          </w:p>
        </w:tc>
      </w:tr>
      <w:tr>
        <w:trPr>
          <w:trHeight w:val="21"/>
        </w:trPr>
        <w:tc>
          <w:tcPr>
            <w:tcW w:w="3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r>
      <w:tr>
        <w:trPr>
          <w:trHeight w:val="108"/>
        </w:trPr>
        <w:tc>
          <w:tcPr>
            <w:tcW w:w="33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180" w:type="dxa"/>
            <w:vAlign w:val="bottom"/>
          </w:tcPr>
          <w:p>
            <w:pPr>
              <w:jc w:val="center"/>
              <w:ind w:right="2137"/>
              <w:spacing w:after="0" w:line="108" w:lineRule="exact"/>
              <w:rPr>
                <w:sz w:val="20"/>
                <w:szCs w:val="20"/>
                <w:color w:val="auto"/>
              </w:rPr>
            </w:pPr>
            <w:r>
              <w:rPr>
                <w:rFonts w:ascii="Times New Roman" w:cs="Times New Roman" w:eastAsia="Times New Roman" w:hAnsi="Times New Roman"/>
                <w:sz w:val="11"/>
                <w:szCs w:val="11"/>
                <w:b w:val="1"/>
                <w:bCs w:val="1"/>
                <w:color w:val="auto"/>
              </w:rPr>
              <w:t>David L. White</w:t>
            </w:r>
          </w:p>
        </w:tc>
      </w:tr>
      <w:tr>
        <w:trPr>
          <w:trHeight w:val="148"/>
        </w:trPr>
        <w:tc>
          <w:tcPr>
            <w:tcW w:w="33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840" w:type="dxa"/>
            <w:vAlign w:val="bottom"/>
            <w:gridSpan w:val="2"/>
          </w:tcPr>
          <w:p>
            <w:pPr>
              <w:jc w:val="center"/>
              <w:ind w:right="1477"/>
              <w:spacing w:after="0"/>
              <w:rPr>
                <w:sz w:val="20"/>
                <w:szCs w:val="20"/>
                <w:color w:val="auto"/>
              </w:rPr>
            </w:pPr>
            <w:r>
              <w:rPr>
                <w:rFonts w:ascii="Times New Roman" w:cs="Times New Roman" w:eastAsia="Times New Roman" w:hAnsi="Times New Roman"/>
                <w:sz w:val="11"/>
                <w:szCs w:val="11"/>
                <w:b w:val="1"/>
                <w:bCs w:val="1"/>
                <w:color w:val="auto"/>
              </w:rPr>
              <w:t>Chief Financial Officer</w:t>
            </w:r>
          </w:p>
        </w:tc>
      </w:tr>
    </w:tbl>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1460"/>
          </w:cols>
          <w:pgMar w:left="220" w:top="125" w:right="21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8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00" w:type="dxa"/>
            <w:vAlign w:val="bottom"/>
          </w:tcPr>
          <w:p>
            <w:pPr>
              <w:spacing w:after="0"/>
              <w:rPr>
                <w:sz w:val="11"/>
                <w:szCs w:val="11"/>
                <w:color w:val="auto"/>
              </w:rPr>
            </w:pPr>
          </w:p>
        </w:tc>
      </w:tr>
      <w:tr>
        <w:trPr>
          <w:trHeight w:val="95"/>
        </w:trPr>
        <w:tc>
          <w:tcPr>
            <w:tcW w:w="840" w:type="dxa"/>
            <w:vAlign w:val="bottom"/>
            <w:gridSpan w:val="2"/>
          </w:tcPr>
          <w:p>
            <w:pPr>
              <w:spacing w:after="0" w:line="95" w:lineRule="exact"/>
              <w:rPr>
                <w:sz w:val="20"/>
                <w:szCs w:val="20"/>
                <w:color w:val="auto"/>
              </w:rPr>
            </w:pPr>
            <w:r>
              <w:rPr>
                <w:rFonts w:ascii="Times New Roman" w:cs="Times New Roman" w:eastAsia="Times New Roman" w:hAnsi="Times New Roman"/>
                <w:sz w:val="11"/>
                <w:szCs w:val="11"/>
                <w:b w:val="1"/>
                <w:bCs w:val="1"/>
                <w:color w:val="auto"/>
              </w:rPr>
              <w:t>Number</w:t>
            </w:r>
          </w:p>
        </w:tc>
        <w:tc>
          <w:tcPr>
            <w:tcW w:w="2880" w:type="dxa"/>
            <w:vAlign w:val="bottom"/>
          </w:tcPr>
          <w:p>
            <w:pPr>
              <w:spacing w:after="0"/>
              <w:rPr>
                <w:sz w:val="8"/>
                <w:szCs w:val="8"/>
                <w:color w:val="auto"/>
              </w:rPr>
            </w:pPr>
          </w:p>
        </w:tc>
        <w:tc>
          <w:tcPr>
            <w:tcW w:w="3140" w:type="dxa"/>
            <w:vAlign w:val="bottom"/>
            <w:gridSpan w:val="2"/>
          </w:tcPr>
          <w:p>
            <w:pPr>
              <w:spacing w:after="0" w:line="95" w:lineRule="exact"/>
              <w:rPr>
                <w:sz w:val="20"/>
                <w:szCs w:val="20"/>
                <w:color w:val="auto"/>
              </w:rPr>
            </w:pPr>
            <w:r>
              <w:rPr>
                <w:rFonts w:ascii="Times New Roman" w:cs="Times New Roman" w:eastAsia="Times New Roman" w:hAnsi="Times New Roman"/>
                <w:sz w:val="11"/>
                <w:szCs w:val="11"/>
                <w:b w:val="1"/>
                <w:bCs w:val="1"/>
                <w:color w:val="auto"/>
              </w:rPr>
              <w:t>Description</w:t>
            </w:r>
          </w:p>
        </w:tc>
        <w:tc>
          <w:tcPr>
            <w:tcW w:w="1680" w:type="dxa"/>
            <w:vAlign w:val="bottom"/>
            <w:gridSpan w:val="3"/>
          </w:tcPr>
          <w:p>
            <w:pPr>
              <w:ind w:left="500"/>
              <w:spacing w:after="0" w:line="95" w:lineRule="exact"/>
              <w:rPr>
                <w:sz w:val="20"/>
                <w:szCs w:val="20"/>
                <w:color w:val="auto"/>
              </w:rPr>
            </w:pPr>
            <w:r>
              <w:rPr>
                <w:rFonts w:ascii="Times New Roman" w:cs="Times New Roman" w:eastAsia="Times New Roman" w:hAnsi="Times New Roman"/>
                <w:sz w:val="11"/>
                <w:szCs w:val="11"/>
                <w:b w:val="1"/>
                <w:bCs w:val="1"/>
                <w:color w:val="auto"/>
              </w:rPr>
              <w:t>Filing</w:t>
            </w:r>
          </w:p>
        </w:tc>
        <w:tc>
          <w:tcPr>
            <w:tcW w:w="840" w:type="dxa"/>
            <w:vAlign w:val="bottom"/>
            <w:gridSpan w:val="2"/>
          </w:tcPr>
          <w:p>
            <w:pPr>
              <w:jc w:val="right"/>
              <w:ind w:right="600"/>
              <w:spacing w:after="0" w:line="95" w:lineRule="exact"/>
              <w:rPr>
                <w:sz w:val="20"/>
                <w:szCs w:val="20"/>
                <w:color w:val="auto"/>
              </w:rPr>
            </w:pPr>
            <w:r>
              <w:rPr>
                <w:rFonts w:ascii="Times New Roman" w:cs="Times New Roman" w:eastAsia="Times New Roman" w:hAnsi="Times New Roman"/>
                <w:sz w:val="11"/>
                <w:szCs w:val="11"/>
                <w:b w:val="1"/>
                <w:bCs w:val="1"/>
                <w:color w:val="auto"/>
                <w:w w:val="99"/>
              </w:rPr>
              <w:t>Date</w:t>
            </w:r>
          </w:p>
        </w:tc>
        <w:tc>
          <w:tcPr>
            <w:tcW w:w="240" w:type="dxa"/>
            <w:vAlign w:val="bottom"/>
          </w:tcPr>
          <w:p>
            <w:pPr>
              <w:spacing w:after="0"/>
              <w:rPr>
                <w:sz w:val="8"/>
                <w:szCs w:val="8"/>
                <w:color w:val="auto"/>
              </w:rPr>
            </w:pPr>
          </w:p>
        </w:tc>
        <w:tc>
          <w:tcPr>
            <w:tcW w:w="380" w:type="dxa"/>
            <w:vAlign w:val="bottom"/>
            <w:tcBorders>
              <w:top w:val="single" w:sz="8" w:color="auto"/>
            </w:tcBorders>
          </w:tcPr>
          <w:p>
            <w:pPr>
              <w:spacing w:after="0" w:line="95" w:lineRule="exact"/>
              <w:rPr>
                <w:sz w:val="20"/>
                <w:szCs w:val="20"/>
                <w:color w:val="auto"/>
              </w:rPr>
            </w:pPr>
            <w:r>
              <w:rPr>
                <w:rFonts w:ascii="Times New Roman" w:cs="Times New Roman" w:eastAsia="Times New Roman" w:hAnsi="Times New Roman"/>
                <w:sz w:val="11"/>
                <w:szCs w:val="11"/>
                <w:b w:val="1"/>
                <w:bCs w:val="1"/>
                <w:color w:val="auto"/>
                <w:w w:val="86"/>
              </w:rPr>
              <w:t>Number</w:t>
            </w:r>
          </w:p>
        </w:tc>
        <w:tc>
          <w:tcPr>
            <w:tcW w:w="580" w:type="dxa"/>
            <w:vAlign w:val="bottom"/>
          </w:tcPr>
          <w:p>
            <w:pPr>
              <w:spacing w:after="0"/>
              <w:rPr>
                <w:sz w:val="8"/>
                <w:szCs w:val="8"/>
                <w:color w:val="auto"/>
              </w:rPr>
            </w:pPr>
          </w:p>
        </w:tc>
        <w:tc>
          <w:tcPr>
            <w:tcW w:w="700" w:type="dxa"/>
            <w:vAlign w:val="bottom"/>
          </w:tcPr>
          <w:p>
            <w:pPr>
              <w:jc w:val="center"/>
              <w:spacing w:after="0" w:line="95" w:lineRule="exact"/>
              <w:rPr>
                <w:sz w:val="20"/>
                <w:szCs w:val="20"/>
                <w:color w:val="auto"/>
              </w:rPr>
            </w:pPr>
            <w:r>
              <w:rPr>
                <w:rFonts w:ascii="Times New Roman" w:cs="Times New Roman" w:eastAsia="Times New Roman" w:hAnsi="Times New Roman"/>
                <w:sz w:val="11"/>
                <w:szCs w:val="11"/>
                <w:b w:val="1"/>
                <w:bCs w:val="1"/>
                <w:color w:val="auto"/>
                <w:w w:val="98"/>
              </w:rPr>
              <w:t>Filed here with</w:t>
            </w:r>
          </w:p>
        </w:tc>
      </w:tr>
      <w:tr>
        <w:trPr>
          <w:trHeight w:val="20"/>
        </w:trPr>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0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440" w:type="dxa"/>
            <w:vAlign w:val="bottom"/>
          </w:tcPr>
          <w:p>
            <w:pPr>
              <w:spacing w:after="0"/>
              <w:rPr>
                <w:sz w:val="17"/>
                <w:szCs w:val="17"/>
                <w:color w:val="auto"/>
              </w:rPr>
            </w:pP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Class C Non-Incentive Unit Purchase Agreement, July 25, 2016</w:t>
            </w:r>
          </w:p>
        </w:tc>
        <w:tc>
          <w:tcPr>
            <w:tcW w:w="16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Form 8-K</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7/28/2016</w:t>
            </w: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10.1</w:t>
            </w:r>
          </w:p>
        </w:tc>
        <w:tc>
          <w:tcPr>
            <w:tcW w:w="700" w:type="dxa"/>
            <w:vAlign w:val="bottom"/>
          </w:tcPr>
          <w:p>
            <w:pPr>
              <w:spacing w:after="0"/>
              <w:rPr>
                <w:sz w:val="17"/>
                <w:szCs w:val="17"/>
                <w:color w:val="auto"/>
              </w:rPr>
            </w:pPr>
          </w:p>
        </w:tc>
      </w:tr>
      <w:tr>
        <w:trPr>
          <w:trHeight w:val="21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440" w:type="dxa"/>
            <w:vAlign w:val="bottom"/>
          </w:tcPr>
          <w:p>
            <w:pPr>
              <w:spacing w:after="0"/>
              <w:rPr>
                <w:sz w:val="18"/>
                <w:szCs w:val="18"/>
                <w:color w:val="auto"/>
              </w:rPr>
            </w:pP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Employment Agreement between the Align Technology, Inc. and John Morici</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195"/>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440" w:type="dxa"/>
            <w:vAlign w:val="bottom"/>
          </w:tcPr>
          <w:p>
            <w:pPr>
              <w:spacing w:after="0"/>
              <w:rPr>
                <w:sz w:val="16"/>
                <w:szCs w:val="16"/>
                <w:color w:val="auto"/>
              </w:rPr>
            </w:pP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Certification of Chief Executive Officer pursuant to 18 U.S.C. Section 1350, as adopted pursuant to</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183"/>
        </w:trPr>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Section 302 of the Sarbanes-Oxley Act of 2002.</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5"/>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440" w:type="dxa"/>
            <w:vAlign w:val="bottom"/>
          </w:tcPr>
          <w:p>
            <w:pPr>
              <w:spacing w:after="0"/>
              <w:rPr>
                <w:sz w:val="16"/>
                <w:szCs w:val="16"/>
                <w:color w:val="auto"/>
              </w:rPr>
            </w:pP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Certification of Chief Financial Officer pursuant to 18 U.S.C. Section 1350, as adopted pursuant to</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183"/>
        </w:trPr>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Section 302 of the Sarbanes-Oxley Act of 2002.</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5"/>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440" w:type="dxa"/>
            <w:vAlign w:val="bottom"/>
          </w:tcPr>
          <w:p>
            <w:pPr>
              <w:spacing w:after="0"/>
              <w:rPr>
                <w:sz w:val="16"/>
                <w:szCs w:val="16"/>
                <w:color w:val="auto"/>
              </w:rPr>
            </w:pP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Certification of Chief Executive Officer and Chief Financial Officer pursuant to 18 U.S.C.</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183"/>
        </w:trPr>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Section 1350, as adopted pursuant to Section 906 of the Sarbanes-Oxley Act of 2002.</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0"/>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101.INS</w:t>
            </w: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XBRL Instance Document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210"/>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101.SCH</w:t>
            </w: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210"/>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101.CAL</w:t>
            </w: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210"/>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101.DEF</w:t>
            </w: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210"/>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101.LAB</w:t>
            </w: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210"/>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101.PRE</w:t>
            </w:r>
          </w:p>
        </w:tc>
        <w:tc>
          <w:tcPr>
            <w:tcW w:w="6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881"/>
        </w:trPr>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20" w:type="dxa"/>
            <w:vAlign w:val="bottom"/>
            <w:gridSpan w:val="3"/>
          </w:tcPr>
          <w:p>
            <w:pPr>
              <w:ind w:left="4800"/>
              <w:spacing w:after="0"/>
              <w:rPr>
                <w:sz w:val="20"/>
                <w:szCs w:val="20"/>
                <w:color w:val="auto"/>
              </w:rPr>
            </w:pPr>
            <w:r>
              <w:rPr>
                <w:rFonts w:ascii="Times New Roman" w:cs="Times New Roman" w:eastAsia="Times New Roman" w:hAnsi="Times New Roman"/>
                <w:sz w:val="14"/>
                <w:szCs w:val="14"/>
                <w:color w:val="auto"/>
              </w:rPr>
              <w:t>54</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300"/>
          </w:cols>
          <w:pgMar w:left="220" w:top="125" w:right="379" w:bottom="1440" w:gutter="0" w:footer="0" w:header="0"/>
        </w:sectPr>
      </w:pPr>
    </w:p>
    <w:bookmarkStart w:id="54" w:name="page55"/>
    <w:bookmarkEnd w:id="54"/>
    <w:p>
      <w:pPr>
        <w:ind w:left="2320"/>
        <w:spacing w:after="0"/>
        <w:rPr>
          <w:sz w:val="20"/>
          <w:szCs w:val="20"/>
          <w:color w:val="auto"/>
        </w:rPr>
      </w:pPr>
      <w:r>
        <w:rPr>
          <w:rFonts w:ascii="Times New Roman" w:cs="Times New Roman" w:eastAsia="Times New Roman" w:hAnsi="Times New Roman"/>
          <w:sz w:val="14"/>
          <w:szCs w:val="14"/>
          <w:b w:val="1"/>
          <w:bCs w:val="1"/>
          <w:color w:val="auto"/>
        </w:rPr>
        <w:t>EMPLOYMENT AGREEMENT</w:t>
      </w:r>
    </w:p>
    <w:p>
      <w:pPr>
        <w:spacing w:after="0" w:line="164"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 xml:space="preserve">This EMPLOYMENT AGREEMENT (the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xml:space="preserve"> is entered into as of November 7, 2016 by and between John Morici (the </w:t>
      </w:r>
      <w:r>
        <w:rPr>
          <w:rFonts w:ascii="Times New Roman" w:cs="Times New Roman" w:eastAsia="Times New Roman" w:hAnsi="Times New Roman"/>
          <w:sz w:val="14"/>
          <w:szCs w:val="14"/>
          <w:b w:val="1"/>
          <w:bCs w:val="1"/>
          <w:color w:val="auto"/>
        </w:rPr>
        <w:t>"Executive")</w:t>
      </w:r>
      <w:r>
        <w:rPr>
          <w:rFonts w:ascii="Times New Roman" w:cs="Times New Roman" w:eastAsia="Times New Roman" w:hAnsi="Times New Roman"/>
          <w:sz w:val="14"/>
          <w:szCs w:val="14"/>
          <w:color w:val="auto"/>
        </w:rPr>
        <w:t xml:space="preserve"> and Align Technology, Inc., a Delaware corporation (the </w:t>
      </w:r>
      <w:r>
        <w:rPr>
          <w:rFonts w:ascii="Times New Roman" w:cs="Times New Roman" w:eastAsia="Times New Roman" w:hAnsi="Times New Roman"/>
          <w:sz w:val="14"/>
          <w:szCs w:val="14"/>
          <w:b w:val="1"/>
          <w:bCs w:val="1"/>
          <w:color w:val="auto"/>
        </w:rPr>
        <w:t>"Company").</w:t>
      </w:r>
    </w:p>
    <w:p>
      <w:pPr>
        <w:spacing w:after="0" w:line="123" w:lineRule="exact"/>
        <w:rPr>
          <w:sz w:val="20"/>
          <w:szCs w:val="20"/>
          <w:color w:val="auto"/>
        </w:rPr>
      </w:pPr>
    </w:p>
    <w:p>
      <w:pPr>
        <w:ind w:left="640" w:hanging="133"/>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Duties and Scope of Employment</w:t>
      </w:r>
      <w:r>
        <w:rPr>
          <w:rFonts w:ascii="Times New Roman" w:cs="Times New Roman" w:eastAsia="Times New Roman" w:hAnsi="Times New Roman"/>
          <w:sz w:val="14"/>
          <w:szCs w:val="14"/>
          <w:color w:val="auto"/>
        </w:rPr>
        <w:t>.</w:t>
      </w:r>
    </w:p>
    <w:p>
      <w:pPr>
        <w:spacing w:after="0" w:line="162" w:lineRule="exact"/>
        <w:rPr>
          <w:rFonts w:ascii="Times New Roman" w:cs="Times New Roman" w:eastAsia="Times New Roman" w:hAnsi="Times New Roman"/>
          <w:sz w:val="14"/>
          <w:szCs w:val="14"/>
          <w:color w:val="auto"/>
        </w:rPr>
      </w:pPr>
    </w:p>
    <w:p>
      <w:pPr>
        <w:jc w:val="both"/>
        <w:ind w:left="100" w:firstLine="879"/>
        <w:spacing w:after="0" w:line="261" w:lineRule="auto"/>
        <w:tabs>
          <w:tab w:leader="none" w:pos="1171" w:val="left"/>
        </w:tabs>
        <w:numPr>
          <w:ilvl w:val="2"/>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Position</w:t>
      </w:r>
      <w:r>
        <w:rPr>
          <w:rFonts w:ascii="Times New Roman" w:cs="Times New Roman" w:eastAsia="Times New Roman" w:hAnsi="Times New Roman"/>
          <w:sz w:val="14"/>
          <w:szCs w:val="14"/>
          <w:color w:val="auto"/>
        </w:rPr>
        <w:t xml:space="preserve">. For the term of the Executive's employment under this Agreement </w:t>
      </w:r>
      <w:r>
        <w:rPr>
          <w:rFonts w:ascii="Times New Roman" w:cs="Times New Roman" w:eastAsia="Times New Roman" w:hAnsi="Times New Roman"/>
          <w:sz w:val="14"/>
          <w:szCs w:val="14"/>
          <w:b w:val="1"/>
          <w:bCs w:val="1"/>
          <w:color w:val="auto"/>
        </w:rPr>
        <w:t>("Employment"),</w:t>
      </w:r>
      <w:r>
        <w:rPr>
          <w:rFonts w:ascii="Times New Roman" w:cs="Times New Roman" w:eastAsia="Times New Roman" w:hAnsi="Times New Roman"/>
          <w:sz w:val="14"/>
          <w:szCs w:val="14"/>
          <w:color w:val="auto"/>
        </w:rPr>
        <w:t xml:space="preserve"> the Company agrees to employ the Executive in the position of Chief Financial Officer with the Executive's principal place of Employment in San Jose, California. The Executive shall report to the Chief Executive Officer (the </w:t>
      </w:r>
      <w:r>
        <w:rPr>
          <w:rFonts w:ascii="Times New Roman" w:cs="Times New Roman" w:eastAsia="Times New Roman" w:hAnsi="Times New Roman"/>
          <w:sz w:val="14"/>
          <w:szCs w:val="14"/>
          <w:b w:val="1"/>
          <w:bCs w:val="1"/>
          <w:color w:val="auto"/>
        </w:rPr>
        <w:t>"CEO").</w:t>
      </w:r>
      <w:r>
        <w:rPr>
          <w:rFonts w:ascii="Times New Roman" w:cs="Times New Roman" w:eastAsia="Times New Roman" w:hAnsi="Times New Roman"/>
          <w:sz w:val="14"/>
          <w:szCs w:val="14"/>
          <w:color w:val="auto"/>
        </w:rPr>
        <w:t xml:space="preserve"> The Executive accepts such Employment and agrees to discharge all of the duties normally associated with said position, and to faithfully and to the best of the Executive's abilities perform such other services consistent with the Executive's position as Chief Financial Officer as may from time to time be assigned to the Executive by the CEO.</w:t>
      </w:r>
    </w:p>
    <w:p>
      <w:pPr>
        <w:spacing w:after="0" w:line="140" w:lineRule="exact"/>
        <w:rPr>
          <w:rFonts w:ascii="Times New Roman" w:cs="Times New Roman" w:eastAsia="Times New Roman" w:hAnsi="Times New Roman"/>
          <w:sz w:val="14"/>
          <w:szCs w:val="14"/>
          <w:color w:val="auto"/>
        </w:rPr>
      </w:pPr>
    </w:p>
    <w:p>
      <w:pPr>
        <w:jc w:val="both"/>
        <w:ind w:left="100" w:firstLine="879"/>
        <w:spacing w:after="0" w:line="260" w:lineRule="auto"/>
        <w:tabs>
          <w:tab w:leader="none" w:pos="1179" w:val="left"/>
        </w:tabs>
        <w:numPr>
          <w:ilvl w:val="2"/>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Obligations to the Company</w:t>
      </w:r>
      <w:r>
        <w:rPr>
          <w:rFonts w:ascii="Times New Roman" w:cs="Times New Roman" w:eastAsia="Times New Roman" w:hAnsi="Times New Roman"/>
          <w:sz w:val="14"/>
          <w:szCs w:val="14"/>
          <w:color w:val="auto"/>
        </w:rPr>
        <w:t>. During the term of the Executive's Employment, the Executive shall devote the Executive's full business efforts and time to the Company. The Executive agrees not to actively engage in any other employment, occupation or consulting activity for any direct or indirect remuneration without the prior approval of the CEO, provided, however, that the Executive may, without the approval of the CEO, serve in any capacity with any civic, educational or charitable organization. The Executive may own, as a passive investor, no more than one percent (1 %) of any class of the outstanding securities of any publicly traded corporation.</w:t>
      </w:r>
    </w:p>
    <w:p>
      <w:pPr>
        <w:spacing w:after="0" w:line="130" w:lineRule="exact"/>
        <w:rPr>
          <w:rFonts w:ascii="Times New Roman" w:cs="Times New Roman" w:eastAsia="Times New Roman" w:hAnsi="Times New Roman"/>
          <w:sz w:val="14"/>
          <w:szCs w:val="14"/>
          <w:color w:val="auto"/>
        </w:rPr>
      </w:pPr>
    </w:p>
    <w:p>
      <w:pPr>
        <w:jc w:val="both"/>
        <w:ind w:left="80" w:firstLine="889"/>
        <w:spacing w:after="0" w:line="258" w:lineRule="auto"/>
        <w:tabs>
          <w:tab w:leader="none" w:pos="1151"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Conflicting Obligations</w:t>
      </w:r>
      <w:r>
        <w:rPr>
          <w:rFonts w:ascii="Times New Roman" w:cs="Times New Roman" w:eastAsia="Times New Roman" w:hAnsi="Times New Roman"/>
          <w:sz w:val="14"/>
          <w:szCs w:val="14"/>
          <w:color w:val="auto"/>
        </w:rPr>
        <w:t>. The Executive represents and warrants to the Company that the Executive is under no obligations or commitments, whether contractual or otherwise, that are inconsistent with the Executive's obligations under this Agreement. The Executive represents and warrants that the Executive will not use or disclose, in connection with the Executive's employment by the Company, any trade secrets or other proprietary information or intellectual property in which the Executive or any other person has any right, title or interest and that the Executive's employment by the Company as contemplated by this Agreement will not infringe or violate the rights of any other person or entity. The Executive represents and warrants to the Company that the Executive has returned all property and confidential information belonging to any prior employers.</w:t>
      </w:r>
    </w:p>
    <w:p>
      <w:pPr>
        <w:spacing w:after="0" w:line="130" w:lineRule="exact"/>
        <w:rPr>
          <w:rFonts w:ascii="Times New Roman" w:cs="Times New Roman" w:eastAsia="Times New Roman" w:hAnsi="Times New Roman"/>
          <w:sz w:val="14"/>
          <w:szCs w:val="14"/>
          <w:color w:val="auto"/>
        </w:rPr>
      </w:pPr>
    </w:p>
    <w:p>
      <w:pPr>
        <w:ind w:left="1160" w:hanging="191"/>
        <w:spacing w:after="0"/>
        <w:tabs>
          <w:tab w:leader="none" w:pos="116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Commencement Date</w:t>
      </w:r>
      <w:r>
        <w:rPr>
          <w:rFonts w:ascii="Times New Roman" w:cs="Times New Roman" w:eastAsia="Times New Roman" w:hAnsi="Times New Roman"/>
          <w:sz w:val="14"/>
          <w:szCs w:val="14"/>
          <w:color w:val="auto"/>
        </w:rPr>
        <w:t>. It is expected that the Executive will commence full•</w:t>
      </w:r>
    </w:p>
    <w:p>
      <w:pPr>
        <w:spacing w:after="0" w:line="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time Employment on November 10, 2016.</w:t>
      </w:r>
    </w:p>
    <w:p>
      <w:pPr>
        <w:spacing w:after="0" w:line="170" w:lineRule="exact"/>
        <w:rPr>
          <w:sz w:val="20"/>
          <w:szCs w:val="20"/>
          <w:color w:val="auto"/>
        </w:rPr>
      </w:pPr>
    </w:p>
    <w:p>
      <w:pPr>
        <w:ind w:left="660" w:hanging="132"/>
        <w:spacing w:after="0"/>
        <w:tabs>
          <w:tab w:leader="none" w:pos="66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 and Incentive Compensation.</w:t>
      </w:r>
    </w:p>
    <w:p>
      <w:pPr>
        <w:spacing w:after="0" w:line="195" w:lineRule="exact"/>
        <w:rPr>
          <w:rFonts w:ascii="Times New Roman" w:cs="Times New Roman" w:eastAsia="Times New Roman" w:hAnsi="Times New Roman"/>
          <w:sz w:val="14"/>
          <w:szCs w:val="14"/>
          <w:color w:val="auto"/>
        </w:rPr>
      </w:pPr>
    </w:p>
    <w:p>
      <w:pPr>
        <w:ind w:firstLine="4"/>
        <w:spacing w:after="0" w:line="282" w:lineRule="auto"/>
        <w:tabs>
          <w:tab w:leader="none" w:pos="19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Salary</w:t>
      </w:r>
      <w:r>
        <w:rPr>
          <w:rFonts w:ascii="Times New Roman" w:cs="Times New Roman" w:eastAsia="Times New Roman" w:hAnsi="Times New Roman"/>
          <w:sz w:val="14"/>
          <w:szCs w:val="14"/>
          <w:color w:val="auto"/>
        </w:rPr>
        <w:t xml:space="preserve">. The Company shall pay the Executive as compensation for the Executive's services a base salary at a gross annual rate of $400,000, payable in accordance with the Company's standard payroll schedule. The compensation specified in this Subsection (a), together with any adjustments by the Company from time to time, is referred to in this Agreement as </w:t>
      </w:r>
      <w:r>
        <w:rPr>
          <w:rFonts w:ascii="Times New Roman" w:cs="Times New Roman" w:eastAsia="Times New Roman" w:hAnsi="Times New Roman"/>
          <w:sz w:val="14"/>
          <w:szCs w:val="14"/>
          <w:b w:val="1"/>
          <w:bCs w:val="1"/>
          <w:color w:val="auto"/>
        </w:rPr>
        <w:t>"Base Salary."</w:t>
      </w:r>
    </w:p>
    <w:p>
      <w:pPr>
        <w:spacing w:after="0" w:line="114" w:lineRule="exact"/>
        <w:rPr>
          <w:rFonts w:ascii="Times New Roman" w:cs="Times New Roman" w:eastAsia="Times New Roman" w:hAnsi="Times New Roman"/>
          <w:sz w:val="14"/>
          <w:szCs w:val="14"/>
          <w:color w:val="auto"/>
        </w:rPr>
      </w:pPr>
    </w:p>
    <w:p>
      <w:pPr>
        <w:jc w:val="both"/>
        <w:ind w:left="100" w:firstLine="879"/>
        <w:spacing w:after="0" w:line="254" w:lineRule="auto"/>
        <w:tabs>
          <w:tab w:leader="none" w:pos="1189" w:val="left"/>
        </w:tabs>
        <w:numPr>
          <w:ilvl w:val="2"/>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Annual Bonus</w:t>
      </w:r>
      <w:r>
        <w:rPr>
          <w:rFonts w:ascii="Times New Roman" w:cs="Times New Roman" w:eastAsia="Times New Roman" w:hAnsi="Times New Roman"/>
          <w:sz w:val="14"/>
          <w:szCs w:val="14"/>
          <w:color w:val="auto"/>
        </w:rPr>
        <w:t>. The Executive shall be entitled to participate in an annual bonus program that will provide the Executive with an opportunity to earn a potential annual bonus (the "Annual Bonus") equal to 60% of the Executive's Base Salary at target levels of performance (the "Target Bonus")</w:t>
      </w:r>
      <w:r>
        <w:rPr>
          <w:rFonts w:ascii="Times New Roman" w:cs="Times New Roman" w:eastAsia="Times New Roman" w:hAnsi="Times New Roman"/>
          <w:sz w:val="14"/>
          <w:szCs w:val="14"/>
          <w:color w:val="1D1D1D"/>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70707"/>
        </w:rPr>
        <w:t>For the Company's current fis</w:t>
      </w:r>
      <w:r>
        <w:rPr>
          <w:rFonts w:ascii="Times New Roman" w:cs="Times New Roman" w:eastAsia="Times New Roman" w:hAnsi="Times New Roman"/>
          <w:sz w:val="14"/>
          <w:szCs w:val="14"/>
          <w:color w:val="1D1D1D"/>
        </w:rPr>
        <w:t>c</w:t>
      </w:r>
      <w:r>
        <w:rPr>
          <w:rFonts w:ascii="Times New Roman" w:cs="Times New Roman" w:eastAsia="Times New Roman" w:hAnsi="Times New Roman"/>
          <w:sz w:val="14"/>
          <w:szCs w:val="14"/>
          <w:color w:val="070707"/>
        </w:rPr>
        <w:t>al year ("FY2016"), however, the Executive's bonus will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70707"/>
        </w:rPr>
        <w:t>be pro-rated based on actual number of days of employment with the Company in FY2016</w:t>
      </w:r>
      <w:r>
        <w:rPr>
          <w:rFonts w:ascii="Times New Roman" w:cs="Times New Roman" w:eastAsia="Times New Roman" w:hAnsi="Times New Roman"/>
          <w:sz w:val="14"/>
          <w:szCs w:val="14"/>
          <w:color w:val="1D1D1D"/>
        </w:rPr>
        <w:t>.</w:t>
      </w:r>
      <w:r>
        <w:rPr>
          <w:rFonts w:ascii="Times New Roman" w:cs="Times New Roman" w:eastAsia="Times New Roman" w:hAnsi="Times New Roman"/>
          <w:sz w:val="14"/>
          <w:szCs w:val="14"/>
          <w:color w:val="070707"/>
        </w:rPr>
        <w:t xml:space="preserve"> For years subsequent to FY2016, the amount of the Annual Bonus shall be based upon the performance of the Executive, as set by the individual performance objectives described in this Subsection</w:t>
      </w:r>
      <w:r>
        <w:rPr>
          <w:rFonts w:ascii="Times New Roman" w:cs="Times New Roman" w:eastAsia="Times New Roman" w:hAnsi="Times New Roman"/>
          <w:sz w:val="14"/>
          <w:szCs w:val="14"/>
          <w:color w:val="1D1D1D"/>
        </w:rPr>
        <w:t>,</w:t>
      </w:r>
      <w:r>
        <w:rPr>
          <w:rFonts w:ascii="Times New Roman" w:cs="Times New Roman" w:eastAsia="Times New Roman" w:hAnsi="Times New Roman"/>
          <w:sz w:val="14"/>
          <w:szCs w:val="14"/>
          <w:color w:val="070707"/>
        </w:rPr>
        <w:t xml:space="preserve"> and the Company in each calendar year</w:t>
      </w:r>
      <w:r>
        <w:rPr>
          <w:rFonts w:ascii="Times New Roman" w:cs="Times New Roman" w:eastAsia="Times New Roman" w:hAnsi="Times New Roman"/>
          <w:sz w:val="14"/>
          <w:szCs w:val="14"/>
          <w:color w:val="1D1D1D"/>
        </w:rPr>
        <w:t>.</w:t>
      </w:r>
      <w:r>
        <w:rPr>
          <w:rFonts w:ascii="Times New Roman" w:cs="Times New Roman" w:eastAsia="Times New Roman" w:hAnsi="Times New Roman"/>
          <w:sz w:val="14"/>
          <w:szCs w:val="14"/>
          <w:color w:val="070707"/>
        </w:rPr>
        <w:t xml:space="preserve"> Notwithstanding anything in this Section 2(b) to the contrary, the Executive must remain employed by the Company through December 31 of a particular year in order to earn an Annual Bonus for such year, and each Annual Bonus that is earned shall be paid by no later than March l of the year following the year it is earned. The Executive's individual performance objectives shall be set by the CEO after consultation with the Executive and the Company's objectives shall be approved by the Compensation Committee of the Company's Board of Directors (the "Compensation Committee") in each case by no later than March 31 of each calendar year; provided, however, that the Executive's individual performance objectives for 2016 will be set within sixty (60) calendar days of the Executive's hire date. The amount of any Annual Bonus awarded or paid to the Executive will be subject to the discretion of the Compensation Committee</w:t>
      </w:r>
      <w:r>
        <w:rPr>
          <w:rFonts w:ascii="Times New Roman" w:cs="Times New Roman" w:eastAsia="Times New Roman" w:hAnsi="Times New Roman"/>
          <w:sz w:val="14"/>
          <w:szCs w:val="14"/>
          <w:color w:val="1D1D1D"/>
        </w:rPr>
        <w: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460"/>
          </w:cols>
          <w:pgMar w:left="220" w:top="626" w:right="219" w:bottom="1440" w:gutter="0" w:footer="0" w:header="0"/>
        </w:sectPr>
      </w:pPr>
    </w:p>
    <w:bookmarkStart w:id="55" w:name="page56"/>
    <w:bookmarkEnd w:id="55"/>
    <w:p>
      <w:pPr>
        <w:jc w:val="both"/>
        <w:ind w:left="80" w:firstLine="951"/>
        <w:spacing w:after="0" w:line="258" w:lineRule="auto"/>
        <w:tabs>
          <w:tab w:leader="none" w:pos="1224" w:val="left"/>
        </w:tabs>
        <w:numPr>
          <w:ilvl w:val="2"/>
          <w:numId w:val="30"/>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u w:val="single" w:color="auto"/>
          <w:color w:val="070707"/>
        </w:rPr>
        <w:t>Incentive Awards</w:t>
      </w:r>
      <w:r>
        <w:rPr>
          <w:rFonts w:ascii="Times New Roman" w:cs="Times New Roman" w:eastAsia="Times New Roman" w:hAnsi="Times New Roman"/>
          <w:sz w:val="14"/>
          <w:szCs w:val="14"/>
          <w:color w:val="070707"/>
        </w:rPr>
        <w:t>. The Executive shall be granted an award of restricted stock units covering 18,835 shares of the Company's common stock (the "Restricted Stock Unit Award"), subject to the approval of the Compensation Committee in all respects, including the terms described herein. The Restricted Stock Unit Award will vest as to 25% on each yearly anniversary of the vesting commencement date as determined by the Compensation Committee, subject to the Executive's continuous service through each applicable vesting date. The grant of the Restricted Stock Unit Award shall be subject to the other terms and conditions set forth in the Company's 2005 Incentive Plan, as amended from time to time</w:t>
      </w:r>
      <w:r>
        <w:rPr>
          <w:rFonts w:ascii="Times New Roman" w:cs="Times New Roman" w:eastAsia="Times New Roman" w:hAnsi="Times New Roman"/>
          <w:sz w:val="14"/>
          <w:szCs w:val="14"/>
          <w:color w:val="1D1D1D"/>
        </w:rPr>
        <w:t>,</w:t>
      </w:r>
      <w:r>
        <w:rPr>
          <w:rFonts w:ascii="Times New Roman" w:cs="Times New Roman" w:eastAsia="Times New Roman" w:hAnsi="Times New Roman"/>
          <w:sz w:val="14"/>
          <w:szCs w:val="14"/>
          <w:color w:val="070707"/>
        </w:rPr>
        <w:t xml:space="preserve"> and in the Company's standard form of restricted stock unit agreement.</w:t>
      </w:r>
    </w:p>
    <w:p>
      <w:pPr>
        <w:spacing w:after="0" w:line="130" w:lineRule="exact"/>
        <w:rPr>
          <w:rFonts w:ascii="Times New Roman" w:cs="Times New Roman" w:eastAsia="Times New Roman" w:hAnsi="Times New Roman"/>
          <w:sz w:val="14"/>
          <w:szCs w:val="14"/>
          <w:color w:val="070707"/>
        </w:rPr>
      </w:pPr>
    </w:p>
    <w:p>
      <w:pPr>
        <w:jc w:val="both"/>
        <w:ind w:left="120" w:firstLine="1016"/>
        <w:spacing w:after="0" w:line="256" w:lineRule="auto"/>
        <w:tabs>
          <w:tab w:leader="none" w:pos="1324" w:val="left"/>
        </w:tabs>
        <w:numPr>
          <w:ilvl w:val="3"/>
          <w:numId w:val="30"/>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u w:val="single" w:color="auto"/>
          <w:color w:val="070707"/>
        </w:rPr>
        <w:t>One-Time Bonus</w:t>
      </w:r>
      <w:r>
        <w:rPr>
          <w:rFonts w:ascii="Times New Roman" w:cs="Times New Roman" w:eastAsia="Times New Roman" w:hAnsi="Times New Roman"/>
          <w:sz w:val="14"/>
          <w:szCs w:val="14"/>
          <w:color w:val="070707"/>
        </w:rPr>
        <w:t>. The Executive will also be granted a sign-on bonus of$150,000. This sign-on payment will be added to and included in your first regularly scheduled paycheck, and is subject to all normal and appropriate payroll withholdings. In the event the Executive voluntarily leaves the Company within the first twelve months of employment for any reason other than Good Reason, the Executive will be responsible for returning 100% of the sign on bonus. In the event the Executive voluntarily leaves the Company after twelve months but prior to twenty</w:t>
      </w:r>
      <w:r>
        <w:rPr>
          <w:rFonts w:ascii="Times New Roman" w:cs="Times New Roman" w:eastAsia="Times New Roman" w:hAnsi="Times New Roman"/>
          <w:sz w:val="14"/>
          <w:szCs w:val="14"/>
          <w:color w:val="1D1D1D"/>
        </w:rPr>
        <w:t>-</w:t>
      </w:r>
      <w:r>
        <w:rPr>
          <w:rFonts w:ascii="Times New Roman" w:cs="Times New Roman" w:eastAsia="Times New Roman" w:hAnsi="Times New Roman"/>
          <w:sz w:val="14"/>
          <w:szCs w:val="14"/>
          <w:color w:val="070707"/>
        </w:rPr>
        <w:t>four months of emp</w:t>
      </w:r>
      <w:r>
        <w:rPr>
          <w:rFonts w:ascii="Times New Roman" w:cs="Times New Roman" w:eastAsia="Times New Roman" w:hAnsi="Times New Roman"/>
          <w:sz w:val="14"/>
          <w:szCs w:val="14"/>
          <w:color w:val="1D1D1D"/>
        </w:rPr>
        <w:t>l</w:t>
      </w:r>
      <w:r>
        <w:rPr>
          <w:rFonts w:ascii="Times New Roman" w:cs="Times New Roman" w:eastAsia="Times New Roman" w:hAnsi="Times New Roman"/>
          <w:sz w:val="14"/>
          <w:szCs w:val="14"/>
          <w:color w:val="070707"/>
        </w:rPr>
        <w:t>oyment</w:t>
      </w:r>
      <w:r>
        <w:rPr>
          <w:rFonts w:ascii="Times New Roman" w:cs="Times New Roman" w:eastAsia="Times New Roman" w:hAnsi="Times New Roman"/>
          <w:sz w:val="14"/>
          <w:szCs w:val="14"/>
          <w:color w:val="1D1D1D"/>
        </w:rPr>
        <w:t>,</w:t>
      </w:r>
      <w:r>
        <w:rPr>
          <w:rFonts w:ascii="Times New Roman" w:cs="Times New Roman" w:eastAsia="Times New Roman" w:hAnsi="Times New Roman"/>
          <w:sz w:val="14"/>
          <w:szCs w:val="14"/>
          <w:color w:val="070707"/>
        </w:rPr>
        <w:t xml:space="preserve"> for any reason other than Good Reason, the Executive will be responsible for returning a portion of the sign on bonus as follows: For each full month of full-time employment, the Company will forgive 1/24 of the sign-on bonus and the remaining unforgiven portion will be due and payable to the Company on demand. In the event the Company terminates the Executive</w:t>
      </w:r>
      <w:r>
        <w:rPr>
          <w:rFonts w:ascii="Times New Roman" w:cs="Times New Roman" w:eastAsia="Times New Roman" w:hAnsi="Times New Roman"/>
          <w:sz w:val="14"/>
          <w:szCs w:val="14"/>
          <w:color w:val="1D1D1D"/>
        </w:rPr>
        <w:t>'</w:t>
      </w:r>
      <w:r>
        <w:rPr>
          <w:rFonts w:ascii="Times New Roman" w:cs="Times New Roman" w:eastAsia="Times New Roman" w:hAnsi="Times New Roman"/>
          <w:sz w:val="14"/>
          <w:szCs w:val="14"/>
          <w:color w:val="070707"/>
        </w:rPr>
        <w:t>s employment without Cause, the Executive will not be required to return any of the sign-on bonus</w:t>
      </w:r>
      <w:r>
        <w:rPr>
          <w:rFonts w:ascii="Times New Roman" w:cs="Times New Roman" w:eastAsia="Times New Roman" w:hAnsi="Times New Roman"/>
          <w:sz w:val="14"/>
          <w:szCs w:val="14"/>
          <w:color w:val="1D1D1D"/>
        </w:rPr>
        <w:t>,</w:t>
      </w:r>
    </w:p>
    <w:p>
      <w:pPr>
        <w:spacing w:after="0" w:line="123" w:lineRule="exact"/>
        <w:rPr>
          <w:rFonts w:ascii="Times New Roman" w:cs="Times New Roman" w:eastAsia="Times New Roman" w:hAnsi="Times New Roman"/>
          <w:sz w:val="14"/>
          <w:szCs w:val="14"/>
          <w:color w:val="070707"/>
        </w:rPr>
      </w:pPr>
    </w:p>
    <w:p>
      <w:pPr>
        <w:jc w:val="both"/>
        <w:ind w:firstLine="4"/>
        <w:spacing w:after="0" w:line="258" w:lineRule="auto"/>
        <w:tabs>
          <w:tab w:leader="none" w:pos="200" w:val="left"/>
        </w:tabs>
        <w:numPr>
          <w:ilvl w:val="0"/>
          <w:numId w:val="31"/>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u w:val="single" w:color="auto"/>
          <w:color w:val="070707"/>
        </w:rPr>
        <w:t>Relocation Assistance</w:t>
      </w:r>
      <w:r>
        <w:rPr>
          <w:rFonts w:ascii="Times New Roman" w:cs="Times New Roman" w:eastAsia="Times New Roman" w:hAnsi="Times New Roman"/>
          <w:sz w:val="14"/>
          <w:szCs w:val="14"/>
          <w:color w:val="070707"/>
        </w:rPr>
        <w:t>. The Executive is expected to be working full time out of the San Jose</w:t>
      </w:r>
      <w:r>
        <w:rPr>
          <w:rFonts w:ascii="Times New Roman" w:cs="Times New Roman" w:eastAsia="Times New Roman" w:hAnsi="Times New Roman"/>
          <w:sz w:val="14"/>
          <w:szCs w:val="14"/>
          <w:color w:val="1D1D1D"/>
        </w:rPr>
        <w:t>,</w:t>
      </w:r>
      <w:r>
        <w:rPr>
          <w:rFonts w:ascii="Times New Roman" w:cs="Times New Roman" w:eastAsia="Times New Roman" w:hAnsi="Times New Roman"/>
          <w:sz w:val="14"/>
          <w:szCs w:val="14"/>
          <w:color w:val="070707"/>
        </w:rPr>
        <w:t xml:space="preserve"> California office. The Company will reimburse the Executive for (i) all eligible relocation expenses incurred by him in the course of his relocation to the San Francisco Bay area as set forth in Exhibit A and (ii) personal transitional eligible expenses as also set forth in Exhibit A (collectively, the "Relocation Expenses"), subject to the Company's requirements with respect to </w:t>
      </w:r>
      <w:r>
        <w:rPr>
          <w:rFonts w:ascii="Times New Roman" w:cs="Times New Roman" w:eastAsia="Times New Roman" w:hAnsi="Times New Roman"/>
          <w:sz w:val="14"/>
          <w:szCs w:val="14"/>
          <w:color w:val="000000"/>
        </w:rPr>
        <w:t>reporting and documentation of such expenses. In the event the Executive voluntarily leaves the Company within the first</w:t>
      </w:r>
      <w:r>
        <w:rPr>
          <w:rFonts w:ascii="Times New Roman" w:cs="Times New Roman" w:eastAsia="Times New Roman" w:hAnsi="Times New Roman"/>
          <w:sz w:val="14"/>
          <w:szCs w:val="14"/>
          <w:color w:val="070707"/>
        </w:rPr>
        <w:t xml:space="preserve"> </w:t>
      </w:r>
      <w:r>
        <w:rPr>
          <w:rFonts w:ascii="Times New Roman" w:cs="Times New Roman" w:eastAsia="Times New Roman" w:hAnsi="Times New Roman"/>
          <w:sz w:val="14"/>
          <w:szCs w:val="14"/>
          <w:color w:val="000000"/>
        </w:rPr>
        <w:t>twelve months of employment for any reason other than Good Reason, the Executive will be respons</w:t>
      </w:r>
      <w:r>
        <w:rPr>
          <w:rFonts w:ascii="Times New Roman" w:cs="Times New Roman" w:eastAsia="Times New Roman" w:hAnsi="Times New Roman"/>
          <w:sz w:val="14"/>
          <w:szCs w:val="14"/>
          <w:color w:val="1C1C1C"/>
        </w:rPr>
        <w:t>i</w:t>
      </w:r>
      <w:r>
        <w:rPr>
          <w:rFonts w:ascii="Times New Roman" w:cs="Times New Roman" w:eastAsia="Times New Roman" w:hAnsi="Times New Roman"/>
          <w:sz w:val="14"/>
          <w:szCs w:val="14"/>
          <w:color w:val="070707"/>
        </w:rPr>
        <w:t>ble for returning 100% of the Relocation Expenses reimbursed by the Company pursuant to this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070707"/>
        </w:rPr>
        <w:t>Section 2(e)</w:t>
      </w:r>
      <w:r>
        <w:rPr>
          <w:rFonts w:ascii="Times New Roman" w:cs="Times New Roman" w:eastAsia="Times New Roman" w:hAnsi="Times New Roman"/>
          <w:sz w:val="14"/>
          <w:szCs w:val="14"/>
          <w:color w:val="1C1C1C"/>
        </w:rPr>
        <w:t>.</w:t>
      </w:r>
    </w:p>
    <w:p>
      <w:pPr>
        <w:spacing w:after="0" w:line="120" w:lineRule="exact"/>
        <w:rPr>
          <w:rFonts w:ascii="Times New Roman" w:cs="Times New Roman" w:eastAsia="Times New Roman" w:hAnsi="Times New Roman"/>
          <w:sz w:val="14"/>
          <w:szCs w:val="14"/>
          <w:color w:val="070707"/>
        </w:rPr>
      </w:pPr>
    </w:p>
    <w:p>
      <w:pPr>
        <w:jc w:val="both"/>
        <w:ind w:left="100" w:firstLine="439"/>
        <w:spacing w:after="0" w:line="258" w:lineRule="auto"/>
        <w:tabs>
          <w:tab w:leader="none" w:pos="680" w:val="left"/>
        </w:tabs>
        <w:numPr>
          <w:ilvl w:val="1"/>
          <w:numId w:val="31"/>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u w:val="single" w:color="auto"/>
          <w:color w:val="070707"/>
        </w:rPr>
        <w:t>Vacation and the Executive Benefits</w:t>
      </w:r>
      <w:r>
        <w:rPr>
          <w:rFonts w:ascii="Times New Roman" w:cs="Times New Roman" w:eastAsia="Times New Roman" w:hAnsi="Times New Roman"/>
          <w:sz w:val="14"/>
          <w:szCs w:val="14"/>
          <w:color w:val="070707"/>
        </w:rPr>
        <w:t>. During the term of the Executive's Employment, the Executive shall be eligible to accrue 17 days' vacation per yea</w:t>
      </w:r>
      <w:r>
        <w:rPr>
          <w:rFonts w:ascii="Times New Roman" w:cs="Times New Roman" w:eastAsia="Times New Roman" w:hAnsi="Times New Roman"/>
          <w:sz w:val="14"/>
          <w:szCs w:val="14"/>
          <w:color w:val="1C1C1C"/>
        </w:rPr>
        <w:t>r</w:t>
      </w:r>
      <w:r>
        <w:rPr>
          <w:rFonts w:ascii="Times New Roman" w:cs="Times New Roman" w:eastAsia="Times New Roman" w:hAnsi="Times New Roman"/>
          <w:sz w:val="14"/>
          <w:szCs w:val="14"/>
          <w:color w:val="070707"/>
        </w:rPr>
        <w:t xml:space="preserve"> on a pro-rata basis throughout the year</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 xml:space="preserve"> in accordance with the Company's standard policy for senior management, including prov</w:t>
      </w:r>
      <w:r>
        <w:rPr>
          <w:rFonts w:ascii="Times New Roman" w:cs="Times New Roman" w:eastAsia="Times New Roman" w:hAnsi="Times New Roman"/>
          <w:sz w:val="14"/>
          <w:szCs w:val="14"/>
          <w:color w:val="1C1C1C"/>
        </w:rPr>
        <w:t>i</w:t>
      </w:r>
      <w:r>
        <w:rPr>
          <w:rFonts w:ascii="Times New Roman" w:cs="Times New Roman" w:eastAsia="Times New Roman" w:hAnsi="Times New Roman"/>
          <w:sz w:val="14"/>
          <w:szCs w:val="14"/>
          <w:color w:val="070707"/>
        </w:rPr>
        <w:t>sions with respect to maximum accrual, as it may be amended from time to time. During the term of the Executive's Employment, the Executive shall be eligible to participate in any employee benefit plans maintained by the Company for senior management, subject in each case to the generally applicable terms and conditions of the plan in question and to the determinations of any person or committee administering such plan, and to the right of the Company to make changes in such plans from time to time</w:t>
      </w:r>
      <w:r>
        <w:rPr>
          <w:rFonts w:ascii="Times New Roman" w:cs="Times New Roman" w:eastAsia="Times New Roman" w:hAnsi="Times New Roman"/>
          <w:sz w:val="14"/>
          <w:szCs w:val="14"/>
          <w:color w:val="1C1C1C"/>
        </w:rPr>
        <w:t>.</w:t>
      </w:r>
    </w:p>
    <w:p>
      <w:pPr>
        <w:spacing w:after="0" w:line="120" w:lineRule="exact"/>
        <w:rPr>
          <w:rFonts w:ascii="Times New Roman" w:cs="Times New Roman" w:eastAsia="Times New Roman" w:hAnsi="Times New Roman"/>
          <w:sz w:val="14"/>
          <w:szCs w:val="14"/>
          <w:color w:val="070707"/>
        </w:rPr>
      </w:pPr>
    </w:p>
    <w:p>
      <w:pPr>
        <w:jc w:val="both"/>
        <w:ind w:left="100" w:firstLine="439"/>
        <w:spacing w:after="0" w:line="266" w:lineRule="auto"/>
        <w:tabs>
          <w:tab w:leader="none" w:pos="680" w:val="left"/>
        </w:tabs>
        <w:numPr>
          <w:ilvl w:val="1"/>
          <w:numId w:val="31"/>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u w:val="single" w:color="auto"/>
          <w:color w:val="070707"/>
        </w:rPr>
        <w:t>Business Expenses</w:t>
      </w:r>
      <w:r>
        <w:rPr>
          <w:rFonts w:ascii="Times New Roman" w:cs="Times New Roman" w:eastAsia="Times New Roman" w:hAnsi="Times New Roman"/>
          <w:sz w:val="14"/>
          <w:szCs w:val="14"/>
          <w:color w:val="070707"/>
        </w:rPr>
        <w:t>. During the term of the Executive's Employment, the Executive shall be authorized to incur necessary and reasonable travel</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 xml:space="preserve"> entertainment and other business expenses in connection with her duties hereunder</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 xml:space="preserve"> The Company shall reimburse the Executive for such expenses upon presentation of an itemized account and appropriate supporting documentation, all in accordance with the Company</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s generally applicable policies.</w:t>
      </w:r>
    </w:p>
    <w:p>
      <w:pPr>
        <w:spacing w:after="0" w:line="1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070707"/>
        </w:rPr>
        <w:t>5</w:t>
      </w:r>
      <w:r>
        <w:rPr>
          <w:rFonts w:ascii="Times New Roman" w:cs="Times New Roman" w:eastAsia="Times New Roman" w:hAnsi="Times New Roman"/>
          <w:sz w:val="14"/>
          <w:szCs w:val="14"/>
          <w:i w:val="1"/>
          <w:iCs w:val="1"/>
          <w:color w:val="070707"/>
        </w:rPr>
        <w:t>.</w:t>
      </w:r>
      <w:r>
        <w:rPr>
          <w:rFonts w:ascii="Times New Roman" w:cs="Times New Roman" w:eastAsia="Times New Roman" w:hAnsi="Times New Roman"/>
          <w:sz w:val="14"/>
          <w:szCs w:val="14"/>
          <w:color w:val="070707"/>
        </w:rPr>
        <w:t xml:space="preserve"> </w:t>
      </w:r>
      <w:r>
        <w:rPr>
          <w:rFonts w:ascii="Times New Roman" w:cs="Times New Roman" w:eastAsia="Times New Roman" w:hAnsi="Times New Roman"/>
          <w:sz w:val="14"/>
          <w:szCs w:val="14"/>
          <w:u w:val="single" w:color="auto"/>
          <w:color w:val="070707"/>
        </w:rPr>
        <w:t>Term of Employment.</w:t>
      </w:r>
    </w:p>
    <w:p>
      <w:pPr>
        <w:spacing w:after="0" w:line="156" w:lineRule="exact"/>
        <w:rPr>
          <w:sz w:val="20"/>
          <w:szCs w:val="20"/>
          <w:color w:val="auto"/>
        </w:rPr>
      </w:pPr>
    </w:p>
    <w:p>
      <w:pPr>
        <w:jc w:val="both"/>
        <w:ind w:left="80" w:firstLine="951"/>
        <w:spacing w:after="0" w:line="258" w:lineRule="auto"/>
        <w:tabs>
          <w:tab w:leader="none" w:pos="1214" w:val="left"/>
        </w:tabs>
        <w:numPr>
          <w:ilvl w:val="0"/>
          <w:numId w:val="32"/>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u w:val="single" w:color="auto"/>
          <w:color w:val="070707"/>
        </w:rPr>
        <w:t>At-Will Employment</w:t>
      </w:r>
      <w:r>
        <w:rPr>
          <w:rFonts w:ascii="Times New Roman" w:cs="Times New Roman" w:eastAsia="Times New Roman" w:hAnsi="Times New Roman"/>
          <w:sz w:val="14"/>
          <w:szCs w:val="14"/>
          <w:color w:val="070707"/>
        </w:rPr>
        <w:t>. The Executive's Employment with the Company shall be "at will" and either the Executive or the Company may terminate the Executive's Employment at any time, for any reason</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 xml:space="preserve"> with or without Cause (though certain terminations of the Executive's Employment may trigger the Executive's right to rece</w:t>
      </w:r>
      <w:r>
        <w:rPr>
          <w:rFonts w:ascii="Times New Roman" w:cs="Times New Roman" w:eastAsia="Times New Roman" w:hAnsi="Times New Roman"/>
          <w:sz w:val="14"/>
          <w:szCs w:val="14"/>
          <w:color w:val="1C1C1C"/>
        </w:rPr>
        <w:t>i</w:t>
      </w:r>
      <w:r>
        <w:rPr>
          <w:rFonts w:ascii="Times New Roman" w:cs="Times New Roman" w:eastAsia="Times New Roman" w:hAnsi="Times New Roman"/>
          <w:sz w:val="14"/>
          <w:szCs w:val="14"/>
          <w:color w:val="070707"/>
        </w:rPr>
        <w:t>ve payments and benefits under Section 6)</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 xml:space="preserve"> Any contrary representations, which may have been made to the Executive, whether orally or in writing, shall be superseded by this Agreement. This Agreement shall constitute the full and complete agreement between the Executive and the Company on the "at will" nature of the Executive's Employment, which may only be changed in an express written agreement signed by the Executive and a duly authorized officer of the Company.</w:t>
      </w:r>
    </w:p>
    <w:p>
      <w:pPr>
        <w:spacing w:after="0" w:line="109" w:lineRule="exact"/>
        <w:rPr>
          <w:rFonts w:ascii="Times New Roman" w:cs="Times New Roman" w:eastAsia="Times New Roman" w:hAnsi="Times New Roman"/>
          <w:sz w:val="14"/>
          <w:szCs w:val="14"/>
          <w:color w:val="070707"/>
        </w:rPr>
      </w:pPr>
    </w:p>
    <w:p>
      <w:pPr>
        <w:jc w:val="both"/>
        <w:ind w:left="80" w:firstLine="951"/>
        <w:spacing w:after="0" w:line="260" w:lineRule="auto"/>
        <w:tabs>
          <w:tab w:leader="none" w:pos="1232" w:val="left"/>
        </w:tabs>
        <w:numPr>
          <w:ilvl w:val="0"/>
          <w:numId w:val="32"/>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u w:val="single" w:color="auto"/>
          <w:color w:val="070707"/>
        </w:rPr>
        <w:t>Termination</w:t>
      </w:r>
      <w:r>
        <w:rPr>
          <w:rFonts w:ascii="Times New Roman" w:cs="Times New Roman" w:eastAsia="Times New Roman" w:hAnsi="Times New Roman"/>
          <w:sz w:val="14"/>
          <w:szCs w:val="14"/>
          <w:color w:val="070707"/>
        </w:rPr>
        <w:t>, The Company may terminate the Executive's Employment at any time and for any reason (or no reason), with or w</w:t>
      </w:r>
      <w:r>
        <w:rPr>
          <w:rFonts w:ascii="Times New Roman" w:cs="Times New Roman" w:eastAsia="Times New Roman" w:hAnsi="Times New Roman"/>
          <w:sz w:val="14"/>
          <w:szCs w:val="14"/>
          <w:color w:val="1C1C1C"/>
        </w:rPr>
        <w:t>i</w:t>
      </w:r>
      <w:r>
        <w:rPr>
          <w:rFonts w:ascii="Times New Roman" w:cs="Times New Roman" w:eastAsia="Times New Roman" w:hAnsi="Times New Roman"/>
          <w:sz w:val="14"/>
          <w:szCs w:val="14"/>
          <w:color w:val="070707"/>
        </w:rPr>
        <w:t>thout Cause, by giving the Executive notice in writing. The Executive may terminate the Executive's Employment by giving the Company fourteen (14) days' advance notice in writing</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 xml:space="preserve"> The Executive</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s Employment shall terminate automatically in the event of the Executive's death. Notwithstanding anything to the contrary, upon the Executive</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s termination due to death or Disability</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 xml:space="preserve"> the Executive shall only be entitled to the payments and benefits provided under Section 5(c)(i)-(v) below</w:t>
      </w:r>
      <w:r>
        <w:rPr>
          <w:rFonts w:ascii="Times New Roman" w:cs="Times New Roman" w:eastAsia="Times New Roman" w:hAnsi="Times New Roman"/>
          <w:sz w:val="14"/>
          <w:szCs w:val="14"/>
          <w:color w:val="1C1C1C"/>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460"/>
          </w:cols>
          <w:pgMar w:left="220" w:top="460" w:right="219" w:bottom="1440" w:gutter="0" w:footer="0" w:header="0"/>
        </w:sectPr>
      </w:pPr>
    </w:p>
    <w:bookmarkStart w:id="56" w:name="page57"/>
    <w:bookmarkEnd w:id="56"/>
    <w:p>
      <w:pPr>
        <w:jc w:val="both"/>
        <w:ind w:firstLine="950"/>
        <w:spacing w:after="0" w:line="256" w:lineRule="auto"/>
        <w:tabs>
          <w:tab w:leader="none" w:pos="1134" w:val="left"/>
        </w:tabs>
        <w:numPr>
          <w:ilvl w:val="2"/>
          <w:numId w:val="33"/>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u w:val="single" w:color="auto"/>
          <w:color w:val="070707"/>
        </w:rPr>
        <w:t>Rights Upon Termination</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 xml:space="preserve"> In the event the Executive's Employment with the Company terminates for any reason, the Executive will be entitled to any (i) unpaid base salary accrued up to the effective date of termination, as well as unpaid, but accrued vacation; (ii) unpaid, but earned and accrued annual incentive; (iii) benefits or compensation as provided under the terms of any employee benefit and compensation agreements or plans applicable to the Executive; (iv) unreimbursed business expenses required to be reimbursed to the Executive; and (v) rights to </w:t>
      </w:r>
      <w:r>
        <w:rPr>
          <w:rFonts w:ascii="Times New Roman" w:cs="Times New Roman" w:eastAsia="Times New Roman" w:hAnsi="Times New Roman"/>
          <w:sz w:val="14"/>
          <w:szCs w:val="14"/>
          <w:color w:val="000000"/>
        </w:rPr>
        <w:t>indemnification the</w:t>
      </w:r>
      <w:r>
        <w:rPr>
          <w:rFonts w:ascii="Times New Roman" w:cs="Times New Roman" w:eastAsia="Times New Roman" w:hAnsi="Times New Roman"/>
          <w:sz w:val="14"/>
          <w:szCs w:val="14"/>
          <w:color w:val="070707"/>
        </w:rPr>
        <w:t xml:space="preserve"> </w:t>
      </w:r>
      <w:r>
        <w:rPr>
          <w:rFonts w:ascii="Times New Roman" w:cs="Times New Roman" w:eastAsia="Times New Roman" w:hAnsi="Times New Roman"/>
          <w:sz w:val="14"/>
          <w:szCs w:val="14"/>
          <w:color w:val="000000"/>
        </w:rPr>
        <w:t>Executive may have under the Company's Articles of Incorporation, Bylaws, the Agreement, or separate indemnification agreement, as applicable. Except as expressly provided in Section 6, upon the termination of the Executive</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070707"/>
        </w:rPr>
        <w:t>s Employment pursuant to this Section</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70707"/>
        </w:rPr>
        <w:t>5,</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070707"/>
        </w:rPr>
        <w:t>the Executive shall only be entitled to the compensation, benefits and reimbursements described in Sections 2, 3 and 4 for the period</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070707"/>
        </w:rPr>
        <w:t>preceding the effective date of the termination. The payments under this Agreement shall fully discharge all responsibilities of the Company to the Executive</w:t>
      </w:r>
      <w:r>
        <w:rPr>
          <w:rFonts w:ascii="Times New Roman" w:cs="Times New Roman" w:eastAsia="Times New Roman" w:hAnsi="Times New Roman"/>
          <w:sz w:val="14"/>
          <w:szCs w:val="14"/>
          <w:color w:val="1A1A1A"/>
        </w:rPr>
        <w:t>.</w:t>
      </w:r>
    </w:p>
    <w:p>
      <w:pPr>
        <w:spacing w:after="0" w:line="123" w:lineRule="exact"/>
        <w:rPr>
          <w:rFonts w:ascii="Times New Roman" w:cs="Times New Roman" w:eastAsia="Times New Roman" w:hAnsi="Times New Roman"/>
          <w:sz w:val="14"/>
          <w:szCs w:val="14"/>
          <w:color w:val="070707"/>
        </w:rPr>
      </w:pPr>
    </w:p>
    <w:p>
      <w:pPr>
        <w:ind w:left="1180" w:hanging="198"/>
        <w:spacing w:after="0"/>
        <w:tabs>
          <w:tab w:leader="none" w:pos="1180" w:val="left"/>
        </w:tabs>
        <w:numPr>
          <w:ilvl w:val="4"/>
          <w:numId w:val="33"/>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u w:val="single" w:color="auto"/>
          <w:color w:val="070707"/>
        </w:rPr>
        <w:t>Termination of Agreement</w:t>
      </w:r>
      <w:r>
        <w:rPr>
          <w:rFonts w:ascii="Times New Roman" w:cs="Times New Roman" w:eastAsia="Times New Roman" w:hAnsi="Times New Roman"/>
          <w:sz w:val="14"/>
          <w:szCs w:val="14"/>
          <w:color w:val="070707"/>
        </w:rPr>
        <w:t xml:space="preserve"> The termination of this Agreement shall not limit or otherwise affect any of the Executive's obligations under Section 7</w:t>
      </w:r>
      <w:r>
        <w:rPr>
          <w:rFonts w:ascii="Times New Roman" w:cs="Times New Roman" w:eastAsia="Times New Roman" w:hAnsi="Times New Roman"/>
          <w:sz w:val="14"/>
          <w:szCs w:val="14"/>
          <w:color w:val="1A1A1A"/>
        </w:rPr>
        <w:t>.</w:t>
      </w:r>
    </w:p>
    <w:p>
      <w:pPr>
        <w:spacing w:after="0" w:line="153" w:lineRule="exact"/>
        <w:rPr>
          <w:rFonts w:ascii="Times New Roman" w:cs="Times New Roman" w:eastAsia="Times New Roman" w:hAnsi="Times New Roman"/>
          <w:sz w:val="14"/>
          <w:szCs w:val="14"/>
          <w:color w:val="070707"/>
        </w:rPr>
      </w:pPr>
    </w:p>
    <w:p>
      <w:pPr>
        <w:ind w:left="620" w:hanging="141"/>
        <w:spacing w:after="0"/>
        <w:tabs>
          <w:tab w:leader="none" w:pos="620" w:val="left"/>
        </w:tabs>
        <w:numPr>
          <w:ilvl w:val="0"/>
          <w:numId w:val="34"/>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u w:val="single" w:color="auto"/>
          <w:color w:val="070707"/>
        </w:rPr>
        <w:t>Termination Benefits</w:t>
      </w:r>
      <w:r>
        <w:rPr>
          <w:rFonts w:ascii="Times New Roman" w:cs="Times New Roman" w:eastAsia="Times New Roman" w:hAnsi="Times New Roman"/>
          <w:sz w:val="14"/>
          <w:szCs w:val="14"/>
          <w:color w:val="070707"/>
        </w:rPr>
        <w:t>.</w:t>
      </w:r>
    </w:p>
    <w:p>
      <w:pPr>
        <w:spacing w:after="0" w:line="153" w:lineRule="exact"/>
        <w:rPr>
          <w:rFonts w:ascii="Times New Roman" w:cs="Times New Roman" w:eastAsia="Times New Roman" w:hAnsi="Times New Roman"/>
          <w:sz w:val="14"/>
          <w:szCs w:val="14"/>
          <w:color w:val="070707"/>
        </w:rPr>
      </w:pPr>
    </w:p>
    <w:p>
      <w:pPr>
        <w:jc w:val="both"/>
        <w:ind w:left="20" w:firstLine="951"/>
        <w:spacing w:after="0" w:line="253" w:lineRule="auto"/>
        <w:tabs>
          <w:tab w:leader="none" w:pos="1154" w:val="left"/>
        </w:tabs>
        <w:numPr>
          <w:ilvl w:val="3"/>
          <w:numId w:val="34"/>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u w:val="single" w:color="auto"/>
          <w:color w:val="070707"/>
        </w:rPr>
        <w:t>General Release Agreemen</w:t>
      </w:r>
      <w:r>
        <w:rPr>
          <w:rFonts w:ascii="Times New Roman" w:cs="Times New Roman" w:eastAsia="Times New Roman" w:hAnsi="Times New Roman"/>
          <w:sz w:val="14"/>
          <w:szCs w:val="14"/>
          <w:u w:val="single" w:color="auto"/>
          <w:color w:val="1A1A1A"/>
        </w:rPr>
        <w:t>t</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070707"/>
        </w:rPr>
        <w:t xml:space="preserve"> Any other provision of this Agreement notwithstanding</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070707"/>
        </w:rPr>
        <w:t xml:space="preserve"> </w:t>
      </w:r>
      <w:r>
        <w:rPr>
          <w:rFonts w:ascii="Times New Roman" w:cs="Times New Roman" w:eastAsia="Times New Roman" w:hAnsi="Times New Roman"/>
          <w:sz w:val="14"/>
          <w:szCs w:val="14"/>
          <w:color w:val="343434"/>
        </w:rPr>
        <w:t>'</w:t>
      </w:r>
      <w:r>
        <w:rPr>
          <w:rFonts w:ascii="Times New Roman" w:cs="Times New Roman" w:eastAsia="Times New Roman" w:hAnsi="Times New Roman"/>
          <w:sz w:val="14"/>
          <w:szCs w:val="14"/>
          <w:color w:val="070707"/>
        </w:rPr>
        <w:t>Subsections (b), (c) or (d) below shall not apply unless (i) the Executive has executed a General Release Agreement in a form prescribed by the Company which will include a provision whereby the Executive waives and releases with irrevocable effect all known and unknown claims that the Executive may then have against the Company or persons affiliated with the Company which are waivable under applicable law, and (ii) the Executive has pursuant to such General Release Agreement has agreed not to prosecute any legal action or other proceeding based upon any of such claims to the full extent permissible under applicable law, and (iii) the Executive has, pursuant to such General Release Agreement, acknowledged the Executive's continuing obligations under this Agreement and the EPIA referenced below, and (iv) the General Release Agreement has become effective and irrevocable within sixty (60) days following the date of the Executive's termination of Employment. Any benefits under this Agreement that would be considered deferred compensation under Section 409A of the Internal Revenue Code of 1986, as amended (the "Code") and the final regulations and official guidance promulgated thereunder ("Code Section 409A</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070707"/>
        </w:rPr>
        <w:t>) will be paid on</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070707"/>
        </w:rPr>
        <w:t xml:space="preserve"> or, in the case of installments, will not commence until, the sixtieth (60th) day following the Executive's separation from service</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070707"/>
        </w:rPr>
        <w:t xml:space="preserve"> or, if later, such time as required by Section 6(h) of this Agreement. Any installment payments that would have been made to the Executive during the sixty (60) day period immediately following the Execu</w:t>
      </w:r>
      <w:r>
        <w:rPr>
          <w:rFonts w:ascii="Times New Roman" w:cs="Times New Roman" w:eastAsia="Times New Roman" w:hAnsi="Times New Roman"/>
          <w:sz w:val="14"/>
          <w:szCs w:val="14"/>
          <w:color w:val="1A1A1A"/>
        </w:rPr>
        <w:t>t</w:t>
      </w:r>
      <w:r>
        <w:rPr>
          <w:rFonts w:ascii="Times New Roman" w:cs="Times New Roman" w:eastAsia="Times New Roman" w:hAnsi="Times New Roman"/>
          <w:sz w:val="14"/>
          <w:szCs w:val="14"/>
          <w:color w:val="070707"/>
        </w:rPr>
        <w:t>ive's separation from service but for the preceding sentence will be paid to the Executive on the sixtieth (60th) day following the Executive's separation from service, or, if later, such time as required by Section 6(i) of this Agreement and the remaining payments shall be made as provided in this Agreement.</w:t>
      </w:r>
    </w:p>
    <w:p>
      <w:pPr>
        <w:spacing w:after="0" w:line="114" w:lineRule="exact"/>
        <w:rPr>
          <w:rFonts w:ascii="Times New Roman" w:cs="Times New Roman" w:eastAsia="Times New Roman" w:hAnsi="Times New Roman"/>
          <w:sz w:val="14"/>
          <w:szCs w:val="14"/>
          <w:color w:val="070707"/>
        </w:rPr>
      </w:pPr>
    </w:p>
    <w:p>
      <w:pPr>
        <w:jc w:val="both"/>
        <w:ind w:firstLine="950"/>
        <w:spacing w:after="0" w:line="287" w:lineRule="auto"/>
        <w:tabs>
          <w:tab w:leader="none" w:pos="1141" w:val="left"/>
        </w:tabs>
        <w:numPr>
          <w:ilvl w:val="2"/>
          <w:numId w:val="34"/>
        </w:numPr>
        <w:rPr>
          <w:rFonts w:ascii="Times New Roman" w:cs="Times New Roman" w:eastAsia="Times New Roman" w:hAnsi="Times New Roman"/>
          <w:sz w:val="13"/>
          <w:szCs w:val="13"/>
          <w:color w:val="070707"/>
        </w:rPr>
      </w:pPr>
      <w:r>
        <w:rPr>
          <w:rFonts w:ascii="Times New Roman" w:cs="Times New Roman" w:eastAsia="Times New Roman" w:hAnsi="Times New Roman"/>
          <w:sz w:val="13"/>
          <w:szCs w:val="13"/>
          <w:u w:val="single" w:color="auto"/>
          <w:color w:val="070707"/>
        </w:rPr>
        <w:t>Apart From a Change of Control</w:t>
      </w:r>
      <w:r>
        <w:rPr>
          <w:rFonts w:ascii="Times New Roman" w:cs="Times New Roman" w:eastAsia="Times New Roman" w:hAnsi="Times New Roman"/>
          <w:sz w:val="13"/>
          <w:szCs w:val="13"/>
          <w:color w:val="070707"/>
        </w:rPr>
        <w:t>. If, during the term of this Agreement, and not in connection with a Change of Control as addressed in Section 6(c) below, the Company terminates the Executive's Employment other than for Cause, death or Disability, or the Executive resigns for Good Reason</w:t>
      </w:r>
      <w:r>
        <w:rPr>
          <w:rFonts w:ascii="Times New Roman" w:cs="Times New Roman" w:eastAsia="Times New Roman" w:hAnsi="Times New Roman"/>
          <w:sz w:val="13"/>
          <w:szCs w:val="13"/>
          <w:color w:val="1A1A1A"/>
        </w:rPr>
        <w:t>,</w:t>
      </w:r>
      <w:r>
        <w:rPr>
          <w:rFonts w:ascii="Times New Roman" w:cs="Times New Roman" w:eastAsia="Times New Roman" w:hAnsi="Times New Roman"/>
          <w:sz w:val="13"/>
          <w:szCs w:val="13"/>
          <w:color w:val="070707"/>
        </w:rPr>
        <w:t xml:space="preserve"> then, subject to Section 6(a), the Company shall pay the Executive, in a lump sum upon the effectiveness of the General Release to be executed by the Executive in accordance with Section 6(a) above, an amount equal to one year's Base Salary at the rate in effect at the time of the termination of Employment (or if the termination is due to a resignation for Good Reason based on a material reduction in Base Salary, then the Executive's Base Salary in effect immediately prior to such reduction).</w:t>
      </w:r>
    </w:p>
    <w:p>
      <w:pPr>
        <w:spacing w:after="0" w:line="113" w:lineRule="exact"/>
        <w:rPr>
          <w:rFonts w:ascii="Times New Roman" w:cs="Times New Roman" w:eastAsia="Times New Roman" w:hAnsi="Times New Roman"/>
          <w:sz w:val="13"/>
          <w:szCs w:val="13"/>
          <w:color w:val="070707"/>
        </w:rPr>
      </w:pPr>
    </w:p>
    <w:p>
      <w:pPr>
        <w:ind w:left="1140" w:hanging="190"/>
        <w:spacing w:after="0"/>
        <w:tabs>
          <w:tab w:leader="none" w:pos="1140" w:val="left"/>
        </w:tabs>
        <w:numPr>
          <w:ilvl w:val="2"/>
          <w:numId w:val="34"/>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u w:val="single" w:color="auto"/>
          <w:color w:val="070707"/>
        </w:rPr>
        <w:t>In Connection With a Change of Control</w:t>
      </w:r>
      <w:r>
        <w:rPr>
          <w:rFonts w:ascii="Times New Roman" w:cs="Times New Roman" w:eastAsia="Times New Roman" w:hAnsi="Times New Roman"/>
          <w:sz w:val="14"/>
          <w:szCs w:val="14"/>
          <w:color w:val="070707"/>
        </w:rPr>
        <w:t>. If within eighteen (18) months following the occurrence of the Change of Control, one of the following events occurs</w:t>
      </w:r>
      <w:r>
        <w:rPr>
          <w:rFonts w:ascii="Times New Roman" w:cs="Times New Roman" w:eastAsia="Times New Roman" w:hAnsi="Times New Roman"/>
          <w:sz w:val="14"/>
          <w:szCs w:val="14"/>
          <w:color w:val="1A1A1A"/>
        </w:rPr>
        <w:t>:</w:t>
      </w:r>
    </w:p>
    <w:p>
      <w:pPr>
        <w:spacing w:after="0" w:line="38" w:lineRule="exact"/>
        <w:rPr>
          <w:rFonts w:ascii="Times New Roman" w:cs="Times New Roman" w:eastAsia="Times New Roman" w:hAnsi="Times New Roman"/>
          <w:sz w:val="14"/>
          <w:szCs w:val="14"/>
          <w:color w:val="070707"/>
        </w:rPr>
      </w:pPr>
    </w:p>
    <w:p>
      <w:pPr>
        <w:ind w:left="800" w:hanging="164"/>
        <w:spacing w:after="0"/>
        <w:tabs>
          <w:tab w:leader="none" w:pos="80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Executive's Employment is terminated by the Co</w:t>
      </w:r>
      <w:r>
        <w:rPr>
          <w:rFonts w:ascii="Times New Roman" w:cs="Times New Roman" w:eastAsia="Times New Roman" w:hAnsi="Times New Roman"/>
          <w:sz w:val="14"/>
          <w:szCs w:val="14"/>
          <w:color w:val="1A1A1A"/>
        </w:rPr>
        <w:t>m</w:t>
      </w:r>
      <w:r>
        <w:rPr>
          <w:rFonts w:ascii="Times New Roman" w:cs="Times New Roman" w:eastAsia="Times New Roman" w:hAnsi="Times New Roman"/>
          <w:sz w:val="14"/>
          <w:szCs w:val="14"/>
          <w:color w:val="070707"/>
        </w:rPr>
        <w:t>pany (or its successor) other than for Cause, death or Disability, o</w:t>
      </w:r>
      <w:r>
        <w:rPr>
          <w:rFonts w:ascii="Times New Roman" w:cs="Times New Roman" w:eastAsia="Times New Roman" w:hAnsi="Times New Roman"/>
          <w:sz w:val="14"/>
          <w:szCs w:val="14"/>
          <w:color w:val="1A1A1A"/>
        </w:rPr>
        <w:t>r</w:t>
      </w:r>
    </w:p>
    <w:p>
      <w:pPr>
        <w:spacing w:after="0" w:line="164" w:lineRule="exact"/>
        <w:rPr>
          <w:rFonts w:ascii="Times New Roman" w:cs="Times New Roman" w:eastAsia="Times New Roman" w:hAnsi="Times New Roman"/>
          <w:sz w:val="14"/>
          <w:szCs w:val="14"/>
          <w:color w:val="auto"/>
        </w:rPr>
      </w:pPr>
    </w:p>
    <w:p>
      <w:pPr>
        <w:ind w:left="840" w:hanging="204"/>
        <w:spacing w:after="0"/>
        <w:tabs>
          <w:tab w:leader="none" w:pos="840" w:val="left"/>
        </w:tabs>
        <w:numPr>
          <w:ilvl w:val="1"/>
          <w:numId w:val="34"/>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color w:val="070707"/>
        </w:rPr>
        <w:t>the Executive resigns for Good Reason</w:t>
      </w:r>
      <w:r>
        <w:rPr>
          <w:rFonts w:ascii="Times New Roman" w:cs="Times New Roman" w:eastAsia="Times New Roman" w:hAnsi="Times New Roman"/>
          <w:sz w:val="14"/>
          <w:szCs w:val="14"/>
          <w:color w:val="313131"/>
        </w:rPr>
        <w:t>,</w:t>
      </w:r>
    </w:p>
    <w:p>
      <w:pPr>
        <w:spacing w:after="0" w:line="154" w:lineRule="exact"/>
        <w:rPr>
          <w:sz w:val="20"/>
          <w:szCs w:val="20"/>
          <w:color w:val="auto"/>
        </w:rPr>
      </w:pPr>
    </w:p>
    <w:p>
      <w:pPr>
        <w:jc w:val="both"/>
        <w:ind w:left="80" w:firstLine="860"/>
        <w:spacing w:after="0" w:line="266" w:lineRule="auto"/>
        <w:rPr>
          <w:sz w:val="20"/>
          <w:szCs w:val="20"/>
          <w:color w:val="auto"/>
        </w:rPr>
      </w:pPr>
      <w:r>
        <w:rPr>
          <w:rFonts w:ascii="Times New Roman" w:cs="Times New Roman" w:eastAsia="Times New Roman" w:hAnsi="Times New Roman"/>
          <w:sz w:val="14"/>
          <w:szCs w:val="14"/>
          <w:color w:val="070707"/>
        </w:rPr>
        <w:t>then, in lieu of any payments or benefits under Section 6(b) above and subject to Section 6(a)</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070707"/>
        </w:rPr>
        <w:t xml:space="preserve"> the Executive shall immediately conditionally vest as to all shares under all outstanding equity awards that are subject to vesting conditions based solely on continued employment or service</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070707"/>
        </w:rPr>
        <w:t xml:space="preserve"> subject to the Executive's execution of the General Release Agreement described above with irrevocable effect and suspension of exercise rights with respect to such conditionally vested shares until such execution</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070707"/>
        </w:rPr>
        <w:t xml:space="preserve"> and the Company shall pay the Executive</w:t>
      </w:r>
      <w:r>
        <w:rPr>
          <w:rFonts w:ascii="Times New Roman" w:cs="Times New Roman" w:eastAsia="Times New Roman" w:hAnsi="Times New Roman"/>
          <w:sz w:val="14"/>
          <w:szCs w:val="14"/>
          <w:color w:val="313131"/>
        </w:rPr>
        <w:t>,</w:t>
      </w:r>
      <w:r>
        <w:rPr>
          <w:rFonts w:ascii="Times New Roman" w:cs="Times New Roman" w:eastAsia="Times New Roman" w:hAnsi="Times New Roman"/>
          <w:sz w:val="14"/>
          <w:szCs w:val="14"/>
          <w:color w:val="070707"/>
        </w:rPr>
        <w:t xml:space="preserve"> in a lump sum, an</w:t>
      </w:r>
    </w:p>
    <w:p>
      <w:pPr>
        <w:spacing w:after="0" w:line="15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400"/>
          </w:cols>
          <w:pgMar w:left="280" w:top="471" w:right="219" w:bottom="1440" w:gutter="0" w:footer="0" w:header="0"/>
        </w:sectPr>
      </w:pPr>
    </w:p>
    <w:bookmarkStart w:id="57" w:name="page58"/>
    <w:bookmarkEnd w:id="57"/>
    <w:p>
      <w:pPr>
        <w:jc w:val="both"/>
        <w:ind w:left="140"/>
        <w:spacing w:after="0" w:line="260" w:lineRule="auto"/>
        <w:rPr>
          <w:sz w:val="20"/>
          <w:szCs w:val="20"/>
          <w:color w:val="auto"/>
        </w:rPr>
      </w:pPr>
      <w:r>
        <w:rPr>
          <w:rFonts w:ascii="Times New Roman" w:cs="Times New Roman" w:eastAsia="Times New Roman" w:hAnsi="Times New Roman"/>
          <w:sz w:val="14"/>
          <w:szCs w:val="14"/>
          <w:color w:val="070707"/>
        </w:rPr>
        <w:t>amount equal to: (x) the then current year's Target Bonus prorated for the number of days of the Executive is employed in said year; (y) one year's Base Salary (or if the termination is due to a resignation for Good Reason based on a material reduction in Base Salary, then the Executive's Base Salary in effect immediately prior to such reduction)</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070707"/>
        </w:rPr>
        <w:t xml:space="preserve"> and (z) the greater of the then-current year's Target Bonus (or if the termination is due to a resignation for Good Reason based on a material reduction in Target Bonus</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070707"/>
        </w:rPr>
        <w:t xml:space="preserve"> then the Executive's Target Bonus in effect immediately prior to such reduction) or the actual prior year's Annual Bonus. The Executive's Base Salary shall be paid at the rate in effect at the time of the termination of Employment.</w:t>
      </w:r>
    </w:p>
    <w:p>
      <w:pPr>
        <w:spacing w:after="0" w:line="120" w:lineRule="exact"/>
        <w:rPr>
          <w:sz w:val="20"/>
          <w:szCs w:val="20"/>
          <w:color w:val="auto"/>
        </w:rPr>
      </w:pPr>
    </w:p>
    <w:p>
      <w:pPr>
        <w:jc w:val="both"/>
        <w:ind w:left="100" w:firstLine="889"/>
        <w:spacing w:after="0" w:line="254" w:lineRule="auto"/>
        <w:tabs>
          <w:tab w:leader="none" w:pos="1178" w:val="left"/>
        </w:tabs>
        <w:numPr>
          <w:ilvl w:val="2"/>
          <w:numId w:val="35"/>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u w:val="single" w:color="auto"/>
          <w:color w:val="070707"/>
        </w:rPr>
        <w:t>Health Insurance</w:t>
      </w:r>
      <w:r>
        <w:rPr>
          <w:rFonts w:ascii="Times New Roman" w:cs="Times New Roman" w:eastAsia="Times New Roman" w:hAnsi="Times New Roman"/>
          <w:sz w:val="14"/>
          <w:szCs w:val="14"/>
          <w:color w:val="070707"/>
        </w:rPr>
        <w:t xml:space="preserve">. If Section 6(b) or (c) above applies, and if the Executive timely elects to continue the Executive's health insurance coverage under the Consolidated Omnibus Budget Reconciliation Act of 1985, as amended </w:t>
      </w:r>
      <w:r>
        <w:rPr>
          <w:rFonts w:ascii="Times New Roman" w:cs="Times New Roman" w:eastAsia="Times New Roman" w:hAnsi="Times New Roman"/>
          <w:sz w:val="14"/>
          <w:szCs w:val="14"/>
          <w:b w:val="1"/>
          <w:bCs w:val="1"/>
          <w:color w:val="070707"/>
        </w:rPr>
        <w:t>("COBRA"),</w:t>
      </w:r>
      <w:r>
        <w:rPr>
          <w:rFonts w:ascii="Times New Roman" w:cs="Times New Roman" w:eastAsia="Times New Roman" w:hAnsi="Times New Roman"/>
          <w:sz w:val="14"/>
          <w:szCs w:val="14"/>
          <w:color w:val="070707"/>
        </w:rPr>
        <w:t xml:space="preserve"> following the termination of Employment, then subject to Section 6(a)</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070707"/>
        </w:rPr>
        <w:t xml:space="preserve"> the Company shall pay the Executive's monthly premium under COBRA for COBRA coverage for the Executive until the earliest of (i) 12 months following the termination of the Executive's Employment, or (ii) the date upon which the Executive commences employment with an entity othe</w:t>
      </w:r>
      <w:r>
        <w:rPr>
          <w:rFonts w:ascii="Times New Roman" w:cs="Times New Roman" w:eastAsia="Times New Roman" w:hAnsi="Times New Roman"/>
          <w:sz w:val="14"/>
          <w:szCs w:val="14"/>
          <w:color w:val="1A1A1A"/>
        </w:rPr>
        <w:t>r</w:t>
      </w:r>
      <w:r>
        <w:rPr>
          <w:rFonts w:ascii="Times New Roman" w:cs="Times New Roman" w:eastAsia="Times New Roman" w:hAnsi="Times New Roman"/>
          <w:sz w:val="14"/>
          <w:szCs w:val="14"/>
          <w:color w:val="070707"/>
        </w:rPr>
        <w:t xml:space="preserve"> than the Company. In addition, and notwithstanding anything to the contrary in this Section 6, if the Company determines in its sole discretion that it cannot provide the COBRA benefits without potentially violating applicable law (including, without limitation, Section2716 of the Public Health Service Act)</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070707"/>
        </w:rPr>
        <w:t xml:space="preserve"> the Company will in lieu thereof provide to the Executive a taxable lump sum payment in an amount equal to the monthly COBRA premium that the Executive would be required to pay to continue the Executive's group health coverage in effect on the date of the Executive's termination of Employment (which amount will be based on the premium for the first month of COBRA coverage) for 12 months following the termination, which payment will be made regardless of whether the Executive elects COBRA continuation coverage</w:t>
      </w:r>
      <w:r>
        <w:rPr>
          <w:rFonts w:ascii="Times New Roman" w:cs="Times New Roman" w:eastAsia="Times New Roman" w:hAnsi="Times New Roman"/>
          <w:sz w:val="14"/>
          <w:szCs w:val="14"/>
          <w:color w:val="313131"/>
        </w:rPr>
        <w:t>.</w:t>
      </w:r>
    </w:p>
    <w:p>
      <w:pPr>
        <w:spacing w:after="0" w:line="125" w:lineRule="exact"/>
        <w:rPr>
          <w:rFonts w:ascii="Times New Roman" w:cs="Times New Roman" w:eastAsia="Times New Roman" w:hAnsi="Times New Roman"/>
          <w:sz w:val="14"/>
          <w:szCs w:val="14"/>
          <w:color w:val="070707"/>
        </w:rPr>
      </w:pPr>
    </w:p>
    <w:p>
      <w:pPr>
        <w:ind w:left="1180" w:hanging="191"/>
        <w:spacing w:after="0"/>
        <w:tabs>
          <w:tab w:leader="none" w:pos="1180" w:val="left"/>
        </w:tabs>
        <w:numPr>
          <w:ilvl w:val="2"/>
          <w:numId w:val="35"/>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u w:val="single" w:color="auto"/>
          <w:color w:val="070707"/>
        </w:rPr>
        <w:t>Definition of "Cause."</w:t>
      </w:r>
      <w:r>
        <w:rPr>
          <w:rFonts w:ascii="Times New Roman" w:cs="Times New Roman" w:eastAsia="Times New Roman" w:hAnsi="Times New Roman"/>
          <w:sz w:val="14"/>
          <w:szCs w:val="14"/>
          <w:color w:val="070707"/>
        </w:rPr>
        <w:t xml:space="preserve"> For all purposes under this Agreement, "Cause" shall mean any of the following:</w:t>
      </w:r>
    </w:p>
    <w:p>
      <w:pPr>
        <w:spacing w:after="0" w:line="143" w:lineRule="exact"/>
        <w:rPr>
          <w:rFonts w:ascii="Times New Roman" w:cs="Times New Roman" w:eastAsia="Times New Roman" w:hAnsi="Times New Roman"/>
          <w:sz w:val="14"/>
          <w:szCs w:val="14"/>
          <w:color w:val="070707"/>
        </w:rPr>
      </w:pPr>
    </w:p>
    <w:p>
      <w:pPr>
        <w:ind w:left="800" w:hanging="167"/>
        <w:spacing w:after="0"/>
        <w:tabs>
          <w:tab w:leader="none" w:pos="800" w:val="left"/>
        </w:tabs>
        <w:numPr>
          <w:ilvl w:val="1"/>
          <w:numId w:val="36"/>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color w:val="070707"/>
        </w:rPr>
        <w:t>Unauthorized use or disclosure of the confidential information or trade secrets of the Company;</w:t>
      </w:r>
    </w:p>
    <w:p>
      <w:pPr>
        <w:spacing w:after="0" w:line="195" w:lineRule="exact"/>
        <w:rPr>
          <w:rFonts w:ascii="Times New Roman" w:cs="Times New Roman" w:eastAsia="Times New Roman" w:hAnsi="Times New Roman"/>
          <w:sz w:val="14"/>
          <w:szCs w:val="14"/>
          <w:color w:val="070707"/>
        </w:rPr>
      </w:pPr>
    </w:p>
    <w:p>
      <w:pPr>
        <w:ind w:left="200" w:hanging="196"/>
        <w:spacing w:after="0"/>
        <w:tabs>
          <w:tab w:leader="none" w:pos="200" w:val="left"/>
        </w:tabs>
        <w:numPr>
          <w:ilvl w:val="0"/>
          <w:numId w:val="37"/>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color w:val="070707"/>
        </w:rPr>
        <w:t>Any breach of this Agreement or the EPIA between the Executive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70707"/>
        </w:rPr>
        <w:t>(iii)Conviction of, or a plea of "guilty" or "no contest" to, a felony under the laws of the United States or any state thereof</w:t>
      </w:r>
      <w:r>
        <w:rPr>
          <w:rFonts w:ascii="Times New Roman" w:cs="Times New Roman" w:eastAsia="Times New Roman" w:hAnsi="Times New Roman"/>
          <w:sz w:val="14"/>
          <w:szCs w:val="14"/>
          <w:color w:val="1A1A1A"/>
        </w:rPr>
        <w:t>;</w:t>
      </w:r>
    </w:p>
    <w:p>
      <w:pPr>
        <w:spacing w:after="0" w:line="2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(iv)Misappropriation of the assets of the Company or any act of fraud or embezzlement by the Executive, or any act of dishonesty by the Executive in connection with the performance of his duties for the Company that adversely affects the business or affairs of the Company</w:t>
      </w:r>
      <w:r>
        <w:rPr>
          <w:rFonts w:ascii="Times New Roman" w:cs="Times New Roman" w:eastAsia="Times New Roman" w:hAnsi="Times New Roman"/>
          <w:sz w:val="14"/>
          <w:szCs w:val="14"/>
          <w:color w:val="1D1D1D"/>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70707"/>
        </w:rPr>
        <w:t>(v) Intentional misconduct; or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70707"/>
        </w:rPr>
        <w:t>(vi)The Executive's failure to satisfactorily perform the Executive's duties after having received written notice of such failure and at least thirty (30) days to cure such failure</w:t>
      </w:r>
      <w:r>
        <w:rPr>
          <w:rFonts w:ascii="Times New Roman" w:cs="Times New Roman" w:eastAsia="Times New Roman" w:hAnsi="Times New Roman"/>
          <w:sz w:val="14"/>
          <w:szCs w:val="14"/>
          <w:color w:val="1D1D1D"/>
        </w:rPr>
        <w:t>.</w:t>
      </w:r>
    </w:p>
    <w:p>
      <w:pPr>
        <w:spacing w:after="0" w:line="154" w:lineRule="exact"/>
        <w:rPr>
          <w:sz w:val="20"/>
          <w:szCs w:val="20"/>
          <w:color w:val="auto"/>
        </w:rPr>
      </w:pPr>
    </w:p>
    <w:p>
      <w:pPr>
        <w:ind w:left="1200" w:hanging="169"/>
        <w:spacing w:after="0"/>
        <w:tabs>
          <w:tab w:leader="none" w:pos="1200" w:val="left"/>
        </w:tabs>
        <w:numPr>
          <w:ilvl w:val="1"/>
          <w:numId w:val="38"/>
        </w:numPr>
        <w:rPr>
          <w:rFonts w:ascii="Times New Roman" w:cs="Times New Roman" w:eastAsia="Times New Roman" w:hAnsi="Times New Roman"/>
          <w:sz w:val="14"/>
          <w:szCs w:val="14"/>
          <w:u w:val="single" w:color="auto"/>
          <w:color w:val="070707"/>
        </w:rPr>
      </w:pPr>
      <w:r>
        <w:rPr>
          <w:rFonts w:ascii="Times New Roman" w:cs="Times New Roman" w:eastAsia="Times New Roman" w:hAnsi="Times New Roman"/>
          <w:sz w:val="14"/>
          <w:szCs w:val="14"/>
          <w:u w:val="single" w:color="auto"/>
          <w:color w:val="070707"/>
        </w:rPr>
        <w:t>Definition of "Disability."</w:t>
      </w:r>
      <w:r>
        <w:rPr>
          <w:rFonts w:ascii="Times New Roman" w:cs="Times New Roman" w:eastAsia="Times New Roman" w:hAnsi="Times New Roman"/>
          <w:sz w:val="14"/>
          <w:szCs w:val="14"/>
          <w:color w:val="070707"/>
        </w:rPr>
        <w:t xml:space="preserve"> For all purposes under this Agreement, "Disability" shall mean a disability under Section 22( e)(3) of the Code.</w:t>
      </w:r>
    </w:p>
    <w:p>
      <w:pPr>
        <w:spacing w:after="0" w:line="153" w:lineRule="exact"/>
        <w:rPr>
          <w:rFonts w:ascii="Times New Roman" w:cs="Times New Roman" w:eastAsia="Times New Roman" w:hAnsi="Times New Roman"/>
          <w:sz w:val="14"/>
          <w:szCs w:val="14"/>
          <w:u w:val="single" w:color="auto"/>
          <w:color w:val="070707"/>
        </w:rPr>
      </w:pPr>
    </w:p>
    <w:p>
      <w:pPr>
        <w:jc w:val="both"/>
        <w:ind w:left="60" w:firstLine="950"/>
        <w:spacing w:after="0" w:line="266" w:lineRule="auto"/>
        <w:tabs>
          <w:tab w:leader="none" w:pos="1212" w:val="left"/>
        </w:tabs>
        <w:numPr>
          <w:ilvl w:val="1"/>
          <w:numId w:val="38"/>
        </w:numPr>
        <w:rPr>
          <w:rFonts w:ascii="Times New Roman" w:cs="Times New Roman" w:eastAsia="Times New Roman" w:hAnsi="Times New Roman"/>
          <w:sz w:val="14"/>
          <w:szCs w:val="14"/>
          <w:u w:val="single" w:color="auto"/>
          <w:color w:val="070707"/>
        </w:rPr>
      </w:pPr>
      <w:r>
        <w:rPr>
          <w:rFonts w:ascii="Times New Roman" w:cs="Times New Roman" w:eastAsia="Times New Roman" w:hAnsi="Times New Roman"/>
          <w:sz w:val="14"/>
          <w:szCs w:val="14"/>
          <w:u w:val="single" w:color="auto"/>
          <w:color w:val="070707"/>
        </w:rPr>
        <w:t>Definition of "Good Reason."</w:t>
      </w:r>
      <w:r>
        <w:rPr>
          <w:rFonts w:ascii="Times New Roman" w:cs="Times New Roman" w:eastAsia="Times New Roman" w:hAnsi="Times New Roman"/>
          <w:sz w:val="14"/>
          <w:szCs w:val="14"/>
          <w:color w:val="070707"/>
        </w:rPr>
        <w:t xml:space="preserve"> Except as noted below, for all purposes under this Agreement, subject to the notice and cure period requirements described below, the Executive's resignation for "Good Reason" shall mean the Executive's resignation upon written notice to the Company delivered within ninety (90) days after the occurrence of any one or more of the following events without the Executive's consent:</w:t>
      </w:r>
    </w:p>
    <w:p>
      <w:pPr>
        <w:spacing w:after="0" w:line="156" w:lineRule="exact"/>
        <w:rPr>
          <w:rFonts w:ascii="Times New Roman" w:cs="Times New Roman" w:eastAsia="Times New Roman" w:hAnsi="Times New Roman"/>
          <w:sz w:val="14"/>
          <w:szCs w:val="14"/>
          <w:u w:val="single" w:color="auto"/>
          <w:color w:val="070707"/>
        </w:rPr>
      </w:pPr>
    </w:p>
    <w:p>
      <w:pPr>
        <w:ind w:left="180" w:hanging="176"/>
        <w:spacing w:after="0"/>
        <w:tabs>
          <w:tab w:leader="none" w:pos="180" w:val="left"/>
        </w:tabs>
        <w:numPr>
          <w:ilvl w:val="0"/>
          <w:numId w:val="39"/>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color w:val="070707"/>
        </w:rPr>
        <w:t>The Executive's position, authority or responsibilities being materially reduced;</w:t>
      </w:r>
    </w:p>
    <w:p>
      <w:pPr>
        <w:spacing w:after="0" w:line="27" w:lineRule="exact"/>
        <w:rPr>
          <w:rFonts w:ascii="Times New Roman" w:cs="Times New Roman" w:eastAsia="Times New Roman" w:hAnsi="Times New Roman"/>
          <w:sz w:val="14"/>
          <w:szCs w:val="14"/>
          <w:color w:val="070707"/>
        </w:rPr>
      </w:pPr>
    </w:p>
    <w:p>
      <w:pPr>
        <w:ind w:firstLine="4"/>
        <w:spacing w:after="0" w:line="265" w:lineRule="auto"/>
        <w:tabs>
          <w:tab w:leader="none" w:pos="211" w:val="left"/>
        </w:tabs>
        <w:numPr>
          <w:ilvl w:val="0"/>
          <w:numId w:val="39"/>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color w:val="070707"/>
        </w:rPr>
        <w:t>the Executive being asked to relocate the Executive's principal place of Employment such that the Executive's commuting distance from the Executive's residence prior to such relocation is increased by over thirty</w:t>
      </w:r>
      <w:r>
        <w:rPr>
          <w:rFonts w:ascii="Times New Roman" w:cs="Times New Roman" w:eastAsia="Times New Roman" w:hAnsi="Times New Roman"/>
          <w:sz w:val="14"/>
          <w:szCs w:val="14"/>
          <w:color w:val="1D1D1D"/>
        </w:rPr>
        <w:t>-</w:t>
      </w:r>
      <w:r>
        <w:rPr>
          <w:rFonts w:ascii="Times New Roman" w:cs="Times New Roman" w:eastAsia="Times New Roman" w:hAnsi="Times New Roman"/>
          <w:sz w:val="14"/>
          <w:szCs w:val="14"/>
          <w:color w:val="070707"/>
        </w:rPr>
        <w:t>five (35) miles;</w:t>
      </w:r>
    </w:p>
    <w:p>
      <w:pPr>
        <w:ind w:right="6700"/>
        <w:spacing w:after="0" w:line="297" w:lineRule="auto"/>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color w:val="070707"/>
        </w:rPr>
        <w:t>(iii)The Executive's annual Base Salary or Target Bonus being materially reduced; or (iv)The Executive</w:t>
      </w:r>
      <w:r>
        <w:rPr>
          <w:rFonts w:ascii="Times New Roman" w:cs="Times New Roman" w:eastAsia="Times New Roman" w:hAnsi="Times New Roman"/>
          <w:sz w:val="14"/>
          <w:szCs w:val="14"/>
          <w:color w:val="1D1D1D"/>
        </w:rPr>
        <w:t>'</w:t>
      </w:r>
      <w:r>
        <w:rPr>
          <w:rFonts w:ascii="Times New Roman" w:cs="Times New Roman" w:eastAsia="Times New Roman" w:hAnsi="Times New Roman"/>
          <w:sz w:val="14"/>
          <w:szCs w:val="14"/>
          <w:color w:val="070707"/>
        </w:rPr>
        <w:t>s benefits being materially reduced.</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070707"/>
        </w:rPr>
        <w:t>The Executive shall provide written notice to the Company at least thirty (30) days prior to the effective date of the Executive's resignation, ident</w:t>
      </w:r>
      <w:r>
        <w:rPr>
          <w:rFonts w:ascii="Times New Roman" w:cs="Times New Roman" w:eastAsia="Times New Roman" w:hAnsi="Times New Roman"/>
          <w:sz w:val="14"/>
          <w:szCs w:val="14"/>
          <w:color w:val="1D1D1D"/>
        </w:rPr>
        <w:t>i</w:t>
      </w:r>
      <w:r>
        <w:rPr>
          <w:rFonts w:ascii="Times New Roman" w:cs="Times New Roman" w:eastAsia="Times New Roman" w:hAnsi="Times New Roman"/>
          <w:sz w:val="14"/>
          <w:szCs w:val="14"/>
          <w:color w:val="070707"/>
        </w:rPr>
        <w:t>fying the event or events the Executive claims constitute Good Reason and describing in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460"/>
          </w:cols>
          <w:pgMar w:left="220" w:top="314" w:right="219" w:bottom="1440" w:gutter="0" w:footer="0" w:header="0"/>
        </w:sectPr>
      </w:pPr>
    </w:p>
    <w:bookmarkStart w:id="58" w:name="page59"/>
    <w:bookmarkEnd w:id="58"/>
    <w:p>
      <w:pPr>
        <w:jc w:val="both"/>
        <w:spacing w:after="0" w:line="256" w:lineRule="auto"/>
        <w:rPr>
          <w:sz w:val="20"/>
          <w:szCs w:val="20"/>
          <w:color w:val="auto"/>
        </w:rPr>
      </w:pPr>
      <w:r>
        <w:rPr>
          <w:rFonts w:ascii="Times New Roman" w:cs="Times New Roman" w:eastAsia="Times New Roman" w:hAnsi="Times New Roman"/>
          <w:sz w:val="14"/>
          <w:szCs w:val="14"/>
          <w:color w:val="070707"/>
        </w:rPr>
        <w:t>reasonable detail the fact supporting the claim</w:t>
      </w:r>
      <w:r>
        <w:rPr>
          <w:rFonts w:ascii="Times New Roman" w:cs="Times New Roman" w:eastAsia="Times New Roman" w:hAnsi="Times New Roman"/>
          <w:sz w:val="14"/>
          <w:szCs w:val="14"/>
          <w:color w:val="1D1D1D"/>
        </w:rPr>
        <w:t>.</w:t>
      </w:r>
      <w:r>
        <w:rPr>
          <w:rFonts w:ascii="Times New Roman" w:cs="Times New Roman" w:eastAsia="Times New Roman" w:hAnsi="Times New Roman"/>
          <w:sz w:val="14"/>
          <w:szCs w:val="14"/>
          <w:color w:val="070707"/>
        </w:rPr>
        <w:t xml:space="preserve"> The Company shall have at least thirty (30) days to take action to remedy the condition claimed by the Executive as Good Reason, but shall have no obligation to take such action. In the event the Company remedies the condition then Good Reason shall be deemed not to exist. At the expiration of the remedial period and prior to the effective date of the Executive's resignation, the Executive shall provide written notice to the Company, stating whether the Executive (A) withdraws the Executive's resignation based on the Company's remedy of the condition, (B) chooses to resign anyway notwithstanding such remedy, or (C) claims the condition has not been remedied and chooses to resign based on a claim of Good Reason. In the absence of such notice, the Executives resignation shall become effective and the Executive shall be deemed to have resigned without Good Reason. Notwithstanding the foregoing, </w:t>
      </w:r>
      <w:r>
        <w:rPr>
          <w:rFonts w:ascii="Times New Roman" w:cs="Times New Roman" w:eastAsia="Times New Roman" w:hAnsi="Times New Roman"/>
          <w:sz w:val="14"/>
          <w:szCs w:val="14"/>
          <w:color w:val="545454"/>
        </w:rPr>
        <w:t>.</w:t>
      </w:r>
      <w:r>
        <w:rPr>
          <w:rFonts w:ascii="Times New Roman" w:cs="Times New Roman" w:eastAsia="Times New Roman" w:hAnsi="Times New Roman"/>
          <w:sz w:val="14"/>
          <w:szCs w:val="14"/>
          <w:color w:val="070707"/>
        </w:rPr>
        <w:t>in order for the Executive's resignation to be for Good Reason, the Executive must resign within six (6) months following the initial existence of the event(s) constituting Good Reason.</w:t>
      </w:r>
    </w:p>
    <w:p>
      <w:pPr>
        <w:spacing w:after="0" w:line="184" w:lineRule="exact"/>
        <w:rPr>
          <w:sz w:val="20"/>
          <w:szCs w:val="20"/>
          <w:color w:val="auto"/>
        </w:rPr>
      </w:pPr>
    </w:p>
    <w:p>
      <w:pPr>
        <w:ind w:left="1200" w:hanging="190"/>
        <w:spacing w:after="0"/>
        <w:tabs>
          <w:tab w:leader="none" w:pos="120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 of "Change of Control.</w:t>
      </w:r>
      <w:r>
        <w:rPr>
          <w:rFonts w:ascii="Times New Roman" w:cs="Times New Roman" w:eastAsia="Times New Roman" w:hAnsi="Times New Roman"/>
          <w:sz w:val="14"/>
          <w:szCs w:val="14"/>
          <w:color w:val="auto"/>
        </w:rPr>
        <w:t xml:space="preserve">" For all purposes under this Agreement, </w:t>
      </w:r>
      <w:r>
        <w:rPr>
          <w:rFonts w:ascii="Times New Roman" w:cs="Times New Roman" w:eastAsia="Times New Roman" w:hAnsi="Times New Roman"/>
          <w:sz w:val="14"/>
          <w:szCs w:val="14"/>
          <w:b w:val="1"/>
          <w:bCs w:val="1"/>
          <w:color w:val="auto"/>
        </w:rPr>
        <w:t>"Change of Control"</w:t>
      </w:r>
      <w:r>
        <w:rPr>
          <w:rFonts w:ascii="Times New Roman" w:cs="Times New Roman" w:eastAsia="Times New Roman" w:hAnsi="Times New Roman"/>
          <w:sz w:val="14"/>
          <w:szCs w:val="14"/>
          <w:color w:val="auto"/>
        </w:rPr>
        <w:t xml:space="preserve"> shall mean any of the following:</w:t>
      </w:r>
    </w:p>
    <w:p>
      <w:pPr>
        <w:spacing w:after="0" w:line="145" w:lineRule="exact"/>
        <w:rPr>
          <w:rFonts w:ascii="Times New Roman" w:cs="Times New Roman" w:eastAsia="Times New Roman" w:hAnsi="Times New Roman"/>
          <w:sz w:val="14"/>
          <w:szCs w:val="14"/>
          <w:color w:val="auto"/>
        </w:rPr>
      </w:pPr>
    </w:p>
    <w:p>
      <w:pPr>
        <w:ind w:left="180" w:hanging="176"/>
        <w:spacing w:after="0"/>
        <w:tabs>
          <w:tab w:leader="none" w:pos="1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sale of all or substantially all of the assets of the Company;</w:t>
      </w:r>
    </w:p>
    <w:p>
      <w:pPr>
        <w:spacing w:after="0" w:line="15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1C1C1C"/>
        </w:rPr>
        <w:t>i</w:t>
      </w:r>
      <w:r>
        <w:rPr>
          <w:rFonts w:ascii="Times New Roman" w:cs="Times New Roman" w:eastAsia="Times New Roman" w:hAnsi="Times New Roman"/>
          <w:sz w:val="14"/>
          <w:szCs w:val="14"/>
          <w:color w:val="070707"/>
        </w:rPr>
        <w:t>i) The acquisition of more than fifty percent (50%)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A2A2A"/>
        </w:rPr>
        <w:t>'</w:t>
      </w:r>
      <w:r>
        <w:rPr>
          <w:rFonts w:ascii="Times New Roman" w:cs="Times New Roman" w:eastAsia="Times New Roman" w:hAnsi="Times New Roman"/>
          <w:sz w:val="14"/>
          <w:szCs w:val="14"/>
          <w:color w:val="070707"/>
        </w:rPr>
        <w:t>of the common stock of the Company (w</w:t>
      </w:r>
      <w:r>
        <w:rPr>
          <w:rFonts w:ascii="Times New Roman" w:cs="Times New Roman" w:eastAsia="Times New Roman" w:hAnsi="Times New Roman"/>
          <w:sz w:val="14"/>
          <w:szCs w:val="14"/>
          <w:color w:val="1C1C1C"/>
        </w:rPr>
        <w:t>i</w:t>
      </w:r>
      <w:r>
        <w:rPr>
          <w:rFonts w:ascii="Times New Roman" w:cs="Times New Roman" w:eastAsia="Times New Roman" w:hAnsi="Times New Roman"/>
          <w:sz w:val="14"/>
          <w:szCs w:val="14"/>
          <w:color w:val="070707"/>
        </w:rPr>
        <w:t>th all classes or series thereof treated as a single class) by any person or group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70707"/>
        </w:rPr>
        <w:t>persons;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070707"/>
        </w:rPr>
        <w:t>(iii)A reorganization of the Company wherein the holders of common stock of the Company receive stock in another company (other than a subs</w:t>
      </w:r>
      <w:r>
        <w:rPr>
          <w:rFonts w:ascii="Times New Roman" w:cs="Times New Roman" w:eastAsia="Times New Roman" w:hAnsi="Times New Roman"/>
          <w:sz w:val="14"/>
          <w:szCs w:val="14"/>
          <w:color w:val="1C1C1C"/>
        </w:rPr>
        <w:t>i</w:t>
      </w:r>
      <w:r>
        <w:rPr>
          <w:rFonts w:ascii="Times New Roman" w:cs="Times New Roman" w:eastAsia="Times New Roman" w:hAnsi="Times New Roman"/>
          <w:sz w:val="14"/>
          <w:szCs w:val="14"/>
          <w:color w:val="070707"/>
        </w:rPr>
        <w:t>diary of the Company), a merger of the Company with another company wherein there is a fifty percent (50%) or greater change in the ownership of the common stock of the Company as a result of such merger, or any other transaction in which the Company (other than as the parent corporation) is consolidated for federal income tax purposes or is eligible to be consolidated for federal income tax purposes with another corporation; or</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070707"/>
        </w:rPr>
        <w:t>(iv)In the event that the common stock is traded on an established securities market, a public announcement that any person has acquired or has the right to acquire beneficial ownership of more than fifty percent (50%) of the then-outstanding common stock and for this purpose the terms "person" and "beneficial ownership" shall have the meanings provided in Section 13(d) of the Securities and Exchange Act of 1934 or related rules promulgated by the Securities and Exchange Commission</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 xml:space="preserve"> or the commencement of or public announcement of an intention to make a tender offer or exchange offer for more than fifty percent (50%) of the then outstanding Comm.on Stock.</w:t>
      </w:r>
    </w:p>
    <w:p>
      <w:pPr>
        <w:spacing w:after="0" w:line="110" w:lineRule="exact"/>
        <w:rPr>
          <w:sz w:val="20"/>
          <w:szCs w:val="20"/>
          <w:color w:val="auto"/>
        </w:rPr>
      </w:pPr>
    </w:p>
    <w:p>
      <w:pPr>
        <w:jc w:val="both"/>
        <w:ind w:left="80" w:firstLine="1014"/>
        <w:spacing w:after="0" w:line="251" w:lineRule="auto"/>
        <w:tabs>
          <w:tab w:leader="none" w:pos="1253" w:val="left"/>
        </w:tabs>
        <w:numPr>
          <w:ilvl w:val="0"/>
          <w:numId w:val="42"/>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u w:val="single" w:color="auto"/>
          <w:color w:val="070707"/>
        </w:rPr>
        <w:t>Section 409A</w:t>
      </w:r>
      <w:r>
        <w:rPr>
          <w:rFonts w:ascii="Times New Roman" w:cs="Times New Roman" w:eastAsia="Times New Roman" w:hAnsi="Times New Roman"/>
          <w:sz w:val="14"/>
          <w:szCs w:val="14"/>
          <w:color w:val="070707"/>
        </w:rPr>
        <w:t>. Notwithstanding anything to the contrary in this Agreement, no severance pay or benefits to be paid or provided to the Executive, if any, pursuant to this Agreement</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 xml:space="preserve"> when considered together with any other severance payments or separation benefits that are considered deferred compensation under Code Section 409A (together</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 xml:space="preserve"> the </w:t>
      </w:r>
      <w:r>
        <w:rPr>
          <w:rFonts w:ascii="Times New Roman" w:cs="Times New Roman" w:eastAsia="Times New Roman" w:hAnsi="Times New Roman"/>
          <w:sz w:val="14"/>
          <w:szCs w:val="14"/>
          <w:b w:val="1"/>
          <w:bCs w:val="1"/>
          <w:color w:val="070707"/>
        </w:rPr>
        <w:t>"Deferred Compensation</w:t>
      </w:r>
      <w:r>
        <w:rPr>
          <w:rFonts w:ascii="Times New Roman" w:cs="Times New Roman" w:eastAsia="Times New Roman" w:hAnsi="Times New Roman"/>
          <w:sz w:val="14"/>
          <w:szCs w:val="14"/>
          <w:color w:val="070707"/>
        </w:rPr>
        <w:t xml:space="preserve"> </w:t>
      </w:r>
      <w:r>
        <w:rPr>
          <w:rFonts w:ascii="Times New Roman" w:cs="Times New Roman" w:eastAsia="Times New Roman" w:hAnsi="Times New Roman"/>
          <w:sz w:val="14"/>
          <w:szCs w:val="14"/>
          <w:b w:val="1"/>
          <w:bCs w:val="1"/>
          <w:color w:val="070707"/>
        </w:rPr>
        <w:t xml:space="preserve">Separation Benefits") </w:t>
      </w:r>
      <w:r>
        <w:rPr>
          <w:rFonts w:ascii="Times New Roman" w:cs="Times New Roman" w:eastAsia="Times New Roman" w:hAnsi="Times New Roman"/>
          <w:sz w:val="14"/>
          <w:szCs w:val="14"/>
          <w:color w:val="070707"/>
        </w:rPr>
        <w:t>will he paid or otherwise provided until the Executive has a "separation from service" within the meaning of Code Section 409A. Any provision of this Agreement to the contrary</w:t>
      </w:r>
      <w:r>
        <w:rPr>
          <w:rFonts w:ascii="Times New Roman" w:cs="Times New Roman" w:eastAsia="Times New Roman" w:hAnsi="Times New Roman"/>
          <w:sz w:val="14"/>
          <w:szCs w:val="14"/>
          <w:b w:val="1"/>
          <w:bCs w:val="1"/>
          <w:color w:val="070707"/>
        </w:rPr>
        <w:t xml:space="preserve"> </w:t>
      </w:r>
      <w:r>
        <w:rPr>
          <w:rFonts w:ascii="Times New Roman" w:cs="Times New Roman" w:eastAsia="Times New Roman" w:hAnsi="Times New Roman"/>
          <w:sz w:val="14"/>
          <w:szCs w:val="14"/>
          <w:color w:val="070707"/>
        </w:rPr>
        <w:t xml:space="preserve">notwithstanding, </w:t>
      </w:r>
      <w:r>
        <w:rPr>
          <w:rFonts w:ascii="Times New Roman" w:cs="Times New Roman" w:eastAsia="Times New Roman" w:hAnsi="Times New Roman"/>
          <w:sz w:val="14"/>
          <w:szCs w:val="14"/>
          <w:color w:val="1C1C1C"/>
        </w:rPr>
        <w:t>i</w:t>
      </w:r>
      <w:r>
        <w:rPr>
          <w:rFonts w:ascii="Times New Roman" w:cs="Times New Roman" w:eastAsia="Times New Roman" w:hAnsi="Times New Roman"/>
          <w:sz w:val="14"/>
          <w:szCs w:val="14"/>
          <w:color w:val="070707"/>
        </w:rPr>
        <w:t>f, at the time of the Executive's separation from service, the Executive is a "specified employee,</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 xml:space="preserve"> within the meaning of Code Section 409A, then any Deferred Compensation Separation Benefits due to the Executive pursuant to this Agreement or otherwise on or within the six-month period following the Executive's separation from service will accrue during such six-month period and will become payable in a lump sum payment on the date six (6) months and one (1) day following the date of the Executive's separation from service, provided, that such cash severance or other benefits will be paid earlier, at the times and on the terms set forth in the applicable provisions of this Agreement, if the Company reasonably determines that the imposition of additional tax under Code Section 409A, will not apply to an earlier payment of such cash severance or other benefits. Each payment and benefit payable under this Agreement is intended to constitute a separate payment for purposes of Section l.409A-2(h)(2) of the Treasury Regulations. Any amount paid under this Agreement that satisfies the requirements of </w:t>
      </w:r>
      <w:r>
        <w:rPr>
          <w:rFonts w:ascii="Times New Roman" w:cs="Times New Roman" w:eastAsia="Times New Roman" w:hAnsi="Times New Roman"/>
          <w:sz w:val="14"/>
          <w:szCs w:val="14"/>
          <w:i w:val="1"/>
          <w:iCs w:val="1"/>
          <w:color w:val="070707"/>
        </w:rPr>
        <w:t>the</w:t>
      </w:r>
      <w:r>
        <w:rPr>
          <w:rFonts w:ascii="Times New Roman" w:cs="Times New Roman" w:eastAsia="Times New Roman" w:hAnsi="Times New Roman"/>
          <w:sz w:val="14"/>
          <w:szCs w:val="14"/>
          <w:color w:val="070707"/>
        </w:rPr>
        <w:t xml:space="preserve"> "short"</w:t>
      </w:r>
    </w:p>
    <w:p>
      <w:pPr>
        <w:ind w:left="80"/>
        <w:spacing w:after="0" w:line="218" w:lineRule="auto"/>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color w:val="070707"/>
        </w:rPr>
        <w:t>term deferral" rule set forth in Section l.409A-l(b)(4) of the Treasury Regulations or that qualifies as a payment made as a result of an involuntary separation from service pursuant to Section l.409A" l(b)</w:t>
      </w:r>
    </w:p>
    <w:p>
      <w:pPr>
        <w:jc w:val="both"/>
        <w:ind w:left="80"/>
        <w:spacing w:after="0" w:line="224" w:lineRule="auto"/>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color w:val="070707"/>
        </w:rPr>
        <w:t xml:space="preserve">(9)(iii) of the Treasury Regulations will not constitute Deferred Compensation Separation </w:t>
      </w:r>
      <w:r>
        <w:rPr>
          <w:rFonts w:ascii="Times New Roman" w:cs="Times New Roman" w:eastAsia="Times New Roman" w:hAnsi="Times New Roman"/>
          <w:sz w:val="14"/>
          <w:szCs w:val="14"/>
          <w:color w:val="000000"/>
        </w:rPr>
        <w:t>Benefits to the extent permissible under the applicable Treasury Regulations. The foregoing provisions are</w:t>
      </w:r>
      <w:r>
        <w:rPr>
          <w:rFonts w:ascii="Times New Roman" w:cs="Times New Roman" w:eastAsia="Times New Roman" w:hAnsi="Times New Roman"/>
          <w:sz w:val="14"/>
          <w:szCs w:val="14"/>
          <w:color w:val="070707"/>
        </w:rPr>
        <w:t xml:space="preserve"> </w:t>
      </w:r>
      <w:r>
        <w:rPr>
          <w:rFonts w:ascii="Times New Roman" w:cs="Times New Roman" w:eastAsia="Times New Roman" w:hAnsi="Times New Roman"/>
          <w:sz w:val="14"/>
          <w:szCs w:val="14"/>
          <w:color w:val="000000"/>
        </w:rPr>
        <w:t>intended to comply with the requirements of Code Section 409A so that none of the severance payments and benefits to be provided hereunder will be subject to the additional tax imposed under Code Section 409A, and any ambiguities herein will be interpreted to so comply. In addition, this Agreement will be deemed amended to the extent necessary to avoid imposition of any additional tax or income recognition prior to actual payment to the Executive under Code Section 409A and any temporary, proposed or final Treasury Regulations and guidance-promulgated thereunder and the parties agree to cooperate with each other and to take reasonably necessary steps in this regard.</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460"/>
          </w:cols>
          <w:pgMar w:left="220" w:top="335" w:right="219" w:bottom="1440" w:gutter="0" w:footer="0" w:header="0"/>
        </w:sectPr>
      </w:pPr>
    </w:p>
    <w:bookmarkStart w:id="59" w:name="page60"/>
    <w:bookmarkEnd w:id="59"/>
    <w:p>
      <w:pPr>
        <w:jc w:val="both"/>
        <w:ind w:left="100" w:firstLine="942"/>
        <w:spacing w:after="0" w:line="266" w:lineRule="auto"/>
        <w:tabs>
          <w:tab w:leader="none" w:pos="121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Limitation on Payments; Section 280G</w:t>
      </w:r>
      <w:r>
        <w:rPr>
          <w:rFonts w:ascii="Times New Roman" w:cs="Times New Roman" w:eastAsia="Times New Roman" w:hAnsi="Times New Roman"/>
          <w:sz w:val="14"/>
          <w:szCs w:val="14"/>
          <w:color w:val="auto"/>
        </w:rPr>
        <w:t>. Notwithstanding anything to the contrary in this Agreement, in the event the severance and other benefits provided for in this Agreement or otherwise payable to the Executive (the "Payments") (A) are "parachute payments" within the meaning of Section 280G of the Code and (B) but for this Section 6(j), would be subject to the excise tax imposed by Section 4999 of the Code, then the Executive's Payments will be either:</w:t>
      </w:r>
    </w:p>
    <w:p>
      <w:pPr>
        <w:spacing w:after="0" w:line="104" w:lineRule="exact"/>
        <w:rPr>
          <w:rFonts w:ascii="Times New Roman" w:cs="Times New Roman" w:eastAsia="Times New Roman" w:hAnsi="Times New Roman"/>
          <w:sz w:val="14"/>
          <w:szCs w:val="14"/>
          <w:color w:val="auto"/>
        </w:rPr>
      </w:pPr>
    </w:p>
    <w:p>
      <w:pPr>
        <w:ind w:left="1180" w:hanging="170"/>
        <w:spacing w:after="0"/>
        <w:tabs>
          <w:tab w:leader="none" w:pos="11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delivered in full, or</w:t>
      </w:r>
    </w:p>
    <w:p>
      <w:pPr>
        <w:spacing w:after="0" w:line="153" w:lineRule="exact"/>
        <w:rPr>
          <w:rFonts w:ascii="Times New Roman" w:cs="Times New Roman" w:eastAsia="Times New Roman" w:hAnsi="Times New Roman"/>
          <w:sz w:val="14"/>
          <w:szCs w:val="14"/>
          <w:color w:val="auto"/>
        </w:rPr>
      </w:pPr>
    </w:p>
    <w:p>
      <w:pPr>
        <w:ind w:left="1780" w:hanging="203"/>
        <w:spacing w:after="0"/>
        <w:tabs>
          <w:tab w:leader="none" w:pos="1780" w:val="left"/>
        </w:tabs>
        <w:numPr>
          <w:ilvl w:val="2"/>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delivered as to such lesser extent which would result in no portion of such Payments being subject to the excise tax under Section 4999 of the Code,</w:t>
      </w:r>
    </w:p>
    <w:p>
      <w:pPr>
        <w:spacing w:after="0" w:line="175" w:lineRule="exact"/>
        <w:rPr>
          <w:sz w:val="20"/>
          <w:szCs w:val="20"/>
          <w:color w:val="auto"/>
        </w:rPr>
      </w:pPr>
    </w:p>
    <w:p>
      <w:pPr>
        <w:jc w:val="both"/>
        <w:ind w:left="60" w:firstLine="1510"/>
        <w:spacing w:after="0" w:line="252" w:lineRule="auto"/>
        <w:rPr>
          <w:sz w:val="20"/>
          <w:szCs w:val="20"/>
          <w:color w:val="auto"/>
        </w:rPr>
      </w:pPr>
      <w:r>
        <w:rPr>
          <w:rFonts w:ascii="Times New Roman" w:cs="Times New Roman" w:eastAsia="Times New Roman" w:hAnsi="Times New Roman"/>
          <w:sz w:val="14"/>
          <w:szCs w:val="14"/>
          <w:color w:val="auto"/>
        </w:rPr>
        <w:t>whichever of (i) or (ii), taking into account the applicable federal, state and local income taxes and the excise tax imposed by Section 4999, results in the receipt by the Executive on an after-tax basis, of the greatest amount of Payments, notwithstanding that all or some portion of such Payments may be taxable under Section 4999 of the Code. If a reduction in the Payments constituting "parachute payments" is necessary so that no portion of such Payments is subject to excise tax under Section 4999 of the Code, (x) the Executive will have no rights to any additional Payments that are being reduced, and (y) the reduction shall occur in the following order: (1) reduction of the cash payments, if any, which shall occur in reverse chronological order such that the cash payment owed on the latest date following the occurrence of the event triggering such excise tax will be the first cash payment to be reduced; (2) cancellation of accelerated vesting of equity awards other than stock options, if any; (3) cancellation of accelerated vesting of stock options, if any; and (4) reduction of other benefits, if any, paid or provided to the Executive, which shall occur in reverse chronological order such that the benefit owed on the latest date following the occurrence of the event triggering such excise tax will be the first benefit to be reduced. In the event that acceleration of vesting of equity awards or stock options is to be reduced, such acceleration of vesting shall be cancelled in the reverse order of the date of grant of the Executive's equity awards or stock options. If two or more equity awards or stock options are granted on the same date, each award or stock option will be reduced on a pro-rata basis. Notwithstanding, any excise tax imposed will be solely the responsibility of the Executive. Notwithstanding the foregoing, to the extent the Company submits any Payments to the Company's stockholders· for approval in accordance with Treasury Regulation Section l.280G-l Q&amp;A 7, and such Payments will be treated in accordance with the results of such vote, the foregoing provisions shall not apply following such submission and such Payments will be treated in accordance with the results of such vote, except that any reduction in, or waiver of,. such Payments required by such vote will be applied without any application of discretion by the Executive and in the order prescribed by this Section 6(j). In no event shall the Executive have any discretion with respect to the ordering of the Executive's Payment reductions.</w:t>
      </w:r>
    </w:p>
    <w:p>
      <w:pPr>
        <w:spacing w:after="0" w:line="172" w:lineRule="exact"/>
        <w:rPr>
          <w:sz w:val="20"/>
          <w:szCs w:val="20"/>
          <w:color w:val="auto"/>
        </w:rPr>
      </w:pPr>
    </w:p>
    <w:p>
      <w:pPr>
        <w:jc w:val="both"/>
        <w:ind w:left="100" w:firstLine="881"/>
        <w:spacing w:after="0" w:line="256" w:lineRule="auto"/>
        <w:rPr>
          <w:sz w:val="20"/>
          <w:szCs w:val="20"/>
          <w:color w:val="auto"/>
        </w:rPr>
      </w:pPr>
      <w:r>
        <w:rPr>
          <w:rFonts w:ascii="Times New Roman" w:cs="Times New Roman" w:eastAsia="Times New Roman" w:hAnsi="Times New Roman"/>
          <w:sz w:val="14"/>
          <w:szCs w:val="14"/>
          <w:color w:val="auto"/>
        </w:rPr>
        <w:t>Unless the Company and the Execut</w:t>
      </w:r>
      <w:r>
        <w:rPr>
          <w:rFonts w:ascii="Times New Roman" w:cs="Times New Roman" w:eastAsia="Times New Roman" w:hAnsi="Times New Roman"/>
          <w:sz w:val="14"/>
          <w:szCs w:val="14"/>
          <w:color w:val="1A1A1A"/>
        </w:rPr>
        <w:t>i</w:t>
      </w:r>
      <w:r>
        <w:rPr>
          <w:rFonts w:ascii="Times New Roman" w:cs="Times New Roman" w:eastAsia="Times New Roman" w:hAnsi="Times New Roman"/>
          <w:sz w:val="14"/>
          <w:szCs w:val="14"/>
          <w:color w:val="070707"/>
        </w:rPr>
        <w:t>ve otherwise agree in writing</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70707"/>
        </w:rPr>
        <w:t>any determination required under this Section 6(j) will be made in writing by a nationally recognized firm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70707"/>
        </w:rPr>
        <w:t xml:space="preserve">independent public accountants selected by the Company, the Company's legal counsel or such other person or entity to which the parties mutually agree (the </w:t>
      </w:r>
      <w:r>
        <w:rPr>
          <w:rFonts w:ascii="Times New Roman" w:cs="Times New Roman" w:eastAsia="Times New Roman" w:hAnsi="Times New Roman"/>
          <w:sz w:val="14"/>
          <w:szCs w:val="14"/>
          <w:i w:val="1"/>
          <w:iCs w:val="1"/>
          <w:color w:val="070707"/>
        </w:rPr>
        <w:t>"Firm"),</w:t>
      </w:r>
      <w:r>
        <w:rPr>
          <w:rFonts w:ascii="Times New Roman" w:cs="Times New Roman" w:eastAsia="Times New Roman" w:hAnsi="Times New Roman"/>
          <w:sz w:val="14"/>
          <w:szCs w:val="14"/>
          <w:color w:val="070707"/>
        </w:rPr>
        <w:t xml:space="preserve"> whose determination will be conclusive and binding upon the Executive and the Company for all purposes. For purposes of making the calculations required by this Section 6(j)</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070707"/>
        </w:rPr>
        <w:t xml:space="preserve"> the Firm may make reasonable assumptions and approximations concerning applicable taxes and may rely on reasonable, good faith interpretations concerning the application of Sections 280G and 4999 of the Code. The Company and the Executive will furnish to the Firm such information and documents as the Firm may reasonably request in order to make a determination under this Section 6(j)</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070707"/>
        </w:rPr>
        <w:t xml:space="preserve"> The Company will bear all costs the Firm may reasonably incur in connection with any calculations contemplated by this Section 6(j).</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070707"/>
        </w:rPr>
        <w:t>7</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070707"/>
        </w:rPr>
        <w:t xml:space="preserve"> </w:t>
      </w:r>
      <w:r>
        <w:rPr>
          <w:rFonts w:ascii="Times New Roman" w:cs="Times New Roman" w:eastAsia="Times New Roman" w:hAnsi="Times New Roman"/>
          <w:sz w:val="14"/>
          <w:szCs w:val="14"/>
          <w:u w:val="single" w:color="auto"/>
          <w:color w:val="070707"/>
        </w:rPr>
        <w:t>Non-Solicitation and Non-Disclosure</w:t>
      </w:r>
      <w:r>
        <w:rPr>
          <w:rFonts w:ascii="Times New Roman" w:cs="Times New Roman" w:eastAsia="Times New Roman" w:hAnsi="Times New Roman"/>
          <w:sz w:val="14"/>
          <w:szCs w:val="14"/>
          <w:color w:val="1A1A1A"/>
        </w:rPr>
        <w:t>.</w:t>
      </w:r>
    </w:p>
    <w:p>
      <w:pPr>
        <w:spacing w:after="0" w:line="154" w:lineRule="exact"/>
        <w:rPr>
          <w:sz w:val="20"/>
          <w:szCs w:val="20"/>
          <w:color w:val="auto"/>
        </w:rPr>
      </w:pPr>
    </w:p>
    <w:p>
      <w:pPr>
        <w:jc w:val="both"/>
        <w:ind w:left="100" w:firstLine="942"/>
        <w:spacing w:after="0" w:line="266" w:lineRule="auto"/>
        <w:tabs>
          <w:tab w:leader="none" w:pos="1234" w:val="left"/>
        </w:tabs>
        <w:numPr>
          <w:ilvl w:val="0"/>
          <w:numId w:val="45"/>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u w:val="single" w:color="auto"/>
          <w:color w:val="070707"/>
        </w:rPr>
        <w:t>Non-Solicitation</w:t>
      </w:r>
      <w:r>
        <w:rPr>
          <w:rFonts w:ascii="Times New Roman" w:cs="Times New Roman" w:eastAsia="Times New Roman" w:hAnsi="Times New Roman"/>
          <w:sz w:val="14"/>
          <w:szCs w:val="14"/>
          <w:color w:val="070707"/>
        </w:rPr>
        <w:t>. During the period commencing on the date of this Agreement and continuing until the first anniversary of the date when the Executive's Employment terminated for any reason, the Executive shall not directly or indirectly, personally or through others</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070707"/>
        </w:rPr>
        <w:t xml:space="preserve"> solicit or attempt to solicit (on the Executive's own behalf or on behalf of any other person or entity) the employment of any employee of the Company or any of the Company's affiliates.</w:t>
      </w:r>
    </w:p>
    <w:p>
      <w:pPr>
        <w:spacing w:after="0" w:line="112" w:lineRule="exact"/>
        <w:rPr>
          <w:rFonts w:ascii="Times New Roman" w:cs="Times New Roman" w:eastAsia="Times New Roman" w:hAnsi="Times New Roman"/>
          <w:sz w:val="14"/>
          <w:szCs w:val="14"/>
          <w:color w:val="070707"/>
        </w:rPr>
      </w:pPr>
    </w:p>
    <w:p>
      <w:pPr>
        <w:ind w:firstLine="1073"/>
        <w:spacing w:after="0" w:line="285" w:lineRule="auto"/>
        <w:tabs>
          <w:tab w:leader="none" w:pos="1278" w:val="left"/>
        </w:tabs>
        <w:numPr>
          <w:ilvl w:val="1"/>
          <w:numId w:val="45"/>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u w:val="single" w:color="auto"/>
          <w:color w:val="070707"/>
        </w:rPr>
        <w:t>Proprietary Information</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070707"/>
        </w:rPr>
        <w:t xml:space="preserve"> As a condition of Employment, the Executive has entered into an Employee Proprietary Information Agreement with the Company (the "</w:t>
      </w:r>
      <w:r>
        <w:rPr>
          <w:rFonts w:ascii="Times New Roman" w:cs="Times New Roman" w:eastAsia="Times New Roman" w:hAnsi="Times New Roman"/>
          <w:sz w:val="14"/>
          <w:szCs w:val="14"/>
          <w:b w:val="1"/>
          <w:bCs w:val="1"/>
          <w:color w:val="070707"/>
        </w:rPr>
        <w:t>EPIA</w:t>
      </w:r>
      <w:r>
        <w:rPr>
          <w:rFonts w:ascii="Times New Roman" w:cs="Times New Roman" w:eastAsia="Times New Roman" w:hAnsi="Times New Roman"/>
          <w:sz w:val="14"/>
          <w:szCs w:val="14"/>
          <w:color w:val="070707"/>
        </w:rPr>
        <w:t xml:space="preserve">") in the Form attached as </w:t>
      </w:r>
      <w:r>
        <w:rPr>
          <w:rFonts w:ascii="Times New Roman" w:cs="Times New Roman" w:eastAsia="Times New Roman" w:hAnsi="Times New Roman"/>
          <w:sz w:val="14"/>
          <w:szCs w:val="14"/>
          <w:b w:val="1"/>
          <w:bCs w:val="1"/>
          <w:color w:val="070707"/>
        </w:rPr>
        <w:t>Exhibit B</w:t>
      </w:r>
      <w:r>
        <w:rPr>
          <w:rFonts w:ascii="Times New Roman" w:cs="Times New Roman" w:eastAsia="Times New Roman" w:hAnsi="Times New Roman"/>
          <w:sz w:val="14"/>
          <w:szCs w:val="14"/>
          <w:color w:val="070707"/>
        </w:rPr>
        <w:t>, which is incorporated herein by reference.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460"/>
          </w:cols>
          <w:pgMar w:left="220" w:top="314" w:right="219" w:bottom="1440" w:gutter="0" w:footer="0" w:header="0"/>
        </w:sectPr>
      </w:pPr>
    </w:p>
    <w:bookmarkStart w:id="60" w:name="page61"/>
    <w:bookmarkEnd w:id="60"/>
    <w:p>
      <w:pPr>
        <w:ind w:left="560" w:hanging="133"/>
        <w:spacing w:after="0"/>
        <w:tabs>
          <w:tab w:leader="none" w:pos="560" w:val="left"/>
        </w:tabs>
        <w:numPr>
          <w:ilvl w:val="1"/>
          <w:numId w:val="46"/>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color w:val="070707"/>
        </w:rPr>
        <w:t>Successors.</w:t>
      </w:r>
    </w:p>
    <w:p>
      <w:pPr>
        <w:spacing w:after="0" w:line="143" w:lineRule="exact"/>
        <w:rPr>
          <w:rFonts w:ascii="Times New Roman" w:cs="Times New Roman" w:eastAsia="Times New Roman" w:hAnsi="Times New Roman"/>
          <w:sz w:val="14"/>
          <w:szCs w:val="14"/>
          <w:color w:val="070707"/>
        </w:rPr>
      </w:pPr>
    </w:p>
    <w:p>
      <w:pPr>
        <w:jc w:val="both"/>
        <w:ind w:firstLine="951"/>
        <w:spacing w:after="0" w:line="266" w:lineRule="auto"/>
        <w:tabs>
          <w:tab w:leader="none" w:pos="1154" w:val="left"/>
        </w:tabs>
        <w:numPr>
          <w:ilvl w:val="2"/>
          <w:numId w:val="46"/>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u w:val="single" w:color="auto"/>
          <w:color w:val="070707"/>
        </w:rPr>
        <w:t>Company's Successors</w:t>
      </w:r>
      <w:r>
        <w:rPr>
          <w:rFonts w:ascii="Times New Roman" w:cs="Times New Roman" w:eastAsia="Times New Roman" w:hAnsi="Times New Roman"/>
          <w:sz w:val="14"/>
          <w:szCs w:val="14"/>
          <w:color w:val="070707"/>
        </w:rPr>
        <w:t>. This Agreement shall be binding upon any successor (whether direct or indirect and whether by purchase, lease, 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spacing w:after="0" w:line="104" w:lineRule="exact"/>
        <w:rPr>
          <w:rFonts w:ascii="Times New Roman" w:cs="Times New Roman" w:eastAsia="Times New Roman" w:hAnsi="Times New Roman"/>
          <w:sz w:val="14"/>
          <w:szCs w:val="14"/>
          <w:color w:val="070707"/>
        </w:rPr>
      </w:pPr>
    </w:p>
    <w:p>
      <w:pPr>
        <w:ind w:firstLine="951"/>
        <w:spacing w:after="0" w:line="282" w:lineRule="auto"/>
        <w:tabs>
          <w:tab w:leader="none" w:pos="1162" w:val="left"/>
        </w:tabs>
        <w:numPr>
          <w:ilvl w:val="2"/>
          <w:numId w:val="46"/>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u w:val="single" w:color="auto"/>
          <w:color w:val="070707"/>
        </w:rPr>
        <w:t>the Executive's Successors</w:t>
      </w:r>
      <w:r>
        <w:rPr>
          <w:rFonts w:ascii="Times New Roman" w:cs="Times New Roman" w:eastAsia="Times New Roman" w:hAnsi="Times New Roman"/>
          <w:sz w:val="14"/>
          <w:szCs w:val="14"/>
          <w:color w:val="070707"/>
        </w:rPr>
        <w:t>. This Agreement and all rights of the Executive hereunder shall inure to the benefit of, and be enforceable by, the Executive's personal or legal representatives, executors, administrators, successors</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070707"/>
        </w:rPr>
        <w:t xml:space="preserve"> heirs</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070707"/>
        </w:rPr>
        <w:t xml:space="preserve"> distributees, devisees and legatees</w:t>
      </w:r>
      <w:r>
        <w:rPr>
          <w:rFonts w:ascii="Times New Roman" w:cs="Times New Roman" w:eastAsia="Times New Roman" w:hAnsi="Times New Roman"/>
          <w:sz w:val="14"/>
          <w:szCs w:val="14"/>
          <w:color w:val="1A1A1A"/>
        </w:rPr>
        <w:t>.</w:t>
      </w:r>
    </w:p>
    <w:p>
      <w:pPr>
        <w:spacing w:after="0" w:line="93" w:lineRule="exact"/>
        <w:rPr>
          <w:rFonts w:ascii="Times New Roman" w:cs="Times New Roman" w:eastAsia="Times New Roman" w:hAnsi="Times New Roman"/>
          <w:sz w:val="14"/>
          <w:szCs w:val="14"/>
          <w:color w:val="070707"/>
        </w:rPr>
      </w:pPr>
    </w:p>
    <w:p>
      <w:pPr>
        <w:ind w:left="560" w:hanging="133"/>
        <w:spacing w:after="0"/>
        <w:tabs>
          <w:tab w:leader="none" w:pos="560" w:val="left"/>
        </w:tabs>
        <w:numPr>
          <w:ilvl w:val="1"/>
          <w:numId w:val="46"/>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u w:val="single" w:color="auto"/>
          <w:color w:val="070707"/>
        </w:rPr>
        <w:t>Arbitration and Equitable Relief</w:t>
      </w:r>
    </w:p>
    <w:p>
      <w:pPr>
        <w:spacing w:after="0" w:line="143" w:lineRule="exact"/>
        <w:rPr>
          <w:rFonts w:ascii="Times New Roman" w:cs="Times New Roman" w:eastAsia="Times New Roman" w:hAnsi="Times New Roman"/>
          <w:sz w:val="14"/>
          <w:szCs w:val="14"/>
          <w:color w:val="070707"/>
        </w:rPr>
      </w:pPr>
    </w:p>
    <w:p>
      <w:pPr>
        <w:jc w:val="both"/>
        <w:ind w:firstLine="951"/>
        <w:spacing w:after="0" w:line="253" w:lineRule="auto"/>
        <w:tabs>
          <w:tab w:leader="none" w:pos="1154" w:val="left"/>
        </w:tabs>
        <w:numPr>
          <w:ilvl w:val="2"/>
          <w:numId w:val="46"/>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u w:val="single" w:color="auto"/>
          <w:color w:val="070707"/>
        </w:rPr>
        <w:t>Arbitration</w:t>
      </w:r>
      <w:r>
        <w:rPr>
          <w:rFonts w:ascii="Times New Roman" w:cs="Times New Roman" w:eastAsia="Times New Roman" w:hAnsi="Times New Roman"/>
          <w:sz w:val="14"/>
          <w:szCs w:val="14"/>
          <w:color w:val="070707"/>
        </w:rPr>
        <w:t>. In consideration of the Executive</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070707"/>
        </w:rPr>
        <w:t>s Employment with the Company, its promise to arbitrate all employment-related disputes, and the Executive's receipt of the compensation, pay raises, and other benefits paid to the Executive by the Company, at present and in the future, the Executive agrees that any and all controversies, claims, or disputes with anyone (including the Company and any employee, officer, director, shareholder, or benefit plan of the Company, in their capacity as such or otherwise), arising out of, relating to, or resulting from the Executive's Employment with the Company or the termination of the Executive's Employment with the Company</w:t>
      </w:r>
      <w:r>
        <w:rPr>
          <w:rFonts w:ascii="Times New Roman" w:cs="Times New Roman" w:eastAsia="Times New Roman" w:hAnsi="Times New Roman"/>
          <w:sz w:val="14"/>
          <w:szCs w:val="14"/>
          <w:color w:val="1A1A1A"/>
        </w:rPr>
        <w:t>,</w:t>
      </w:r>
      <w:r>
        <w:rPr>
          <w:rFonts w:ascii="Times New Roman" w:cs="Times New Roman" w:eastAsia="Times New Roman" w:hAnsi="Times New Roman"/>
          <w:sz w:val="14"/>
          <w:szCs w:val="14"/>
          <w:color w:val="070707"/>
        </w:rPr>
        <w:t xml:space="preserve"> including any breach of this Agreement, shall be subject to binding arbitration wider the arbitration provisions set forth in California Code of Civil Procedure Sections 1280 through </w:t>
      </w:r>
      <w:r>
        <w:rPr>
          <w:rFonts w:ascii="Times New Roman" w:cs="Times New Roman" w:eastAsia="Times New Roman" w:hAnsi="Times New Roman"/>
          <w:sz w:val="14"/>
          <w:szCs w:val="14"/>
          <w:color w:val="000000"/>
        </w:rPr>
        <w:t>1294.2 (the "Act"), arid pursuant to California law. The Federal Arbitration Act shall continue to apply with</w:t>
      </w:r>
      <w:r>
        <w:rPr>
          <w:rFonts w:ascii="Times New Roman" w:cs="Times New Roman" w:eastAsia="Times New Roman" w:hAnsi="Times New Roman"/>
          <w:sz w:val="14"/>
          <w:szCs w:val="14"/>
          <w:color w:val="070707"/>
        </w:rPr>
        <w:t xml:space="preserve"> </w:t>
      </w:r>
      <w:r>
        <w:rPr>
          <w:rFonts w:ascii="Times New Roman" w:cs="Times New Roman" w:eastAsia="Times New Roman" w:hAnsi="Times New Roman"/>
          <w:sz w:val="14"/>
          <w:szCs w:val="14"/>
          <w:color w:val="000000"/>
        </w:rPr>
        <w:t xml:space="preserve">full force and effect notwithstanding the application of procedural rules set forth in the Act. </w:t>
      </w:r>
      <w:r>
        <w:rPr>
          <w:rFonts w:ascii="Times New Roman" w:cs="Times New Roman" w:eastAsia="Times New Roman" w:hAnsi="Times New Roman"/>
          <w:sz w:val="14"/>
          <w:szCs w:val="14"/>
          <w:b w:val="1"/>
          <w:bCs w:val="1"/>
          <w:color w:val="000000"/>
        </w:rPr>
        <w:t>Disputes that the Executive agrees to arbitrate, and thereby agrees to waive any right to a trial by jury,</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b w:val="1"/>
          <w:bCs w:val="1"/>
          <w:color w:val="000000"/>
        </w:rPr>
        <w:t xml:space="preserve">include any statutory claims under local, state, or federal law, including, but not limited to, claims under Title VII of the Civil Rights Act of 1964, the Americans With Disabilities Act of 1990, the Age Discrimination in Employment Act of 1967,. the Older Workers Benefit Protection Act, the Sarbanes-Oxley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Notwithstanding the foregoing, the Executive understands that nothing in this Agreement constitutes a waiver of the Executive's rights under Section 7 of the National Labor Relations Act. </w:t>
      </w:r>
      <w:r>
        <w:rPr>
          <w:rFonts w:ascii="Times New Roman" w:cs="Times New Roman" w:eastAsia="Times New Roman" w:hAnsi="Times New Roman"/>
          <w:sz w:val="14"/>
          <w:szCs w:val="14"/>
          <w:color w:val="000000"/>
        </w:rPr>
        <w:t>The Executive further understands that this agreement to arbitrate also applies to any disputes that the Company may have</w:t>
      </w:r>
      <w:r>
        <w:rPr>
          <w:rFonts w:ascii="Times New Roman" w:cs="Times New Roman" w:eastAsia="Times New Roman" w:hAnsi="Times New Roman"/>
          <w:sz w:val="14"/>
          <w:szCs w:val="14"/>
          <w:b w:val="1"/>
          <w:bCs w:val="1"/>
          <w:color w:val="000000"/>
        </w:rPr>
        <w:t xml:space="preserve"> </w:t>
      </w:r>
      <w:r>
        <w:rPr>
          <w:rFonts w:ascii="Times New Roman" w:cs="Times New Roman" w:eastAsia="Times New Roman" w:hAnsi="Times New Roman"/>
          <w:sz w:val="14"/>
          <w:szCs w:val="14"/>
          <w:color w:val="000000"/>
        </w:rPr>
        <w:t>with the Executive.</w:t>
      </w:r>
    </w:p>
    <w:p>
      <w:pPr>
        <w:spacing w:after="0" w:line="110" w:lineRule="exact"/>
        <w:rPr>
          <w:rFonts w:ascii="Times New Roman" w:cs="Times New Roman" w:eastAsia="Times New Roman" w:hAnsi="Times New Roman"/>
          <w:sz w:val="14"/>
          <w:szCs w:val="14"/>
          <w:color w:val="070707"/>
        </w:rPr>
      </w:pPr>
    </w:p>
    <w:p>
      <w:pPr>
        <w:ind w:left="1140" w:hanging="189"/>
        <w:spacing w:after="0"/>
        <w:tabs>
          <w:tab w:leader="none" w:pos="1140" w:val="left"/>
        </w:tabs>
        <w:numPr>
          <w:ilvl w:val="2"/>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Procedure</w:t>
      </w:r>
      <w:r>
        <w:rPr>
          <w:rFonts w:ascii="Times New Roman" w:cs="Times New Roman" w:eastAsia="Times New Roman" w:hAnsi="Times New Roman"/>
          <w:sz w:val="14"/>
          <w:szCs w:val="14"/>
          <w:color w:val="auto"/>
        </w:rPr>
        <w:t>. The Executive agrees that any arbitration will be administered by Judicial Arbitration &amp; Mediation Services, Inc. ("</w:t>
      </w:r>
      <w:r>
        <w:rPr>
          <w:rFonts w:ascii="Times New Roman" w:cs="Times New Roman" w:eastAsia="Times New Roman" w:hAnsi="Times New Roman"/>
          <w:sz w:val="14"/>
          <w:szCs w:val="14"/>
          <w:b w:val="1"/>
          <w:bCs w:val="1"/>
          <w:color w:val="auto"/>
        </w:rPr>
        <w:t>JAMS</w:t>
      </w:r>
      <w:r>
        <w:rPr>
          <w:rFonts w:ascii="Times New Roman" w:cs="Times New Roman" w:eastAsia="Times New Roman" w:hAnsi="Times New Roman"/>
          <w:sz w:val="14"/>
          <w:szCs w:val="14"/>
          <w:color w:val="auto"/>
        </w:rPr>
        <w:t>"), pursuant to its Employment Arbitration Rules</w:t>
      </w:r>
    </w:p>
    <w:p>
      <w:pPr>
        <w:spacing w:after="0" w:line="23" w:lineRule="exact"/>
        <w:rPr>
          <w:rFonts w:ascii="Times New Roman" w:cs="Times New Roman" w:eastAsia="Times New Roman" w:hAnsi="Times New Roman"/>
          <w:sz w:val="14"/>
          <w:szCs w:val="14"/>
          <w:color w:val="auto"/>
        </w:rPr>
      </w:pPr>
    </w:p>
    <w:p>
      <w:pPr>
        <w:jc w:val="both"/>
        <w:ind w:firstLine="8"/>
        <w:spacing w:after="0" w:line="251" w:lineRule="auto"/>
        <w:tabs>
          <w:tab w:leader="none" w:pos="159"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Procedures (the "</w:t>
      </w:r>
      <w:r>
        <w:rPr>
          <w:rFonts w:ascii="Times New Roman" w:cs="Times New Roman" w:eastAsia="Times New Roman" w:hAnsi="Times New Roman"/>
          <w:sz w:val="14"/>
          <w:szCs w:val="14"/>
          <w:b w:val="1"/>
          <w:bCs w:val="1"/>
          <w:color w:val="auto"/>
        </w:rPr>
        <w:t>JAMS Rules</w:t>
      </w:r>
      <w:r>
        <w:rPr>
          <w:rFonts w:ascii="Times New Roman" w:cs="Times New Roman" w:eastAsia="Times New Roman" w:hAnsi="Times New Roman"/>
          <w:sz w:val="14"/>
          <w:szCs w:val="14"/>
          <w:color w:val="auto"/>
        </w:rPr>
        <w:t>"), which are available at HTTP://WWW.JAMSADR.COM/RULES-EMPLOYMENT-ARBITRATION/. and from Human Resources. The Executive agrees that the arbitrator shall have the power to decide any motions brought by any party to the arbitration, including motions for summary judgment and/or adjudication, and motions to dismiss and demurrers, applying the standards set forth under the California Code of Civil Procedure. The Executive agrees that the arbitrator shall issue a written decision on the merits. The Executive also agrees that the arbitrator shall have the power to award any remedies available under applicable law, and that the arbitrator shall award attorneys' fees and costs to the prevailing party, where provided by applicable law. The Executive agrees that the decree or award rendered by the arbitrator may be entered as a final and binding judgment in any court having jurisdiction thereof The Executive understands that the Company will pay for any administrative or hearing fees charged by the arbitrator or JAMS except that the Executive shall pay any filing fees associated with any arbitration that the Executive initiates, but only so much of the filing fees as the Executive would have instead paid had the Executive filed a complaint in a court of law. The Executive agrees that the arbitrator shall administer and conduct any arbitration in accordance with California law, including the California Code of Civil Procedure and the California Evidence Code, and that the arbitrator shall apply substantive and procedural California law to any dispute or claim, without reference to rules of conflict of law. To the extent that the JAMS Rules conflict with California law, California law shall take precedence. The Executive agrees that any arbitration under this agreement shall be conducted in Santa Clara County, California.</w:t>
      </w:r>
    </w:p>
    <w:p>
      <w:pPr>
        <w:spacing w:after="0" w:line="136" w:lineRule="exact"/>
        <w:rPr>
          <w:rFonts w:ascii="Times New Roman" w:cs="Times New Roman" w:eastAsia="Times New Roman" w:hAnsi="Times New Roman"/>
          <w:sz w:val="14"/>
          <w:szCs w:val="14"/>
          <w:color w:val="auto"/>
        </w:rPr>
      </w:pPr>
    </w:p>
    <w:p>
      <w:pPr>
        <w:ind w:firstLine="951"/>
        <w:spacing w:after="0" w:line="282" w:lineRule="auto"/>
        <w:tabs>
          <w:tab w:leader="none" w:pos="1144" w:val="left"/>
        </w:tabs>
        <w:numPr>
          <w:ilvl w:val="2"/>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Remedy</w:t>
      </w:r>
      <w:r>
        <w:rPr>
          <w:rFonts w:ascii="Times New Roman" w:cs="Times New Roman" w:eastAsia="Times New Roman" w:hAnsi="Times New Roman"/>
          <w:sz w:val="14"/>
          <w:szCs w:val="14"/>
          <w:color w:val="auto"/>
        </w:rPr>
        <w:t>. Except as provided by the Act and this Agreement, arbitration shall be the sole, exclusive, and final remedy for any dispute between the Executive and the Company. Accordingly, except as provided for by the Act and this Agreement, neither the Executive nor the Company will be permitted to pursue court action regarding claims that are subject to arbitration.</w:t>
      </w:r>
    </w:p>
    <w:p>
      <w:pPr>
        <w:spacing w:after="0" w:line="29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380"/>
          </w:cols>
          <w:pgMar w:left="300" w:top="314" w:right="219" w:bottom="1440" w:gutter="0" w:footer="0" w:header="0"/>
        </w:sectPr>
      </w:pPr>
    </w:p>
    <w:bookmarkStart w:id="61" w:name="page62"/>
    <w:bookmarkEnd w:id="61"/>
    <w:p>
      <w:pPr>
        <w:jc w:val="both"/>
        <w:ind w:left="20" w:firstLine="951"/>
        <w:spacing w:after="0" w:line="260" w:lineRule="auto"/>
        <w:tabs>
          <w:tab w:leader="none" w:pos="1193" w:val="left"/>
        </w:tabs>
        <w:numPr>
          <w:ilvl w:val="2"/>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Administrative Relief</w:t>
      </w:r>
      <w:r>
        <w:rPr>
          <w:rFonts w:ascii="Times New Roman" w:cs="Times New Roman" w:eastAsia="Times New Roman" w:hAnsi="Times New Roman"/>
          <w:sz w:val="14"/>
          <w:szCs w:val="14"/>
          <w:color w:val="auto"/>
        </w:rPr>
        <w:t xml:space="preserve"> The Executive understands that this Agreement does not prohibit the Executive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This Agreement does, however, preclude the Executive from pursuing court action regarding any such claim, except as permitted by law.</w:t>
      </w:r>
    </w:p>
    <w:p>
      <w:pPr>
        <w:spacing w:after="0" w:line="120" w:lineRule="exact"/>
        <w:rPr>
          <w:rFonts w:ascii="Times New Roman" w:cs="Times New Roman" w:eastAsia="Times New Roman" w:hAnsi="Times New Roman"/>
          <w:sz w:val="14"/>
          <w:szCs w:val="14"/>
          <w:color w:val="auto"/>
        </w:rPr>
      </w:pPr>
    </w:p>
    <w:p>
      <w:pPr>
        <w:jc w:val="both"/>
        <w:ind w:left="40" w:firstLine="942"/>
        <w:spacing w:after="0" w:line="257" w:lineRule="auto"/>
        <w:tabs>
          <w:tab w:leader="none" w:pos="1174" w:val="left"/>
        </w:tabs>
        <w:numPr>
          <w:ilvl w:val="2"/>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Voluntary Nature of Agreement.</w:t>
      </w:r>
      <w:r>
        <w:rPr>
          <w:rFonts w:ascii="Times New Roman" w:cs="Times New Roman" w:eastAsia="Times New Roman" w:hAnsi="Times New Roman"/>
          <w:sz w:val="14"/>
          <w:szCs w:val="14"/>
          <w:color w:val="auto"/>
        </w:rPr>
        <w:t xml:space="preserve"> The Executive acknowledges and agrees that the Executive is executing this Agreement voluntarily and without any duress or undue influence by the Company or anyone else. The Executive acknowledges and agrees that the Executive has carefully read this Agreement and that the Executive has asked any questions needed for the Executive to understand the terms, consequences, and binding effect of this agreement and fully understand it, including that </w:t>
      </w:r>
      <w:r>
        <w:rPr>
          <w:rFonts w:ascii="Times New Roman" w:cs="Times New Roman" w:eastAsia="Times New Roman" w:hAnsi="Times New Roman"/>
          <w:sz w:val="14"/>
          <w:szCs w:val="14"/>
          <w:b w:val="1"/>
          <w:bCs w:val="1"/>
          <w:i w:val="1"/>
          <w:iCs w:val="1"/>
          <w:color w:val="auto"/>
        </w:rPr>
        <w:t>the Executive is waiving the Executive's right to a jury trial.</w:t>
      </w:r>
    </w:p>
    <w:p>
      <w:pPr>
        <w:ind w:left="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Finally, the Executive agrees that the Executive has been provided an opportunity to seek the advice ofan attorney of the Executive's choice before signing this agreement.</w:t>
      </w:r>
    </w:p>
    <w:p>
      <w:pPr>
        <w:spacing w:after="0" w:line="128" w:lineRule="exact"/>
        <w:rPr>
          <w:rFonts w:ascii="Times New Roman" w:cs="Times New Roman" w:eastAsia="Times New Roman" w:hAnsi="Times New Roman"/>
          <w:sz w:val="14"/>
          <w:szCs w:val="14"/>
          <w:color w:val="auto"/>
        </w:rPr>
      </w:pPr>
    </w:p>
    <w:p>
      <w:pPr>
        <w:ind w:left="660" w:hanging="213"/>
        <w:spacing w:after="0"/>
        <w:tabs>
          <w:tab w:leader="none" w:pos="6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 Provisions</w:t>
      </w:r>
      <w:r>
        <w:rPr>
          <w:rFonts w:ascii="Times New Roman" w:cs="Times New Roman" w:eastAsia="Times New Roman" w:hAnsi="Times New Roman"/>
          <w:sz w:val="14"/>
          <w:szCs w:val="14"/>
          <w:color w:val="auto"/>
        </w:rPr>
        <w:t>.</w:t>
      </w:r>
    </w:p>
    <w:p>
      <w:pPr>
        <w:spacing w:after="0" w:line="143" w:lineRule="exact"/>
        <w:rPr>
          <w:rFonts w:ascii="Times New Roman" w:cs="Times New Roman" w:eastAsia="Times New Roman" w:hAnsi="Times New Roman"/>
          <w:sz w:val="14"/>
          <w:szCs w:val="14"/>
          <w:color w:val="auto"/>
        </w:rPr>
      </w:pPr>
    </w:p>
    <w:p>
      <w:pPr>
        <w:jc w:val="both"/>
        <w:ind w:left="40" w:firstLine="942"/>
        <w:spacing w:after="0" w:line="260" w:lineRule="auto"/>
        <w:tabs>
          <w:tab w:leader="none" w:pos="1174" w:val="left"/>
        </w:tabs>
        <w:numPr>
          <w:ilvl w:val="2"/>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Notices and all other communications contemplated by this Agreement shall be in writing and shall be deemed to have been duly given when personally delivered or when mailed by overnight courier, U.S. registered or certified mail, return receipt requested and postage prepaid. In the case of the Executive, mailed notices shall be addressed to the Executive at the home address which the Executive most recently communicated to the Company in writing. In the case of the Company, mailed notices shall be addressed to its corporate headquarters, and all notices shall be directed to the attention of its Secretary.</w:t>
      </w:r>
    </w:p>
    <w:p>
      <w:pPr>
        <w:spacing w:after="0" w:line="109" w:lineRule="exact"/>
        <w:rPr>
          <w:rFonts w:ascii="Times New Roman" w:cs="Times New Roman" w:eastAsia="Times New Roman" w:hAnsi="Times New Roman"/>
          <w:sz w:val="14"/>
          <w:szCs w:val="14"/>
          <w:color w:val="auto"/>
        </w:rPr>
      </w:pPr>
    </w:p>
    <w:p>
      <w:pPr>
        <w:jc w:val="both"/>
        <w:ind w:left="20" w:firstLine="951"/>
        <w:spacing w:after="0" w:line="266" w:lineRule="auto"/>
        <w:tabs>
          <w:tab w:leader="none" w:pos="1161" w:val="left"/>
        </w:tabs>
        <w:numPr>
          <w:ilvl w:val="2"/>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Modifications and Waivers</w:t>
      </w:r>
      <w:r>
        <w:rPr>
          <w:rFonts w:ascii="Times New Roman" w:cs="Times New Roman" w:eastAsia="Times New Roman" w:hAnsi="Times New Roman"/>
          <w:sz w:val="14"/>
          <w:szCs w:val="14"/>
          <w:color w:val="auto"/>
        </w:rPr>
        <w:t>. No provision of this Agreement shall be modified, waived or discharged unless the modification, waiver or discharge is 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04" w:lineRule="exact"/>
        <w:rPr>
          <w:rFonts w:ascii="Times New Roman" w:cs="Times New Roman" w:eastAsia="Times New Roman" w:hAnsi="Times New Roman"/>
          <w:sz w:val="14"/>
          <w:szCs w:val="14"/>
          <w:color w:val="auto"/>
        </w:rPr>
      </w:pPr>
    </w:p>
    <w:p>
      <w:pPr>
        <w:ind w:left="20" w:firstLine="951"/>
        <w:spacing w:after="0" w:line="282" w:lineRule="auto"/>
        <w:tabs>
          <w:tab w:leader="none" w:pos="1154" w:val="left"/>
        </w:tabs>
        <w:numPr>
          <w:ilvl w:val="2"/>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Whole Agreement</w:t>
      </w:r>
      <w:r>
        <w:rPr>
          <w:rFonts w:ascii="Times New Roman" w:cs="Times New Roman" w:eastAsia="Times New Roman" w:hAnsi="Times New Roman"/>
          <w:sz w:val="14"/>
          <w:szCs w:val="14"/>
          <w:color w:val="auto"/>
        </w:rPr>
        <w:t>. No other agreements, representations or understandings (whether oral or written) which are not expressly set forth in this Agreement have been made or entered into by either party with respect to the subject matter of this Agreement. This Agreement and the EPIA contain the entire understanding of the parties with respect to the subject matter hereof.</w:t>
      </w:r>
    </w:p>
    <w:p>
      <w:pPr>
        <w:spacing w:after="0" w:line="103" w:lineRule="exact"/>
        <w:rPr>
          <w:rFonts w:ascii="Times New Roman" w:cs="Times New Roman" w:eastAsia="Times New Roman" w:hAnsi="Times New Roman"/>
          <w:sz w:val="14"/>
          <w:szCs w:val="14"/>
          <w:color w:val="auto"/>
        </w:rPr>
      </w:pPr>
    </w:p>
    <w:p>
      <w:pPr>
        <w:ind w:left="1160" w:hanging="189"/>
        <w:spacing w:after="0"/>
        <w:tabs>
          <w:tab w:leader="none" w:pos="1160" w:val="left"/>
        </w:tabs>
        <w:numPr>
          <w:ilvl w:val="2"/>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Withholding Taxes.</w:t>
      </w:r>
      <w:r>
        <w:rPr>
          <w:rFonts w:ascii="Times New Roman" w:cs="Times New Roman" w:eastAsia="Times New Roman" w:hAnsi="Times New Roman"/>
          <w:sz w:val="14"/>
          <w:szCs w:val="14"/>
          <w:color w:val="auto"/>
        </w:rPr>
        <w:t xml:space="preserve"> All payments made under this Agreement shall be subject to reduction to reflect taxes or other charges required to be withheld by law.</w:t>
      </w:r>
    </w:p>
    <w:p>
      <w:pPr>
        <w:spacing w:after="0" w:line="143" w:lineRule="exact"/>
        <w:rPr>
          <w:rFonts w:ascii="Times New Roman" w:cs="Times New Roman" w:eastAsia="Times New Roman" w:hAnsi="Times New Roman"/>
          <w:sz w:val="14"/>
          <w:szCs w:val="14"/>
          <w:color w:val="auto"/>
        </w:rPr>
      </w:pPr>
    </w:p>
    <w:p>
      <w:pPr>
        <w:ind w:firstLine="950"/>
        <w:spacing w:after="0" w:line="282" w:lineRule="auto"/>
        <w:tabs>
          <w:tab w:leader="none" w:pos="1144"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 Consent to Personal Jurisdiction</w:t>
      </w:r>
      <w:r>
        <w:rPr>
          <w:rFonts w:ascii="Times New Roman" w:cs="Times New Roman" w:eastAsia="Times New Roman" w:hAnsi="Times New Roman"/>
          <w:sz w:val="14"/>
          <w:szCs w:val="14"/>
          <w:color w:val="auto"/>
        </w:rPr>
        <w:t>. This agreement will be governed by the laws of the State of California without regard for conflicts or choice of laws principles. without regard for choice-of-law provisions. The Executive consents to personal and exclusive jurisdiction and venue :in the State of California.</w:t>
      </w:r>
    </w:p>
    <w:p>
      <w:pPr>
        <w:spacing w:after="0" w:line="103" w:lineRule="exact"/>
        <w:rPr>
          <w:rFonts w:ascii="Times New Roman" w:cs="Times New Roman" w:eastAsia="Times New Roman" w:hAnsi="Times New Roman"/>
          <w:sz w:val="14"/>
          <w:szCs w:val="14"/>
          <w:color w:val="auto"/>
        </w:rPr>
      </w:pPr>
    </w:p>
    <w:p>
      <w:pPr>
        <w:ind w:firstLine="950"/>
        <w:spacing w:after="0" w:line="265" w:lineRule="auto"/>
        <w:tabs>
          <w:tab w:leader="none" w:pos="1118"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The invalidity or unenforceability of any provision or provisions of this Agreement shall not affect the validity or enforceability of any other provision hereof, which shall remain in full force and effect.</w:t>
      </w:r>
    </w:p>
    <w:p>
      <w:pPr>
        <w:jc w:val="both"/>
        <w:ind w:left="20" w:firstLine="951"/>
        <w:spacing w:after="0" w:line="266" w:lineRule="auto"/>
        <w:tabs>
          <w:tab w:leader="none" w:pos="1161" w:val="left"/>
        </w:tabs>
        <w:numPr>
          <w:ilvl w:val="2"/>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Assignment</w:t>
      </w:r>
      <w:r>
        <w:rPr>
          <w:rFonts w:ascii="Times New Roman" w:cs="Times New Roman" w:eastAsia="Times New Roman" w:hAnsi="Times New Roman"/>
          <w:sz w:val="14"/>
          <w:szCs w:val="14"/>
          <w:color w:val="auto"/>
        </w:rPr>
        <w:t>. This Agreement and all rights and obligations of the Executive hereunder are personal to the Executive and may not be transferred or assigned by the Executive at any time. The Company may assign its rights under this Agreement to any entity that assumes the Company's obligations hereunder in connection with any sale or transfer of all or a substantial portion of the Company's assets to such entity.</w:t>
      </w:r>
    </w:p>
    <w:p>
      <w:pPr>
        <w:spacing w:after="0" w:line="10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 xml:space="preserve">(h)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xml:space="preserve"> This Agreement may be executed in two or more counterparts, each of which shall be deemed an original, but all of which together shall constitute one and the same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instrument.</w:t>
      </w:r>
    </w:p>
    <w:p>
      <w:pPr>
        <w:spacing w:after="0" w:line="3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400"/>
          </w:cols>
          <w:pgMar w:left="280" w:top="314" w:right="219" w:bottom="1440" w:gutter="0" w:footer="0" w:header="0"/>
        </w:sectPr>
      </w:pPr>
    </w:p>
    <w:bookmarkStart w:id="62" w:name="page63"/>
    <w:bookmarkEnd w:id="62"/>
    <w:p>
      <w:pPr>
        <w:ind w:left="880"/>
        <w:spacing w:after="0"/>
        <w:rPr>
          <w:sz w:val="20"/>
          <w:szCs w:val="20"/>
          <w:color w:val="auto"/>
        </w:rPr>
      </w:pPr>
      <w:r>
        <w:rPr>
          <w:rFonts w:ascii="Times New Roman" w:cs="Times New Roman" w:eastAsia="Times New Roman" w:hAnsi="Times New Roman"/>
          <w:sz w:val="13"/>
          <w:szCs w:val="13"/>
          <w:color w:val="auto"/>
        </w:rPr>
        <w:t>IN WITNESS WHEREOF, each of the parties has executed this Agreement, in the case of the Company by its duly authorized officer,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80"/>
        <w:spacing w:after="0"/>
        <w:tabs>
          <w:tab w:leader="none" w:pos="6360" w:val="left"/>
        </w:tabs>
        <w:rPr>
          <w:sz w:val="20"/>
          <w:szCs w:val="20"/>
          <w:color w:val="auto"/>
        </w:rPr>
      </w:pPr>
      <w:r>
        <w:rPr>
          <w:rFonts w:ascii="Times New Roman" w:cs="Times New Roman" w:eastAsia="Times New Roman" w:hAnsi="Times New Roman"/>
          <w:sz w:val="14"/>
          <w:szCs w:val="14"/>
          <w:color w:val="auto"/>
        </w:rPr>
        <w:t>/S/</w:t>
        <w:tab/>
        <w:t>JOHN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26670</wp:posOffset>
            </wp:positionV>
            <wp:extent cx="204406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44065" cy="6350"/>
                    </a:xfrm>
                    <a:prstGeom prst="rect">
                      <a:avLst/>
                    </a:prstGeom>
                    <a:noFill/>
                  </pic:spPr>
                </pic:pic>
              </a:graphicData>
            </a:graphic>
          </wp:anchor>
        </w:drawing>
      </w:r>
    </w:p>
    <w:p>
      <w:pPr>
        <w:spacing w:after="0" w:line="3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b w:val="1"/>
          <w:bCs w:val="1"/>
          <w:color w:val="auto"/>
        </w:rPr>
        <w:t>JOHN MORICI</w:t>
      </w:r>
    </w:p>
    <w:p>
      <w:pPr>
        <w:spacing w:after="0" w:line="29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ALIGN TECHNOLOGY, INC.</w:t>
      </w:r>
    </w:p>
    <w:p>
      <w:pPr>
        <w:spacing w:after="0" w:line="29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color w:val="auto"/>
        </w:rPr>
        <w:t>/S/  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26670</wp:posOffset>
            </wp:positionV>
            <wp:extent cx="204406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44065" cy="6350"/>
                    </a:xfrm>
                    <a:prstGeom prst="rect">
                      <a:avLst/>
                    </a:prstGeom>
                    <a:noFill/>
                  </pic:spPr>
                </pic:pic>
              </a:graphicData>
            </a:graphic>
          </wp:anchor>
        </w:drawing>
      </w:r>
    </w:p>
    <w:p>
      <w:pPr>
        <w:spacing w:after="0" w:line="37" w:lineRule="exact"/>
        <w:rPr>
          <w:sz w:val="20"/>
          <w:szCs w:val="20"/>
          <w:color w:val="auto"/>
        </w:rPr>
      </w:pPr>
    </w:p>
    <w:p>
      <w:pPr>
        <w:ind w:left="5560"/>
        <w:spacing w:after="0"/>
        <w:tabs>
          <w:tab w:leader="none" w:pos="60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b w:val="1"/>
          <w:bCs w:val="1"/>
          <w:color w:val="auto"/>
        </w:rPr>
        <w:t>JOSEPH M. HOGAN</w:t>
      </w:r>
    </w:p>
    <w:p>
      <w:pPr>
        <w:spacing w:after="0" w:line="51" w:lineRule="exact"/>
        <w:rPr>
          <w:sz w:val="20"/>
          <w:szCs w:val="20"/>
          <w:color w:val="auto"/>
        </w:rPr>
      </w:pPr>
    </w:p>
    <w:p>
      <w:pPr>
        <w:ind w:left="5560"/>
        <w:spacing w:after="0"/>
        <w:tabs>
          <w:tab w:leader="none" w:pos="60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CFO 2016 Morici draft Agreement</w:t>
      </w:r>
    </w:p>
    <w:p>
      <w:pPr>
        <w:spacing w:after="0" w:line="1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740"/>
          </w:cols>
          <w:pgMar w:left="300" w:top="335" w:right="859" w:bottom="1440" w:gutter="0" w:footer="0" w:header="0"/>
        </w:sectPr>
      </w:pPr>
    </w:p>
    <w:bookmarkStart w:id="63" w:name="page64"/>
    <w:bookmarkEnd w:id="63"/>
    <w:tbl>
      <w:tblPr>
        <w:tblLayout w:type="fixed"/>
        <w:tblInd w:w="10" w:type="dxa"/>
        <w:tblCellMar>
          <w:top w:w="0" w:type="dxa"/>
          <w:left w:w="0" w:type="dxa"/>
          <w:bottom w:w="0" w:type="dxa"/>
          <w:right w:w="0" w:type="dxa"/>
        </w:tblCellMar>
      </w:tblPr>
      <w:tr>
        <w:trPr>
          <w:trHeight w:val="195"/>
        </w:trPr>
        <w:tc>
          <w:tcPr>
            <w:tcW w:w="2980" w:type="dxa"/>
            <w:vAlign w:val="bottom"/>
          </w:tcPr>
          <w:p>
            <w:pPr>
              <w:spacing w:after="0"/>
              <w:rPr>
                <w:sz w:val="17"/>
                <w:szCs w:val="17"/>
                <w:color w:val="auto"/>
              </w:rPr>
            </w:pPr>
          </w:p>
        </w:tc>
        <w:tc>
          <w:tcPr>
            <w:tcW w:w="7560" w:type="dxa"/>
            <w:vAlign w:val="bottom"/>
            <w:gridSpan w:val="3"/>
          </w:tcPr>
          <w:p>
            <w:pPr>
              <w:ind w:left="1880"/>
              <w:spacing w:after="0"/>
              <w:rPr>
                <w:sz w:val="20"/>
                <w:szCs w:val="20"/>
                <w:color w:val="auto"/>
              </w:rPr>
            </w:pPr>
            <w:r>
              <w:rPr>
                <w:rFonts w:ascii="Times New Roman" w:cs="Times New Roman" w:eastAsia="Times New Roman" w:hAnsi="Times New Roman"/>
                <w:sz w:val="17"/>
                <w:szCs w:val="17"/>
                <w:color w:val="auto"/>
              </w:rPr>
              <w:t>EXHIBIT A</w:t>
            </w:r>
          </w:p>
        </w:tc>
        <w:tc>
          <w:tcPr>
            <w:tcW w:w="0" w:type="dxa"/>
            <w:vAlign w:val="bottom"/>
          </w:tcPr>
          <w:p>
            <w:pPr>
              <w:spacing w:after="0"/>
              <w:rPr>
                <w:sz w:val="1"/>
                <w:szCs w:val="1"/>
                <w:color w:val="auto"/>
              </w:rPr>
            </w:pPr>
          </w:p>
        </w:tc>
      </w:tr>
      <w:tr>
        <w:trPr>
          <w:trHeight w:val="285"/>
        </w:trPr>
        <w:tc>
          <w:tcPr>
            <w:tcW w:w="298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80" w:type="dxa"/>
            <w:vAlign w:val="bottom"/>
            <w:tcBorders>
              <w:right w:val="single" w:sz="8" w:color="auto"/>
            </w:tcBorders>
          </w:tcPr>
          <w:p>
            <w:pPr>
              <w:spacing w:after="0"/>
              <w:rPr>
                <w:sz w:val="16"/>
                <w:szCs w:val="16"/>
                <w:color w:val="auto"/>
              </w:rPr>
            </w:pPr>
          </w:p>
        </w:tc>
        <w:tc>
          <w:tcPr>
            <w:tcW w:w="75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Vice President &amp; Above</w:t>
            </w:r>
          </w:p>
        </w:tc>
        <w:tc>
          <w:tcPr>
            <w:tcW w:w="0" w:type="dxa"/>
            <w:vAlign w:val="bottom"/>
          </w:tcPr>
          <w:p>
            <w:pPr>
              <w:spacing w:after="0"/>
              <w:rPr>
                <w:sz w:val="1"/>
                <w:szCs w:val="1"/>
                <w:color w:val="auto"/>
              </w:rPr>
            </w:pPr>
          </w:p>
        </w:tc>
      </w:tr>
      <w:tr>
        <w:trPr>
          <w:trHeight w:val="22"/>
        </w:trPr>
        <w:tc>
          <w:tcPr>
            <w:tcW w:w="298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2980" w:type="dxa"/>
            <w:vAlign w:val="bottom"/>
            <w:tcBorders>
              <w:left w:val="single" w:sz="8" w:color="auto"/>
              <w:right w:val="single" w:sz="8" w:color="auto"/>
            </w:tcBorders>
            <w:shd w:val="clear" w:color="auto" w:fill="E6E6E6"/>
          </w:tcPr>
          <w:p>
            <w:pPr>
              <w:spacing w:after="0"/>
              <w:rPr>
                <w:sz w:val="14"/>
                <w:szCs w:val="14"/>
                <w:color w:val="auto"/>
              </w:rPr>
            </w:pPr>
          </w:p>
        </w:tc>
        <w:tc>
          <w:tcPr>
            <w:tcW w:w="75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color w:val="auto"/>
              </w:rPr>
              <w:t>- Packing, loading, transporting, and insurance</w:t>
            </w:r>
          </w:p>
        </w:tc>
        <w:tc>
          <w:tcPr>
            <w:tcW w:w="0" w:type="dxa"/>
            <w:vAlign w:val="bottom"/>
          </w:tcPr>
          <w:p>
            <w:pPr>
              <w:spacing w:after="0"/>
              <w:rPr>
                <w:sz w:val="1"/>
                <w:szCs w:val="1"/>
                <w:color w:val="auto"/>
              </w:rPr>
            </w:pPr>
          </w:p>
        </w:tc>
      </w:tr>
      <w:tr>
        <w:trPr>
          <w:trHeight w:val="157"/>
        </w:trPr>
        <w:tc>
          <w:tcPr>
            <w:tcW w:w="2980" w:type="dxa"/>
            <w:vAlign w:val="bottom"/>
            <w:tcBorders>
              <w:left w:val="single" w:sz="8" w:color="auto"/>
              <w:right w:val="single" w:sz="8" w:color="auto"/>
            </w:tcBorders>
            <w:shd w:val="clear" w:color="auto" w:fill="E6E6E6"/>
          </w:tcPr>
          <w:p>
            <w:pPr>
              <w:spacing w:after="0"/>
              <w:rPr>
                <w:sz w:val="13"/>
                <w:szCs w:val="13"/>
                <w:color w:val="auto"/>
              </w:rPr>
            </w:pPr>
          </w:p>
        </w:tc>
        <w:tc>
          <w:tcPr>
            <w:tcW w:w="7560" w:type="dxa"/>
            <w:vAlign w:val="bottom"/>
            <w:tcBorders>
              <w:right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color w:val="auto"/>
              </w:rPr>
              <w:t>- Two vehicles, if over 500 miles</w:t>
            </w:r>
          </w:p>
        </w:tc>
        <w:tc>
          <w:tcPr>
            <w:tcW w:w="0" w:type="dxa"/>
            <w:vAlign w:val="bottom"/>
          </w:tcPr>
          <w:p>
            <w:pPr>
              <w:spacing w:after="0"/>
              <w:rPr>
                <w:sz w:val="1"/>
                <w:szCs w:val="1"/>
                <w:color w:val="auto"/>
              </w:rPr>
            </w:pPr>
          </w:p>
        </w:tc>
      </w:tr>
      <w:tr>
        <w:trPr>
          <w:trHeight w:val="157"/>
        </w:trPr>
        <w:tc>
          <w:tcPr>
            <w:tcW w:w="2980" w:type="dxa"/>
            <w:vAlign w:val="bottom"/>
            <w:tcBorders>
              <w:left w:val="single" w:sz="8" w:color="auto"/>
              <w:right w:val="single" w:sz="8" w:color="auto"/>
            </w:tcBorders>
            <w:vMerge w:val="restart"/>
            <w:shd w:val="clear" w:color="auto" w:fill="E6E6E6"/>
          </w:tcPr>
          <w:p>
            <w:pPr>
              <w:ind w:left="40"/>
              <w:spacing w:after="0"/>
              <w:rPr>
                <w:sz w:val="20"/>
                <w:szCs w:val="20"/>
                <w:color w:val="auto"/>
              </w:rPr>
            </w:pPr>
            <w:r>
              <w:rPr>
                <w:rFonts w:ascii="Times New Roman" w:cs="Times New Roman" w:eastAsia="Times New Roman" w:hAnsi="Times New Roman"/>
                <w:sz w:val="13"/>
                <w:szCs w:val="13"/>
                <w:b w:val="1"/>
                <w:bCs w:val="1"/>
                <w:color w:val="auto"/>
              </w:rPr>
              <w:t>Household Goods Shipment</w:t>
            </w:r>
          </w:p>
        </w:tc>
        <w:tc>
          <w:tcPr>
            <w:tcW w:w="7560" w:type="dxa"/>
            <w:vAlign w:val="bottom"/>
            <w:tcBorders>
              <w:right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color w:val="auto"/>
              </w:rPr>
              <w:t>- Renter: 30 days of storage</w:t>
            </w:r>
          </w:p>
        </w:tc>
        <w:tc>
          <w:tcPr>
            <w:tcW w:w="0" w:type="dxa"/>
            <w:vAlign w:val="bottom"/>
          </w:tcPr>
          <w:p>
            <w:pPr>
              <w:spacing w:after="0"/>
              <w:rPr>
                <w:sz w:val="1"/>
                <w:szCs w:val="1"/>
                <w:color w:val="auto"/>
              </w:rPr>
            </w:pPr>
          </w:p>
        </w:tc>
      </w:tr>
      <w:tr>
        <w:trPr>
          <w:trHeight w:val="190"/>
        </w:trPr>
        <w:tc>
          <w:tcPr>
            <w:tcW w:w="2980" w:type="dxa"/>
            <w:vAlign w:val="bottom"/>
            <w:tcBorders>
              <w:left w:val="single" w:sz="8" w:color="auto"/>
              <w:bottom w:val="single" w:sz="8" w:color="E6E6E6"/>
              <w:right w:val="single" w:sz="8" w:color="auto"/>
            </w:tcBorders>
            <w:vMerge w:val="continue"/>
            <w:shd w:val="clear" w:color="auto" w:fill="E6E6E6"/>
          </w:tcPr>
          <w:p>
            <w:pPr>
              <w:spacing w:after="0"/>
              <w:rPr>
                <w:sz w:val="16"/>
                <w:szCs w:val="16"/>
                <w:color w:val="auto"/>
              </w:rPr>
            </w:pPr>
          </w:p>
        </w:tc>
        <w:tc>
          <w:tcPr>
            <w:tcW w:w="7560" w:type="dxa"/>
            <w:vAlign w:val="bottom"/>
            <w:tcBorders>
              <w:right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color w:val="auto"/>
              </w:rPr>
              <w:t>- Homeowner: 60 days of storage</w:t>
            </w:r>
          </w:p>
        </w:tc>
        <w:tc>
          <w:tcPr>
            <w:tcW w:w="0" w:type="dxa"/>
            <w:vAlign w:val="bottom"/>
          </w:tcPr>
          <w:p>
            <w:pPr>
              <w:spacing w:after="0"/>
              <w:rPr>
                <w:sz w:val="1"/>
                <w:szCs w:val="1"/>
                <w:color w:val="auto"/>
              </w:rPr>
            </w:pPr>
          </w:p>
        </w:tc>
      </w:tr>
      <w:tr>
        <w:trPr>
          <w:trHeight w:val="167"/>
        </w:trPr>
        <w:tc>
          <w:tcPr>
            <w:tcW w:w="2980" w:type="dxa"/>
            <w:vAlign w:val="bottom"/>
            <w:tcBorders>
              <w:top w:val="single" w:sz="8" w:color="auto"/>
              <w:left w:val="single" w:sz="8" w:color="auto"/>
              <w:right w:val="single" w:sz="8" w:color="auto"/>
            </w:tcBorders>
            <w:shd w:val="clear" w:color="auto" w:fill="E6E6E6"/>
          </w:tcPr>
          <w:p>
            <w:pPr>
              <w:spacing w:after="0"/>
              <w:rPr>
                <w:sz w:val="14"/>
                <w:szCs w:val="14"/>
                <w:color w:val="auto"/>
              </w:rPr>
            </w:pPr>
          </w:p>
        </w:tc>
        <w:tc>
          <w:tcPr>
            <w:tcW w:w="7560" w:type="dxa"/>
            <w:vAlign w:val="bottom"/>
            <w:tcBorders>
              <w:top w:val="single" w:sz="8" w:color="auto"/>
              <w:right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color w:val="auto"/>
              </w:rPr>
              <w:t xml:space="preserve">- One-way economy airfare </w:t>
            </w:r>
            <w:r>
              <w:rPr>
                <w:rFonts w:ascii="Times New Roman" w:cs="Times New Roman" w:eastAsia="Times New Roman" w:hAnsi="Times New Roman"/>
                <w:sz w:val="13"/>
                <w:szCs w:val="13"/>
                <w:b w:val="1"/>
                <w:bCs w:val="1"/>
                <w:color w:val="auto"/>
              </w:rPr>
              <w:t>OR</w:t>
            </w:r>
          </w:p>
        </w:tc>
        <w:tc>
          <w:tcPr>
            <w:tcW w:w="0" w:type="dxa"/>
            <w:vAlign w:val="bottom"/>
          </w:tcPr>
          <w:p>
            <w:pPr>
              <w:spacing w:after="0"/>
              <w:rPr>
                <w:sz w:val="1"/>
                <w:szCs w:val="1"/>
                <w:color w:val="auto"/>
              </w:rPr>
            </w:pPr>
          </w:p>
        </w:tc>
      </w:tr>
      <w:tr>
        <w:trPr>
          <w:trHeight w:val="157"/>
        </w:trPr>
        <w:tc>
          <w:tcPr>
            <w:tcW w:w="2980" w:type="dxa"/>
            <w:vAlign w:val="bottom"/>
            <w:tcBorders>
              <w:left w:val="single" w:sz="8" w:color="auto"/>
              <w:right w:val="single" w:sz="8" w:color="auto"/>
            </w:tcBorders>
            <w:vMerge w:val="restart"/>
            <w:shd w:val="clear" w:color="auto" w:fill="E6E6E6"/>
          </w:tcPr>
          <w:p>
            <w:pPr>
              <w:ind w:left="40"/>
              <w:spacing w:after="0"/>
              <w:rPr>
                <w:sz w:val="20"/>
                <w:szCs w:val="20"/>
                <w:color w:val="auto"/>
              </w:rPr>
            </w:pPr>
            <w:r>
              <w:rPr>
                <w:rFonts w:ascii="Times New Roman" w:cs="Times New Roman" w:eastAsia="Times New Roman" w:hAnsi="Times New Roman"/>
                <w:sz w:val="13"/>
                <w:szCs w:val="13"/>
                <w:b w:val="1"/>
                <w:bCs w:val="1"/>
                <w:color w:val="auto"/>
              </w:rPr>
              <w:t>En Route Trip</w:t>
            </w:r>
          </w:p>
        </w:tc>
        <w:tc>
          <w:tcPr>
            <w:tcW w:w="75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color w:val="auto"/>
              </w:rPr>
              <w:t>- Mileage for two cars at current rate, (based on 400 miles/day)</w:t>
            </w:r>
          </w:p>
        </w:tc>
        <w:tc>
          <w:tcPr>
            <w:tcW w:w="0" w:type="dxa"/>
            <w:vAlign w:val="bottom"/>
          </w:tcPr>
          <w:p>
            <w:pPr>
              <w:spacing w:after="0"/>
              <w:rPr>
                <w:sz w:val="1"/>
                <w:szCs w:val="1"/>
                <w:color w:val="auto"/>
              </w:rPr>
            </w:pPr>
          </w:p>
        </w:tc>
      </w:tr>
      <w:tr>
        <w:trPr>
          <w:trHeight w:val="190"/>
        </w:trPr>
        <w:tc>
          <w:tcPr>
            <w:tcW w:w="2980" w:type="dxa"/>
            <w:vAlign w:val="bottom"/>
            <w:tcBorders>
              <w:left w:val="single" w:sz="8" w:color="auto"/>
              <w:bottom w:val="single" w:sz="8" w:color="E6E6E6"/>
              <w:right w:val="single" w:sz="8" w:color="auto"/>
            </w:tcBorders>
            <w:vMerge w:val="continue"/>
            <w:shd w:val="clear" w:color="auto" w:fill="E6E6E6"/>
          </w:tcPr>
          <w:p>
            <w:pPr>
              <w:spacing w:after="0"/>
              <w:rPr>
                <w:sz w:val="16"/>
                <w:szCs w:val="16"/>
                <w:color w:val="auto"/>
              </w:rPr>
            </w:pPr>
          </w:p>
        </w:tc>
        <w:tc>
          <w:tcPr>
            <w:tcW w:w="7560" w:type="dxa"/>
            <w:vAlign w:val="bottom"/>
            <w:tcBorders>
              <w:right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color w:val="auto"/>
              </w:rPr>
              <w:t>- Reasonable meals and lodging</w:t>
            </w:r>
          </w:p>
        </w:tc>
        <w:tc>
          <w:tcPr>
            <w:tcW w:w="0" w:type="dxa"/>
            <w:vAlign w:val="bottom"/>
          </w:tcPr>
          <w:p>
            <w:pPr>
              <w:spacing w:after="0"/>
              <w:rPr>
                <w:sz w:val="1"/>
                <w:szCs w:val="1"/>
                <w:color w:val="auto"/>
              </w:rPr>
            </w:pPr>
          </w:p>
        </w:tc>
      </w:tr>
      <w:tr>
        <w:trPr>
          <w:trHeight w:val="167"/>
        </w:trPr>
        <w:tc>
          <w:tcPr>
            <w:tcW w:w="2980" w:type="dxa"/>
            <w:vAlign w:val="bottom"/>
            <w:tcBorders>
              <w:top w:val="single" w:sz="8" w:color="auto"/>
              <w:left w:val="single" w:sz="8" w:color="auto"/>
              <w:right w:val="single" w:sz="8" w:color="auto"/>
            </w:tcBorders>
            <w:shd w:val="clear" w:color="auto" w:fill="E6E6E6"/>
          </w:tcPr>
          <w:p>
            <w:pPr>
              <w:spacing w:after="0"/>
              <w:rPr>
                <w:sz w:val="14"/>
                <w:szCs w:val="14"/>
                <w:color w:val="auto"/>
              </w:rPr>
            </w:pPr>
          </w:p>
        </w:tc>
        <w:tc>
          <w:tcPr>
            <w:tcW w:w="7560" w:type="dxa"/>
            <w:vAlign w:val="bottom"/>
            <w:tcBorders>
              <w:top w:val="single" w:sz="8" w:color="auto"/>
              <w:right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color w:val="auto"/>
              </w:rPr>
              <w:t>- 1 trip (7 days/6 nights)</w:t>
            </w:r>
          </w:p>
        </w:tc>
        <w:tc>
          <w:tcPr>
            <w:tcW w:w="0" w:type="dxa"/>
            <w:vAlign w:val="bottom"/>
          </w:tcPr>
          <w:p>
            <w:pPr>
              <w:spacing w:after="0"/>
              <w:rPr>
                <w:sz w:val="1"/>
                <w:szCs w:val="1"/>
                <w:color w:val="auto"/>
              </w:rPr>
            </w:pPr>
          </w:p>
        </w:tc>
      </w:tr>
      <w:tr>
        <w:trPr>
          <w:trHeight w:val="157"/>
        </w:trPr>
        <w:tc>
          <w:tcPr>
            <w:tcW w:w="2980" w:type="dxa"/>
            <w:vAlign w:val="bottom"/>
            <w:tcBorders>
              <w:left w:val="single" w:sz="8" w:color="auto"/>
              <w:right w:val="single" w:sz="8" w:color="auto"/>
            </w:tcBorders>
            <w:shd w:val="clear" w:color="auto" w:fill="E6E6E6"/>
          </w:tcPr>
          <w:p>
            <w:pPr>
              <w:spacing w:after="0"/>
              <w:rPr>
                <w:sz w:val="13"/>
                <w:szCs w:val="13"/>
                <w:color w:val="auto"/>
              </w:rPr>
            </w:pPr>
          </w:p>
        </w:tc>
        <w:tc>
          <w:tcPr>
            <w:tcW w:w="7560" w:type="dxa"/>
            <w:vAlign w:val="bottom"/>
            <w:tcBorders>
              <w:right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color w:val="auto"/>
              </w:rPr>
              <w:t>- Employee and spouse/domestic partner</w:t>
            </w:r>
          </w:p>
        </w:tc>
        <w:tc>
          <w:tcPr>
            <w:tcW w:w="0" w:type="dxa"/>
            <w:vAlign w:val="bottom"/>
          </w:tcPr>
          <w:p>
            <w:pPr>
              <w:spacing w:after="0"/>
              <w:rPr>
                <w:sz w:val="1"/>
                <w:szCs w:val="1"/>
                <w:color w:val="auto"/>
              </w:rPr>
            </w:pPr>
          </w:p>
        </w:tc>
      </w:tr>
      <w:tr>
        <w:trPr>
          <w:trHeight w:val="157"/>
        </w:trPr>
        <w:tc>
          <w:tcPr>
            <w:tcW w:w="2980" w:type="dxa"/>
            <w:vAlign w:val="bottom"/>
            <w:tcBorders>
              <w:left w:val="single" w:sz="8" w:color="auto"/>
              <w:right w:val="single" w:sz="8" w:color="auto"/>
            </w:tcBorders>
            <w:vMerge w:val="restart"/>
            <w:shd w:val="clear" w:color="auto" w:fill="E6E6E6"/>
          </w:tcPr>
          <w:p>
            <w:pPr>
              <w:ind w:left="40"/>
              <w:spacing w:after="0"/>
              <w:rPr>
                <w:sz w:val="20"/>
                <w:szCs w:val="20"/>
                <w:color w:val="auto"/>
              </w:rPr>
            </w:pPr>
            <w:r>
              <w:rPr>
                <w:rFonts w:ascii="Times New Roman" w:cs="Times New Roman" w:eastAsia="Times New Roman" w:hAnsi="Times New Roman"/>
                <w:sz w:val="13"/>
                <w:szCs w:val="13"/>
                <w:b w:val="1"/>
                <w:bCs w:val="1"/>
                <w:color w:val="auto"/>
              </w:rPr>
              <w:t>Home Finding Trip</w:t>
            </w:r>
          </w:p>
        </w:tc>
        <w:tc>
          <w:tcPr>
            <w:tcW w:w="75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color w:val="auto"/>
              </w:rPr>
              <w:t>- RT economy airfare or mileage for one car at IRS rate</w:t>
            </w:r>
          </w:p>
        </w:tc>
        <w:tc>
          <w:tcPr>
            <w:tcW w:w="0" w:type="dxa"/>
            <w:vAlign w:val="bottom"/>
          </w:tcPr>
          <w:p>
            <w:pPr>
              <w:spacing w:after="0"/>
              <w:rPr>
                <w:sz w:val="1"/>
                <w:szCs w:val="1"/>
                <w:color w:val="auto"/>
              </w:rPr>
            </w:pPr>
          </w:p>
        </w:tc>
      </w:tr>
      <w:tr>
        <w:trPr>
          <w:trHeight w:val="190"/>
        </w:trPr>
        <w:tc>
          <w:tcPr>
            <w:tcW w:w="2980" w:type="dxa"/>
            <w:vAlign w:val="bottom"/>
            <w:tcBorders>
              <w:left w:val="single" w:sz="8" w:color="auto"/>
              <w:bottom w:val="single" w:sz="8" w:color="E6E6E6"/>
              <w:right w:val="single" w:sz="8" w:color="auto"/>
            </w:tcBorders>
            <w:vMerge w:val="continue"/>
            <w:shd w:val="clear" w:color="auto" w:fill="E6E6E6"/>
          </w:tcPr>
          <w:p>
            <w:pPr>
              <w:spacing w:after="0"/>
              <w:rPr>
                <w:sz w:val="16"/>
                <w:szCs w:val="16"/>
                <w:color w:val="auto"/>
              </w:rPr>
            </w:pPr>
          </w:p>
        </w:tc>
        <w:tc>
          <w:tcPr>
            <w:tcW w:w="7560" w:type="dxa"/>
            <w:vAlign w:val="bottom"/>
            <w:tcBorders>
              <w:right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color w:val="auto"/>
              </w:rPr>
              <w:t>- Meals, lodging, and rental car</w:t>
            </w:r>
          </w:p>
        </w:tc>
        <w:tc>
          <w:tcPr>
            <w:tcW w:w="0" w:type="dxa"/>
            <w:vAlign w:val="bottom"/>
          </w:tcPr>
          <w:p>
            <w:pPr>
              <w:spacing w:after="0"/>
              <w:rPr>
                <w:sz w:val="1"/>
                <w:szCs w:val="1"/>
                <w:color w:val="auto"/>
              </w:rPr>
            </w:pPr>
          </w:p>
        </w:tc>
      </w:tr>
      <w:tr>
        <w:trPr>
          <w:trHeight w:val="167"/>
        </w:trPr>
        <w:tc>
          <w:tcPr>
            <w:tcW w:w="2980" w:type="dxa"/>
            <w:vAlign w:val="bottom"/>
            <w:tcBorders>
              <w:top w:val="single" w:sz="8" w:color="auto"/>
              <w:left w:val="single" w:sz="8" w:color="auto"/>
              <w:right w:val="single" w:sz="8" w:color="auto"/>
            </w:tcBorders>
            <w:shd w:val="clear" w:color="auto" w:fill="E6E6E6"/>
          </w:tcPr>
          <w:p>
            <w:pPr>
              <w:spacing w:after="0"/>
              <w:rPr>
                <w:sz w:val="14"/>
                <w:szCs w:val="14"/>
                <w:color w:val="auto"/>
              </w:rPr>
            </w:pPr>
          </w:p>
        </w:tc>
        <w:tc>
          <w:tcPr>
            <w:tcW w:w="7560" w:type="dxa"/>
            <w:vAlign w:val="bottom"/>
            <w:tcBorders>
              <w:top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color w:val="auto"/>
              </w:rPr>
              <w:t>- Furnished apartment or extended-stay hotel</w:t>
            </w:r>
          </w:p>
        </w:tc>
        <w:tc>
          <w:tcPr>
            <w:tcW w:w="0" w:type="dxa"/>
            <w:vAlign w:val="bottom"/>
          </w:tcPr>
          <w:p>
            <w:pPr>
              <w:spacing w:after="0"/>
              <w:rPr>
                <w:sz w:val="1"/>
                <w:szCs w:val="1"/>
                <w:color w:val="auto"/>
              </w:rPr>
            </w:pPr>
          </w:p>
        </w:tc>
      </w:tr>
      <w:tr>
        <w:trPr>
          <w:trHeight w:val="157"/>
        </w:trPr>
        <w:tc>
          <w:tcPr>
            <w:tcW w:w="2980" w:type="dxa"/>
            <w:vAlign w:val="bottom"/>
            <w:tcBorders>
              <w:left w:val="single" w:sz="8" w:color="auto"/>
              <w:right w:val="single" w:sz="8" w:color="auto"/>
            </w:tcBorders>
            <w:vMerge w:val="restart"/>
            <w:shd w:val="clear" w:color="auto" w:fill="E6E6E6"/>
          </w:tcPr>
          <w:p>
            <w:pPr>
              <w:ind w:left="40"/>
              <w:spacing w:after="0"/>
              <w:rPr>
                <w:sz w:val="20"/>
                <w:szCs w:val="20"/>
                <w:color w:val="auto"/>
              </w:rPr>
            </w:pPr>
            <w:r>
              <w:rPr>
                <w:rFonts w:ascii="Times New Roman" w:cs="Times New Roman" w:eastAsia="Times New Roman" w:hAnsi="Times New Roman"/>
                <w:sz w:val="13"/>
                <w:szCs w:val="13"/>
                <w:b w:val="1"/>
                <w:bCs w:val="1"/>
                <w:color w:val="auto"/>
              </w:rPr>
              <w:t>Temporary Living</w:t>
            </w:r>
          </w:p>
        </w:tc>
        <w:tc>
          <w:tcPr>
            <w:tcW w:w="7560" w:type="dxa"/>
            <w:vAlign w:val="bottom"/>
            <w:tcBorders>
              <w:right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color w:val="auto"/>
              </w:rPr>
              <w:t>- Up to 60 days</w:t>
            </w:r>
          </w:p>
        </w:tc>
        <w:tc>
          <w:tcPr>
            <w:tcW w:w="0" w:type="dxa"/>
            <w:vAlign w:val="bottom"/>
          </w:tcPr>
          <w:p>
            <w:pPr>
              <w:spacing w:after="0"/>
              <w:rPr>
                <w:sz w:val="1"/>
                <w:szCs w:val="1"/>
                <w:color w:val="auto"/>
              </w:rPr>
            </w:pPr>
          </w:p>
        </w:tc>
      </w:tr>
      <w:tr>
        <w:trPr>
          <w:trHeight w:val="190"/>
        </w:trPr>
        <w:tc>
          <w:tcPr>
            <w:tcW w:w="2980" w:type="dxa"/>
            <w:vAlign w:val="bottom"/>
            <w:tcBorders>
              <w:left w:val="single" w:sz="8" w:color="auto"/>
              <w:bottom w:val="single" w:sz="8" w:color="E6E6E6"/>
              <w:right w:val="single" w:sz="8" w:color="auto"/>
            </w:tcBorders>
            <w:vMerge w:val="continue"/>
            <w:shd w:val="clear" w:color="auto" w:fill="E6E6E6"/>
          </w:tcPr>
          <w:p>
            <w:pPr>
              <w:spacing w:after="0"/>
              <w:rPr>
                <w:sz w:val="16"/>
                <w:szCs w:val="16"/>
                <w:color w:val="auto"/>
              </w:rPr>
            </w:pPr>
          </w:p>
        </w:tc>
        <w:tc>
          <w:tcPr>
            <w:tcW w:w="7560" w:type="dxa"/>
            <w:vAlign w:val="bottom"/>
            <w:tcBorders>
              <w:right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color w:val="auto"/>
              </w:rPr>
              <w:t>- No meals or incidentals</w:t>
            </w:r>
          </w:p>
        </w:tc>
        <w:tc>
          <w:tcPr>
            <w:tcW w:w="0" w:type="dxa"/>
            <w:vAlign w:val="bottom"/>
          </w:tcPr>
          <w:p>
            <w:pPr>
              <w:spacing w:after="0"/>
              <w:rPr>
                <w:sz w:val="1"/>
                <w:szCs w:val="1"/>
                <w:color w:val="auto"/>
              </w:rPr>
            </w:pPr>
          </w:p>
        </w:tc>
      </w:tr>
      <w:tr>
        <w:trPr>
          <w:trHeight w:val="167"/>
        </w:trPr>
        <w:tc>
          <w:tcPr>
            <w:tcW w:w="2980" w:type="dxa"/>
            <w:vAlign w:val="bottom"/>
            <w:tcBorders>
              <w:top w:val="single" w:sz="8" w:color="auto"/>
              <w:left w:val="single" w:sz="8" w:color="auto"/>
              <w:right w:val="single" w:sz="8" w:color="auto"/>
            </w:tcBorders>
            <w:shd w:val="clear" w:color="auto" w:fill="E6E6E6"/>
          </w:tcPr>
          <w:p>
            <w:pPr>
              <w:spacing w:after="0"/>
              <w:rPr>
                <w:sz w:val="14"/>
                <w:szCs w:val="14"/>
                <w:color w:val="auto"/>
              </w:rPr>
            </w:pPr>
          </w:p>
        </w:tc>
        <w:tc>
          <w:tcPr>
            <w:tcW w:w="7560" w:type="dxa"/>
            <w:vAlign w:val="bottom"/>
            <w:tcBorders>
              <w:top w:val="single" w:sz="8" w:color="auto"/>
              <w:right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color w:val="auto"/>
              </w:rPr>
              <w:t>- Home Finding Assistance</w:t>
            </w:r>
          </w:p>
        </w:tc>
        <w:tc>
          <w:tcPr>
            <w:tcW w:w="0" w:type="dxa"/>
            <w:vAlign w:val="bottom"/>
          </w:tcPr>
          <w:p>
            <w:pPr>
              <w:spacing w:after="0"/>
              <w:rPr>
                <w:sz w:val="1"/>
                <w:szCs w:val="1"/>
                <w:color w:val="auto"/>
              </w:rPr>
            </w:pPr>
          </w:p>
        </w:tc>
      </w:tr>
      <w:tr>
        <w:trPr>
          <w:trHeight w:val="157"/>
        </w:trPr>
        <w:tc>
          <w:tcPr>
            <w:tcW w:w="2980" w:type="dxa"/>
            <w:vAlign w:val="bottom"/>
            <w:tcBorders>
              <w:left w:val="single" w:sz="8" w:color="auto"/>
              <w:right w:val="single" w:sz="8" w:color="auto"/>
            </w:tcBorders>
            <w:shd w:val="clear" w:color="auto" w:fill="E6E6E6"/>
          </w:tcPr>
          <w:p>
            <w:pPr>
              <w:spacing w:after="0"/>
              <w:rPr>
                <w:sz w:val="13"/>
                <w:szCs w:val="13"/>
                <w:color w:val="auto"/>
              </w:rPr>
            </w:pPr>
          </w:p>
        </w:tc>
        <w:tc>
          <w:tcPr>
            <w:tcW w:w="7560" w:type="dxa"/>
            <w:vAlign w:val="bottom"/>
            <w:tcBorders>
              <w:right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color w:val="auto"/>
              </w:rPr>
              <w:t>- Must have been homeowners previously</w:t>
            </w:r>
          </w:p>
        </w:tc>
        <w:tc>
          <w:tcPr>
            <w:tcW w:w="0" w:type="dxa"/>
            <w:vAlign w:val="bottom"/>
          </w:tcPr>
          <w:p>
            <w:pPr>
              <w:spacing w:after="0"/>
              <w:rPr>
                <w:sz w:val="1"/>
                <w:szCs w:val="1"/>
                <w:color w:val="auto"/>
              </w:rPr>
            </w:pPr>
          </w:p>
        </w:tc>
      </w:tr>
      <w:tr>
        <w:trPr>
          <w:trHeight w:val="157"/>
        </w:trPr>
        <w:tc>
          <w:tcPr>
            <w:tcW w:w="2980" w:type="dxa"/>
            <w:vAlign w:val="bottom"/>
            <w:tcBorders>
              <w:left w:val="single" w:sz="8" w:color="auto"/>
              <w:right w:val="single" w:sz="8" w:color="auto"/>
            </w:tcBorders>
            <w:shd w:val="clear" w:color="auto" w:fill="E6E6E6"/>
          </w:tcPr>
          <w:p>
            <w:pPr>
              <w:spacing w:after="0"/>
              <w:rPr>
                <w:sz w:val="13"/>
                <w:szCs w:val="13"/>
                <w:color w:val="auto"/>
              </w:rPr>
            </w:pPr>
          </w:p>
        </w:tc>
        <w:tc>
          <w:tcPr>
            <w:tcW w:w="75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color w:val="auto"/>
              </w:rPr>
              <w:t>- Normal and customary closing costs (no points/pre-paids)</w:t>
            </w:r>
          </w:p>
        </w:tc>
        <w:tc>
          <w:tcPr>
            <w:tcW w:w="0" w:type="dxa"/>
            <w:vAlign w:val="bottom"/>
          </w:tcPr>
          <w:p>
            <w:pPr>
              <w:spacing w:after="0"/>
              <w:rPr>
                <w:sz w:val="1"/>
                <w:szCs w:val="1"/>
                <w:color w:val="auto"/>
              </w:rPr>
            </w:pPr>
          </w:p>
        </w:tc>
      </w:tr>
      <w:tr>
        <w:trPr>
          <w:trHeight w:val="157"/>
        </w:trPr>
        <w:tc>
          <w:tcPr>
            <w:tcW w:w="2980" w:type="dxa"/>
            <w:vAlign w:val="bottom"/>
            <w:tcBorders>
              <w:left w:val="single" w:sz="8" w:color="auto"/>
              <w:right w:val="single" w:sz="8" w:color="auto"/>
            </w:tcBorders>
            <w:vMerge w:val="restart"/>
            <w:shd w:val="clear" w:color="auto" w:fill="E6E6E6"/>
          </w:tcPr>
          <w:p>
            <w:pPr>
              <w:ind w:left="40"/>
              <w:spacing w:after="0"/>
              <w:rPr>
                <w:sz w:val="20"/>
                <w:szCs w:val="20"/>
                <w:color w:val="auto"/>
              </w:rPr>
            </w:pPr>
            <w:r>
              <w:rPr>
                <w:rFonts w:ascii="Times New Roman" w:cs="Times New Roman" w:eastAsia="Times New Roman" w:hAnsi="Times New Roman"/>
                <w:sz w:val="13"/>
                <w:szCs w:val="13"/>
                <w:b w:val="1"/>
                <w:bCs w:val="1"/>
                <w:color w:val="auto"/>
              </w:rPr>
              <w:t>Destination Home Purchase Assistance</w:t>
            </w:r>
          </w:p>
        </w:tc>
        <w:tc>
          <w:tcPr>
            <w:tcW w:w="7560" w:type="dxa"/>
            <w:vAlign w:val="bottom"/>
            <w:tcBorders>
              <w:right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color w:val="auto"/>
              </w:rPr>
              <w:t>- Up to 2% of the purchase price</w:t>
            </w:r>
          </w:p>
        </w:tc>
        <w:tc>
          <w:tcPr>
            <w:tcW w:w="0" w:type="dxa"/>
            <w:vAlign w:val="bottom"/>
          </w:tcPr>
          <w:p>
            <w:pPr>
              <w:spacing w:after="0"/>
              <w:rPr>
                <w:sz w:val="1"/>
                <w:szCs w:val="1"/>
                <w:color w:val="auto"/>
              </w:rPr>
            </w:pPr>
          </w:p>
        </w:tc>
      </w:tr>
      <w:tr>
        <w:trPr>
          <w:trHeight w:val="190"/>
        </w:trPr>
        <w:tc>
          <w:tcPr>
            <w:tcW w:w="2980" w:type="dxa"/>
            <w:vAlign w:val="bottom"/>
            <w:tcBorders>
              <w:left w:val="single" w:sz="8" w:color="auto"/>
              <w:bottom w:val="single" w:sz="8" w:color="E6E6E6"/>
              <w:right w:val="single" w:sz="8" w:color="auto"/>
            </w:tcBorders>
            <w:vMerge w:val="continue"/>
            <w:shd w:val="clear" w:color="auto" w:fill="E6E6E6"/>
          </w:tcPr>
          <w:p>
            <w:pPr>
              <w:spacing w:after="0"/>
              <w:rPr>
                <w:sz w:val="16"/>
                <w:szCs w:val="16"/>
                <w:color w:val="auto"/>
              </w:rPr>
            </w:pPr>
          </w:p>
        </w:tc>
        <w:tc>
          <w:tcPr>
            <w:tcW w:w="7560" w:type="dxa"/>
            <w:vAlign w:val="bottom"/>
            <w:tcBorders>
              <w:right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color w:val="auto"/>
              </w:rPr>
              <w:t>- Must use Plus Agent</w:t>
            </w:r>
          </w:p>
        </w:tc>
        <w:tc>
          <w:tcPr>
            <w:tcW w:w="0" w:type="dxa"/>
            <w:vAlign w:val="bottom"/>
          </w:tcPr>
          <w:p>
            <w:pPr>
              <w:spacing w:after="0"/>
              <w:rPr>
                <w:sz w:val="1"/>
                <w:szCs w:val="1"/>
                <w:color w:val="auto"/>
              </w:rPr>
            </w:pPr>
          </w:p>
        </w:tc>
      </w:tr>
      <w:tr>
        <w:trPr>
          <w:trHeight w:val="167"/>
        </w:trPr>
        <w:tc>
          <w:tcPr>
            <w:tcW w:w="2980" w:type="dxa"/>
            <w:vAlign w:val="bottom"/>
            <w:tcBorders>
              <w:top w:val="single" w:sz="8" w:color="auto"/>
              <w:left w:val="single" w:sz="8" w:color="auto"/>
              <w:right w:val="single" w:sz="8" w:color="auto"/>
            </w:tcBorders>
            <w:shd w:val="clear" w:color="auto" w:fill="E6E6E6"/>
          </w:tcPr>
          <w:p>
            <w:pPr>
              <w:spacing w:after="0"/>
              <w:rPr>
                <w:sz w:val="14"/>
                <w:szCs w:val="14"/>
                <w:color w:val="auto"/>
              </w:rPr>
            </w:pPr>
          </w:p>
        </w:tc>
        <w:tc>
          <w:tcPr>
            <w:tcW w:w="7560" w:type="dxa"/>
            <w:vAlign w:val="bottom"/>
            <w:tcBorders>
              <w:top w:val="single" w:sz="8" w:color="auto"/>
              <w:right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color w:val="auto"/>
              </w:rPr>
              <w:t>- One day professional rental tour</w:t>
            </w:r>
          </w:p>
        </w:tc>
        <w:tc>
          <w:tcPr>
            <w:tcW w:w="0" w:type="dxa"/>
            <w:vAlign w:val="bottom"/>
          </w:tcPr>
          <w:p>
            <w:pPr>
              <w:spacing w:after="0"/>
              <w:rPr>
                <w:sz w:val="1"/>
                <w:szCs w:val="1"/>
                <w:color w:val="auto"/>
              </w:rPr>
            </w:pPr>
          </w:p>
        </w:tc>
      </w:tr>
      <w:tr>
        <w:trPr>
          <w:trHeight w:val="157"/>
        </w:trPr>
        <w:tc>
          <w:tcPr>
            <w:tcW w:w="2980" w:type="dxa"/>
            <w:vAlign w:val="bottom"/>
            <w:tcBorders>
              <w:left w:val="single" w:sz="8" w:color="auto"/>
              <w:right w:val="single" w:sz="8" w:color="auto"/>
            </w:tcBorders>
            <w:vMerge w:val="restart"/>
            <w:shd w:val="clear" w:color="auto" w:fill="E6E6E6"/>
          </w:tcPr>
          <w:p>
            <w:pPr>
              <w:ind w:left="40"/>
              <w:spacing w:after="0"/>
              <w:rPr>
                <w:sz w:val="20"/>
                <w:szCs w:val="20"/>
                <w:color w:val="auto"/>
              </w:rPr>
            </w:pPr>
            <w:r>
              <w:rPr>
                <w:rFonts w:ascii="Times New Roman" w:cs="Times New Roman" w:eastAsia="Times New Roman" w:hAnsi="Times New Roman"/>
                <w:sz w:val="13"/>
                <w:szCs w:val="13"/>
                <w:b w:val="1"/>
                <w:bCs w:val="1"/>
                <w:color w:val="auto"/>
              </w:rPr>
              <w:t>Rental Assistance</w:t>
            </w:r>
          </w:p>
        </w:tc>
        <w:tc>
          <w:tcPr>
            <w:tcW w:w="7560" w:type="dxa"/>
            <w:vAlign w:val="bottom"/>
            <w:tcBorders>
              <w:right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color w:val="auto"/>
              </w:rPr>
              <w:t>- Lease termination up to 2 month’s rent</w:t>
            </w:r>
          </w:p>
        </w:tc>
        <w:tc>
          <w:tcPr>
            <w:tcW w:w="0" w:type="dxa"/>
            <w:vAlign w:val="bottom"/>
          </w:tcPr>
          <w:p>
            <w:pPr>
              <w:spacing w:after="0"/>
              <w:rPr>
                <w:sz w:val="1"/>
                <w:szCs w:val="1"/>
                <w:color w:val="auto"/>
              </w:rPr>
            </w:pPr>
          </w:p>
        </w:tc>
      </w:tr>
      <w:tr>
        <w:trPr>
          <w:trHeight w:val="190"/>
        </w:trPr>
        <w:tc>
          <w:tcPr>
            <w:tcW w:w="2980" w:type="dxa"/>
            <w:vAlign w:val="bottom"/>
            <w:tcBorders>
              <w:left w:val="single" w:sz="8" w:color="auto"/>
              <w:bottom w:val="single" w:sz="8" w:color="E6E6E6"/>
              <w:right w:val="single" w:sz="8" w:color="auto"/>
            </w:tcBorders>
            <w:vMerge w:val="continue"/>
            <w:shd w:val="clear" w:color="auto" w:fill="E6E6E6"/>
          </w:tcPr>
          <w:p>
            <w:pPr>
              <w:spacing w:after="0"/>
              <w:rPr>
                <w:sz w:val="16"/>
                <w:szCs w:val="16"/>
                <w:color w:val="auto"/>
              </w:rPr>
            </w:pPr>
          </w:p>
        </w:tc>
        <w:tc>
          <w:tcPr>
            <w:tcW w:w="75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color w:val="auto"/>
              </w:rPr>
              <w:t>- Application fee, credit report fee, and finder’s fee</w:t>
            </w:r>
          </w:p>
        </w:tc>
        <w:tc>
          <w:tcPr>
            <w:tcW w:w="0" w:type="dxa"/>
            <w:vAlign w:val="bottom"/>
          </w:tcPr>
          <w:p>
            <w:pPr>
              <w:spacing w:after="0"/>
              <w:rPr>
                <w:sz w:val="1"/>
                <w:szCs w:val="1"/>
                <w:color w:val="auto"/>
              </w:rPr>
            </w:pPr>
          </w:p>
        </w:tc>
      </w:tr>
      <w:tr>
        <w:trPr>
          <w:trHeight w:val="167"/>
        </w:trPr>
        <w:tc>
          <w:tcPr>
            <w:tcW w:w="2980" w:type="dxa"/>
            <w:vAlign w:val="bottom"/>
            <w:tcBorders>
              <w:top w:val="single" w:sz="8" w:color="auto"/>
              <w:left w:val="single" w:sz="8" w:color="auto"/>
              <w:right w:val="single" w:sz="8" w:color="auto"/>
            </w:tcBorders>
            <w:shd w:val="clear" w:color="auto" w:fill="E6E6E6"/>
          </w:tcPr>
          <w:p>
            <w:pPr>
              <w:spacing w:after="0"/>
              <w:rPr>
                <w:sz w:val="14"/>
                <w:szCs w:val="14"/>
                <w:color w:val="auto"/>
              </w:rPr>
            </w:pPr>
          </w:p>
        </w:tc>
        <w:tc>
          <w:tcPr>
            <w:tcW w:w="7560" w:type="dxa"/>
            <w:vAlign w:val="bottom"/>
            <w:tcBorders>
              <w:top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color w:val="auto"/>
              </w:rPr>
              <w:t>- One month’s base salary capped at $30,000</w:t>
            </w:r>
          </w:p>
        </w:tc>
        <w:tc>
          <w:tcPr>
            <w:tcW w:w="0" w:type="dxa"/>
            <w:vAlign w:val="bottom"/>
          </w:tcPr>
          <w:p>
            <w:pPr>
              <w:spacing w:after="0"/>
              <w:rPr>
                <w:sz w:val="1"/>
                <w:szCs w:val="1"/>
                <w:color w:val="auto"/>
              </w:rPr>
            </w:pPr>
          </w:p>
        </w:tc>
      </w:tr>
      <w:tr>
        <w:trPr>
          <w:trHeight w:val="157"/>
        </w:trPr>
        <w:tc>
          <w:tcPr>
            <w:tcW w:w="2980" w:type="dxa"/>
            <w:vAlign w:val="bottom"/>
            <w:tcBorders>
              <w:left w:val="single" w:sz="8" w:color="auto"/>
              <w:right w:val="single" w:sz="8" w:color="auto"/>
            </w:tcBorders>
            <w:vMerge w:val="restart"/>
            <w:shd w:val="clear" w:color="auto" w:fill="E6E6E6"/>
          </w:tcPr>
          <w:p>
            <w:pPr>
              <w:ind w:left="40"/>
              <w:spacing w:after="0"/>
              <w:rPr>
                <w:sz w:val="20"/>
                <w:szCs w:val="20"/>
                <w:color w:val="auto"/>
              </w:rPr>
            </w:pPr>
            <w:r>
              <w:rPr>
                <w:rFonts w:ascii="Times New Roman" w:cs="Times New Roman" w:eastAsia="Times New Roman" w:hAnsi="Times New Roman"/>
                <w:sz w:val="13"/>
                <w:szCs w:val="13"/>
                <w:b w:val="1"/>
                <w:bCs w:val="1"/>
                <w:color w:val="auto"/>
              </w:rPr>
              <w:t>Miscellaneous Allowance</w:t>
            </w:r>
          </w:p>
        </w:tc>
        <w:tc>
          <w:tcPr>
            <w:tcW w:w="7560" w:type="dxa"/>
            <w:vAlign w:val="bottom"/>
            <w:tcBorders>
              <w:right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color w:val="auto"/>
              </w:rPr>
              <w:t>- Payroll taxes deducted</w:t>
            </w:r>
          </w:p>
        </w:tc>
        <w:tc>
          <w:tcPr>
            <w:tcW w:w="0" w:type="dxa"/>
            <w:vAlign w:val="bottom"/>
          </w:tcPr>
          <w:p>
            <w:pPr>
              <w:spacing w:after="0"/>
              <w:rPr>
                <w:sz w:val="1"/>
                <w:szCs w:val="1"/>
                <w:color w:val="auto"/>
              </w:rPr>
            </w:pPr>
          </w:p>
        </w:tc>
      </w:tr>
      <w:tr>
        <w:trPr>
          <w:trHeight w:val="190"/>
        </w:trPr>
        <w:tc>
          <w:tcPr>
            <w:tcW w:w="2980" w:type="dxa"/>
            <w:vAlign w:val="bottom"/>
            <w:tcBorders>
              <w:left w:val="single" w:sz="8" w:color="auto"/>
              <w:bottom w:val="single" w:sz="8" w:color="E6E6E6"/>
              <w:right w:val="single" w:sz="8" w:color="auto"/>
            </w:tcBorders>
            <w:vMerge w:val="continue"/>
            <w:shd w:val="clear" w:color="auto" w:fill="E6E6E6"/>
          </w:tcPr>
          <w:p>
            <w:pPr>
              <w:spacing w:after="0"/>
              <w:rPr>
                <w:sz w:val="16"/>
                <w:szCs w:val="16"/>
                <w:color w:val="auto"/>
              </w:rPr>
            </w:pPr>
          </w:p>
        </w:tc>
        <w:tc>
          <w:tcPr>
            <w:tcW w:w="7560" w:type="dxa"/>
            <w:vAlign w:val="bottom"/>
            <w:tcBorders>
              <w:right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color w:val="auto"/>
              </w:rPr>
              <w:t>- Not grossed-up for taxes</w:t>
            </w:r>
          </w:p>
        </w:tc>
        <w:tc>
          <w:tcPr>
            <w:tcW w:w="0" w:type="dxa"/>
            <w:vAlign w:val="bottom"/>
          </w:tcPr>
          <w:p>
            <w:pPr>
              <w:spacing w:after="0"/>
              <w:rPr>
                <w:sz w:val="1"/>
                <w:szCs w:val="1"/>
                <w:color w:val="auto"/>
              </w:rPr>
            </w:pPr>
          </w:p>
        </w:tc>
      </w:tr>
      <w:tr>
        <w:trPr>
          <w:trHeight w:val="179"/>
        </w:trPr>
        <w:tc>
          <w:tcPr>
            <w:tcW w:w="2980" w:type="dxa"/>
            <w:vAlign w:val="bottom"/>
            <w:tcBorders>
              <w:top w:val="single" w:sz="8" w:color="auto"/>
              <w:left w:val="single" w:sz="8" w:color="auto"/>
              <w:bottom w:val="single" w:sz="8" w:color="E6E6E6"/>
              <w:right w:val="single" w:sz="8" w:color="auto"/>
            </w:tcBorders>
            <w:shd w:val="clear" w:color="auto" w:fill="E6E6E6"/>
          </w:tcPr>
          <w:p>
            <w:pPr>
              <w:ind w:left="40"/>
              <w:spacing w:after="0"/>
              <w:rPr>
                <w:sz w:val="20"/>
                <w:szCs w:val="20"/>
                <w:color w:val="auto"/>
              </w:rPr>
            </w:pPr>
            <w:r>
              <w:rPr>
                <w:rFonts w:ascii="Times New Roman" w:cs="Times New Roman" w:eastAsia="Times New Roman" w:hAnsi="Times New Roman"/>
                <w:sz w:val="13"/>
                <w:szCs w:val="13"/>
                <w:b w:val="1"/>
                <w:bCs w:val="1"/>
                <w:color w:val="auto"/>
              </w:rPr>
              <w:t>Gross-Up</w:t>
            </w:r>
          </w:p>
        </w:tc>
        <w:tc>
          <w:tcPr>
            <w:tcW w:w="7560" w:type="dxa"/>
            <w:vAlign w:val="bottom"/>
            <w:tcBorders>
              <w:top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color w:val="auto"/>
              </w:rPr>
              <w:t>- Equalization</w:t>
            </w:r>
          </w:p>
        </w:tc>
        <w:tc>
          <w:tcPr>
            <w:tcW w:w="0" w:type="dxa"/>
            <w:vAlign w:val="bottom"/>
          </w:tcPr>
          <w:p>
            <w:pPr>
              <w:spacing w:after="0"/>
              <w:rPr>
                <w:sz w:val="1"/>
                <w:szCs w:val="1"/>
                <w:color w:val="auto"/>
              </w:rPr>
            </w:pPr>
          </w:p>
        </w:tc>
      </w:tr>
      <w:tr>
        <w:trPr>
          <w:trHeight w:val="21"/>
        </w:trPr>
        <w:tc>
          <w:tcPr>
            <w:tcW w:w="29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540"/>
          </w:cols>
          <w:pgMar w:left="680" w:top="573" w:right="679" w:bottom="1440" w:gutter="0" w:footer="0" w:header="0"/>
        </w:sectPr>
      </w:pPr>
    </w:p>
    <w:bookmarkStart w:id="64" w:name="page65"/>
    <w:bookmarkEnd w:id="64"/>
    <w:p>
      <w:pPr>
        <w:ind w:left="5440"/>
        <w:spacing w:after="0"/>
        <w:rPr>
          <w:sz w:val="20"/>
          <w:szCs w:val="20"/>
          <w:color w:val="auto"/>
        </w:rPr>
      </w:pPr>
      <w:r>
        <w:rPr>
          <w:rFonts w:ascii="Times New Roman" w:cs="Times New Roman" w:eastAsia="Times New Roman" w:hAnsi="Times New Roman"/>
          <w:sz w:val="14"/>
          <w:szCs w:val="14"/>
          <w:color w:val="auto"/>
        </w:rPr>
        <w:t>EXHIBIT B</w:t>
      </w:r>
    </w:p>
    <w:p>
      <w:pPr>
        <w:spacing w:after="0" w:line="21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3"/>
          <w:szCs w:val="13"/>
          <w:color w:val="auto"/>
        </w:rPr>
        <w:t>PROPRIETARY INFORMATION AND INVENTIONS AGREEMENT (ATTACHED)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586" w:right="1440" w:bottom="1440" w:gutter="0" w:footer="0" w:header="0"/>
        </w:sectPr>
      </w:pPr>
    </w:p>
    <w:bookmarkStart w:id="65" w:name="page66"/>
    <w:bookmarkEnd w:id="65"/>
    <w:p>
      <w:pPr>
        <w:ind w:left="6100"/>
        <w:spacing w:after="0"/>
        <w:rPr>
          <w:sz w:val="20"/>
          <w:szCs w:val="20"/>
          <w:color w:val="auto"/>
        </w:rPr>
      </w:pPr>
      <w:r>
        <w:rPr>
          <w:rFonts w:ascii="Times New Roman" w:cs="Times New Roman" w:eastAsia="Times New Roman" w:hAnsi="Times New Roman"/>
          <w:sz w:val="14"/>
          <w:szCs w:val="14"/>
          <w:color w:val="auto"/>
        </w:rPr>
        <w:t xml:space="preserve">ALIGN TECHNOLOGY, </w:t>
      </w:r>
      <w:r>
        <w:rPr>
          <w:rFonts w:ascii="Times New Roman" w:cs="Times New Roman" w:eastAsia="Times New Roman" w:hAnsi="Times New Roman"/>
          <w:sz w:val="14"/>
          <w:szCs w:val="14"/>
          <w:color w:val="1C1C1C"/>
        </w:rPr>
        <w:t>I</w:t>
      </w:r>
      <w:r>
        <w:rPr>
          <w:rFonts w:ascii="Times New Roman" w:cs="Times New Roman" w:eastAsia="Times New Roman" w:hAnsi="Times New Roman"/>
          <w:sz w:val="14"/>
          <w:szCs w:val="14"/>
          <w:color w:val="070707"/>
        </w:rPr>
        <w:t>NC.</w:t>
      </w:r>
    </w:p>
    <w:p>
      <w:pPr>
        <w:spacing w:after="0" w:line="16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070707"/>
        </w:rPr>
        <w:t>EMPLOYEE PROPRIETARY INFORMATION AND INVENTIONS AGREEMENT</w:t>
      </w:r>
    </w:p>
    <w:p>
      <w:pPr>
        <w:spacing w:after="0" w:line="2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070707"/>
        </w:rPr>
        <w:t>In consideration of my employment or continued employment by ALIGN TECHNOLOGY</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 xml:space="preserve"> INC</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 xml:space="preserve"> (the "Company"), and the compensation now and hereafter paid to me, I hereby agree as follows:</w:t>
      </w:r>
    </w:p>
    <w:p>
      <w:pPr>
        <w:spacing w:after="0" w:line="194" w:lineRule="exact"/>
        <w:rPr>
          <w:sz w:val="20"/>
          <w:szCs w:val="20"/>
          <w:color w:val="auto"/>
        </w:rPr>
      </w:pPr>
    </w:p>
    <w:p>
      <w:pPr>
        <w:jc w:val="both"/>
        <w:ind w:left="80" w:firstLine="18"/>
        <w:spacing w:after="0" w:line="255" w:lineRule="auto"/>
        <w:tabs>
          <w:tab w:leader="none" w:pos="241" w:val="left"/>
        </w:tabs>
        <w:numPr>
          <w:ilvl w:val="1"/>
          <w:numId w:val="51"/>
        </w:numPr>
        <w:rPr>
          <w:rFonts w:ascii="Times New Roman" w:cs="Times New Roman" w:eastAsia="Times New Roman" w:hAnsi="Times New Roman"/>
          <w:sz w:val="14"/>
          <w:szCs w:val="14"/>
          <w:b w:val="1"/>
          <w:bCs w:val="1"/>
          <w:color w:val="070707"/>
        </w:rPr>
      </w:pPr>
      <w:r>
        <w:rPr>
          <w:rFonts w:ascii="Times New Roman" w:cs="Times New Roman" w:eastAsia="Times New Roman" w:hAnsi="Times New Roman"/>
          <w:sz w:val="14"/>
          <w:szCs w:val="14"/>
          <w:b w:val="1"/>
          <w:bCs w:val="1"/>
          <w:color w:val="070707"/>
        </w:rPr>
        <w:t>PROPRIETARY INFORMATION</w:t>
      </w:r>
      <w:r>
        <w:rPr>
          <w:rFonts w:ascii="Times New Roman" w:cs="Times New Roman" w:eastAsia="Times New Roman" w:hAnsi="Times New Roman"/>
          <w:sz w:val="14"/>
          <w:szCs w:val="14"/>
          <w:b w:val="1"/>
          <w:bCs w:val="1"/>
          <w:color w:val="1C1C1C"/>
        </w:rPr>
        <w:t>.</w:t>
      </w:r>
      <w:r>
        <w:rPr>
          <w:rFonts w:ascii="Times New Roman" w:cs="Times New Roman" w:eastAsia="Times New Roman" w:hAnsi="Times New Roman"/>
          <w:sz w:val="14"/>
          <w:szCs w:val="14"/>
          <w:b w:val="1"/>
          <w:bCs w:val="1"/>
          <w:color w:val="070707"/>
        </w:rPr>
        <w:t xml:space="preserve"> </w:t>
      </w:r>
      <w:r>
        <w:rPr>
          <w:rFonts w:ascii="Times New Roman" w:cs="Times New Roman" w:eastAsia="Times New Roman" w:hAnsi="Times New Roman"/>
          <w:sz w:val="14"/>
          <w:szCs w:val="14"/>
          <w:color w:val="070707"/>
        </w:rPr>
        <w:t>At all times during my employment and thereafter, I will hold in strictest confidence and w</w:t>
      </w:r>
      <w:r>
        <w:rPr>
          <w:rFonts w:ascii="Times New Roman" w:cs="Times New Roman" w:eastAsia="Times New Roman" w:hAnsi="Times New Roman"/>
          <w:sz w:val="14"/>
          <w:szCs w:val="14"/>
          <w:color w:val="1C1C1C"/>
        </w:rPr>
        <w:t>i</w:t>
      </w:r>
      <w:r>
        <w:rPr>
          <w:rFonts w:ascii="Times New Roman" w:cs="Times New Roman" w:eastAsia="Times New Roman" w:hAnsi="Times New Roman"/>
          <w:sz w:val="14"/>
          <w:szCs w:val="14"/>
          <w:color w:val="070707"/>
        </w:rPr>
        <w:t>ll not disclose, use, lecture upon or publish any of the Company's</w:t>
      </w:r>
      <w:r>
        <w:rPr>
          <w:rFonts w:ascii="Times New Roman" w:cs="Times New Roman" w:eastAsia="Times New Roman" w:hAnsi="Times New Roman"/>
          <w:sz w:val="14"/>
          <w:szCs w:val="14"/>
          <w:b w:val="1"/>
          <w:bCs w:val="1"/>
          <w:color w:val="070707"/>
        </w:rPr>
        <w:t xml:space="preserve"> </w:t>
      </w:r>
      <w:r>
        <w:rPr>
          <w:rFonts w:ascii="Times New Roman" w:cs="Times New Roman" w:eastAsia="Times New Roman" w:hAnsi="Times New Roman"/>
          <w:sz w:val="14"/>
          <w:szCs w:val="14"/>
          <w:color w:val="070707"/>
        </w:rPr>
        <w:t xml:space="preserve">Proprietary Information (defined below), except as such disclosure, use or publication may be required </w:t>
      </w:r>
      <w:r>
        <w:rPr>
          <w:rFonts w:ascii="Times New Roman" w:cs="Times New Roman" w:eastAsia="Times New Roman" w:hAnsi="Times New Roman"/>
          <w:sz w:val="14"/>
          <w:szCs w:val="14"/>
          <w:color w:val="1C1C1C"/>
        </w:rPr>
        <w:t>i</w:t>
      </w:r>
      <w:r>
        <w:rPr>
          <w:rFonts w:ascii="Times New Roman" w:cs="Times New Roman" w:eastAsia="Times New Roman" w:hAnsi="Times New Roman"/>
          <w:sz w:val="14"/>
          <w:szCs w:val="14"/>
          <w:color w:val="070707"/>
        </w:rPr>
        <w:t>n connection with my work for the Company or constitutes Protected Activity (defined below), or unless an officer of the Company expressly authorizes such in writing</w:t>
      </w:r>
      <w:r>
        <w:rPr>
          <w:rFonts w:ascii="Times New Roman" w:cs="Times New Roman" w:eastAsia="Times New Roman" w:hAnsi="Times New Roman"/>
          <w:sz w:val="14"/>
          <w:szCs w:val="14"/>
          <w:color w:val="343434"/>
        </w:rPr>
        <w:t>.</w:t>
      </w:r>
      <w:r>
        <w:rPr>
          <w:rFonts w:ascii="Times New Roman" w:cs="Times New Roman" w:eastAsia="Times New Roman" w:hAnsi="Times New Roman"/>
          <w:sz w:val="14"/>
          <w:szCs w:val="14"/>
          <w:color w:val="070707"/>
        </w:rPr>
        <w:t xml:space="preserve"> "</w:t>
      </w:r>
      <w:r>
        <w:rPr>
          <w:rFonts w:ascii="Times New Roman" w:cs="Times New Roman" w:eastAsia="Times New Roman" w:hAnsi="Times New Roman"/>
          <w:sz w:val="14"/>
          <w:szCs w:val="14"/>
          <w:b w:val="1"/>
          <w:bCs w:val="1"/>
          <w:color w:val="070707"/>
        </w:rPr>
        <w:t>Proprietary Information</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 xml:space="preserve"> shall mean any and all confidential and/or proprietary knowledge, data or </w:t>
      </w:r>
      <w:r>
        <w:rPr>
          <w:rFonts w:ascii="Times New Roman" w:cs="Times New Roman" w:eastAsia="Times New Roman" w:hAnsi="Times New Roman"/>
          <w:sz w:val="14"/>
          <w:szCs w:val="14"/>
          <w:color w:val="1C1C1C"/>
        </w:rPr>
        <w:t>i</w:t>
      </w:r>
      <w:r>
        <w:rPr>
          <w:rFonts w:ascii="Times New Roman" w:cs="Times New Roman" w:eastAsia="Times New Roman" w:hAnsi="Times New Roman"/>
          <w:sz w:val="14"/>
          <w:szCs w:val="14"/>
          <w:color w:val="070707"/>
        </w:rPr>
        <w:t>nformation of the Company, its affiliated entities, customers and suppliers, including but not limited to information relating to products, processes, know-how, designs, formulas, methods, developmental or experimental work, improvements, d</w:t>
      </w:r>
      <w:r>
        <w:rPr>
          <w:rFonts w:ascii="Times New Roman" w:cs="Times New Roman" w:eastAsia="Times New Roman" w:hAnsi="Times New Roman"/>
          <w:sz w:val="14"/>
          <w:szCs w:val="14"/>
          <w:color w:val="1C1C1C"/>
        </w:rPr>
        <w:t>i</w:t>
      </w:r>
      <w:r>
        <w:rPr>
          <w:rFonts w:ascii="Times New Roman" w:cs="Times New Roman" w:eastAsia="Times New Roman" w:hAnsi="Times New Roman"/>
          <w:sz w:val="14"/>
          <w:szCs w:val="14"/>
          <w:color w:val="070707"/>
        </w:rPr>
        <w:t>scoveries, inventions, ideas, source and object codes, data, programs, other works of authorship, and plans for research and development. During my employment by the Company I will not improperly use or d</w:t>
      </w:r>
      <w:r>
        <w:rPr>
          <w:rFonts w:ascii="Times New Roman" w:cs="Times New Roman" w:eastAsia="Times New Roman" w:hAnsi="Times New Roman"/>
          <w:sz w:val="14"/>
          <w:szCs w:val="14"/>
          <w:color w:val="1C1C1C"/>
        </w:rPr>
        <w:t>i</w:t>
      </w:r>
      <w:r>
        <w:rPr>
          <w:rFonts w:ascii="Times New Roman" w:cs="Times New Roman" w:eastAsia="Times New Roman" w:hAnsi="Times New Roman"/>
          <w:sz w:val="14"/>
          <w:szCs w:val="14"/>
          <w:color w:val="070707"/>
        </w:rPr>
        <w:t>sclose any confidential information or trade secrets</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 xml:space="preserve"> if any, of any former employer or any other person to whom I have an obligation of confidentiality, and I will not bring onto the premises of the Company any unpublished documents or any property belonging to any former employer or any other person to whom I have an obligation of confidentiality unless consented to in writing by that former employer or person</w:t>
      </w:r>
      <w:r>
        <w:rPr>
          <w:rFonts w:ascii="Times New Roman" w:cs="Times New Roman" w:eastAsia="Times New Roman" w:hAnsi="Times New Roman"/>
          <w:sz w:val="14"/>
          <w:szCs w:val="14"/>
          <w:color w:val="1C1C1C"/>
        </w:rPr>
        <w:t>.</w:t>
      </w:r>
    </w:p>
    <w:p>
      <w:pPr>
        <w:spacing w:after="0" w:line="120" w:lineRule="exact"/>
        <w:rPr>
          <w:rFonts w:ascii="Times New Roman" w:cs="Times New Roman" w:eastAsia="Times New Roman" w:hAnsi="Times New Roman"/>
          <w:sz w:val="14"/>
          <w:szCs w:val="14"/>
          <w:b w:val="1"/>
          <w:bCs w:val="1"/>
          <w:color w:val="070707"/>
        </w:rPr>
      </w:pPr>
    </w:p>
    <w:p>
      <w:pPr>
        <w:ind w:left="200" w:hanging="133"/>
        <w:spacing w:after="0"/>
        <w:tabs>
          <w:tab w:leader="none" w:pos="200" w:val="left"/>
        </w:tabs>
        <w:numPr>
          <w:ilvl w:val="0"/>
          <w:numId w:val="52"/>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b w:val="1"/>
          <w:bCs w:val="1"/>
          <w:color w:val="070707"/>
        </w:rPr>
        <w:t>Assignment of Inventions</w:t>
      </w:r>
      <w:r>
        <w:rPr>
          <w:rFonts w:ascii="Times New Roman" w:cs="Times New Roman" w:eastAsia="Times New Roman" w:hAnsi="Times New Roman"/>
          <w:sz w:val="14"/>
          <w:szCs w:val="14"/>
          <w:color w:val="070707"/>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070707"/>
        </w:rPr>
        <w:t>2</w:t>
      </w:r>
      <w:r>
        <w:rPr>
          <w:rFonts w:ascii="Times New Roman" w:cs="Times New Roman" w:eastAsia="Times New Roman" w:hAnsi="Times New Roman"/>
          <w:sz w:val="14"/>
          <w:szCs w:val="14"/>
          <w:b w:val="1"/>
          <w:bCs w:val="1"/>
          <w:color w:val="1C1C1C"/>
        </w:rPr>
        <w:t>.</w:t>
      </w:r>
      <w:r>
        <w:rPr>
          <w:rFonts w:ascii="Times New Roman" w:cs="Times New Roman" w:eastAsia="Times New Roman" w:hAnsi="Times New Roman"/>
          <w:sz w:val="14"/>
          <w:szCs w:val="14"/>
          <w:b w:val="1"/>
          <w:bCs w:val="1"/>
          <w:color w:val="070707"/>
        </w:rPr>
        <w:t xml:space="preserve">1. Proprietary Rights. </w:t>
      </w:r>
      <w:r>
        <w:rPr>
          <w:rFonts w:ascii="Times New Roman" w:cs="Times New Roman" w:eastAsia="Times New Roman" w:hAnsi="Times New Roman"/>
          <w:sz w:val="14"/>
          <w:szCs w:val="14"/>
          <w:color w:val="070707"/>
        </w:rPr>
        <w:t>The term "</w:t>
      </w:r>
      <w:r>
        <w:rPr>
          <w:rFonts w:ascii="Times New Roman" w:cs="Times New Roman" w:eastAsia="Times New Roman" w:hAnsi="Times New Roman"/>
          <w:sz w:val="14"/>
          <w:szCs w:val="14"/>
          <w:b w:val="1"/>
          <w:bCs w:val="1"/>
          <w:color w:val="070707"/>
        </w:rPr>
        <w:t>Proprietary Rights</w:t>
      </w:r>
      <w:r>
        <w:rPr>
          <w:rFonts w:ascii="Times New Roman" w:cs="Times New Roman" w:eastAsia="Times New Roman" w:hAnsi="Times New Roman"/>
          <w:sz w:val="14"/>
          <w:szCs w:val="14"/>
          <w:color w:val="070707"/>
        </w:rPr>
        <w:t>" shall mean all trade secret, patent, copyright, mask work and other intellectual property rights throughout the world.</w:t>
      </w:r>
    </w:p>
    <w:p>
      <w:pPr>
        <w:spacing w:after="0" w:line="154" w:lineRule="exact"/>
        <w:rPr>
          <w:sz w:val="20"/>
          <w:szCs w:val="20"/>
          <w:color w:val="auto"/>
        </w:rPr>
      </w:pPr>
    </w:p>
    <w:p>
      <w:pPr>
        <w:ind w:left="60" w:firstLine="430"/>
        <w:spacing w:after="0" w:line="285" w:lineRule="auto"/>
        <w:rPr>
          <w:sz w:val="20"/>
          <w:szCs w:val="20"/>
          <w:color w:val="auto"/>
        </w:rPr>
      </w:pPr>
      <w:r>
        <w:rPr>
          <w:rFonts w:ascii="Times New Roman" w:cs="Times New Roman" w:eastAsia="Times New Roman" w:hAnsi="Times New Roman"/>
          <w:sz w:val="14"/>
          <w:szCs w:val="14"/>
          <w:b w:val="1"/>
          <w:bCs w:val="1"/>
          <w:color w:val="070707"/>
        </w:rPr>
        <w:t>2.2. Inventions</w:t>
      </w:r>
      <w:r>
        <w:rPr>
          <w:rFonts w:ascii="Times New Roman" w:cs="Times New Roman" w:eastAsia="Times New Roman" w:hAnsi="Times New Roman"/>
          <w:sz w:val="14"/>
          <w:szCs w:val="14"/>
          <w:color w:val="070707"/>
        </w:rPr>
        <w:t>. The term "Inventions" shall mean all trade secrets, inventions, mask works, ideas, processes, formulas, source and object codes, data</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b w:val="1"/>
          <w:bCs w:val="1"/>
          <w:color w:val="070707"/>
        </w:rPr>
        <w:t xml:space="preserve"> </w:t>
      </w:r>
      <w:r>
        <w:rPr>
          <w:rFonts w:ascii="Times New Roman" w:cs="Times New Roman" w:eastAsia="Times New Roman" w:hAnsi="Times New Roman"/>
          <w:sz w:val="14"/>
          <w:szCs w:val="14"/>
          <w:color w:val="070707"/>
        </w:rPr>
        <w:t>programs, other works of authorship, know•</w:t>
      </w:r>
      <w:r>
        <w:rPr>
          <w:rFonts w:ascii="Times New Roman" w:cs="Times New Roman" w:eastAsia="Times New Roman" w:hAnsi="Times New Roman"/>
          <w:sz w:val="14"/>
          <w:szCs w:val="14"/>
          <w:b w:val="1"/>
          <w:bCs w:val="1"/>
          <w:color w:val="070707"/>
        </w:rPr>
        <w:t xml:space="preserve"> </w:t>
      </w:r>
      <w:r>
        <w:rPr>
          <w:rFonts w:ascii="Times New Roman" w:cs="Times New Roman" w:eastAsia="Times New Roman" w:hAnsi="Times New Roman"/>
          <w:sz w:val="14"/>
          <w:szCs w:val="14"/>
          <w:color w:val="070707"/>
        </w:rPr>
        <w:t>how</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 xml:space="preserve"> improvements, discoveries, developments, designs and techniques.</w:t>
      </w:r>
    </w:p>
    <w:p>
      <w:pPr>
        <w:spacing w:after="0" w:line="142"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4"/>
          <w:szCs w:val="14"/>
          <w:b w:val="1"/>
          <w:bCs w:val="1"/>
          <w:color w:val="070707"/>
        </w:rPr>
        <w:t>2.3</w:t>
      </w:r>
      <w:r>
        <w:rPr>
          <w:rFonts w:ascii="Times New Roman" w:cs="Times New Roman" w:eastAsia="Times New Roman" w:hAnsi="Times New Roman"/>
          <w:sz w:val="14"/>
          <w:szCs w:val="14"/>
          <w:b w:val="1"/>
          <w:bCs w:val="1"/>
          <w:color w:val="1C1C1C"/>
        </w:rPr>
        <w:t>.</w:t>
      </w:r>
      <w:r>
        <w:rPr>
          <w:rFonts w:ascii="Times New Roman" w:cs="Times New Roman" w:eastAsia="Times New Roman" w:hAnsi="Times New Roman"/>
          <w:sz w:val="14"/>
          <w:szCs w:val="14"/>
          <w:b w:val="1"/>
          <w:bCs w:val="1"/>
          <w:color w:val="070707"/>
        </w:rPr>
        <w:t xml:space="preserve"> Prior Inventions. </w:t>
      </w:r>
      <w:r>
        <w:rPr>
          <w:rFonts w:ascii="Times New Roman" w:cs="Times New Roman" w:eastAsia="Times New Roman" w:hAnsi="Times New Roman"/>
          <w:sz w:val="14"/>
          <w:szCs w:val="14"/>
          <w:color w:val="070707"/>
        </w:rPr>
        <w:t>I have set forth on Exhibit B (Previous Inventions) attached hereto a complete list of all Inventions that I have, alone or jointly with others, made prior to the commencement o</w:t>
      </w:r>
      <w:r>
        <w:rPr>
          <w:rFonts w:ascii="Times New Roman" w:cs="Times New Roman" w:eastAsia="Times New Roman" w:hAnsi="Times New Roman"/>
          <w:sz w:val="14"/>
          <w:szCs w:val="14"/>
          <w:color w:val="1C1C1C"/>
        </w:rPr>
        <w:t>f</w:t>
      </w:r>
      <w:r>
        <w:rPr>
          <w:rFonts w:ascii="Times New Roman" w:cs="Times New Roman" w:eastAsia="Times New Roman" w:hAnsi="Times New Roman"/>
          <w:sz w:val="14"/>
          <w:szCs w:val="14"/>
          <w:b w:val="1"/>
          <w:bCs w:val="1"/>
          <w:color w:val="070707"/>
        </w:rPr>
        <w:t xml:space="preserve"> </w:t>
      </w:r>
      <w:r>
        <w:rPr>
          <w:rFonts w:ascii="Times New Roman" w:cs="Times New Roman" w:eastAsia="Times New Roman" w:hAnsi="Times New Roman"/>
          <w:sz w:val="14"/>
          <w:szCs w:val="14"/>
          <w:color w:val="070707"/>
        </w:rPr>
        <w:t>my</w:t>
      </w:r>
      <w:r>
        <w:rPr>
          <w:rFonts w:ascii="Times New Roman" w:cs="Times New Roman" w:eastAsia="Times New Roman" w:hAnsi="Times New Roman"/>
          <w:sz w:val="14"/>
          <w:szCs w:val="14"/>
          <w:b w:val="1"/>
          <w:bCs w:val="1"/>
          <w:color w:val="070707"/>
        </w:rPr>
        <w:t xml:space="preserve"> </w:t>
      </w:r>
      <w:r>
        <w:rPr>
          <w:rFonts w:ascii="Times New Roman" w:cs="Times New Roman" w:eastAsia="Times New Roman" w:hAnsi="Times New Roman"/>
          <w:sz w:val="14"/>
          <w:szCs w:val="14"/>
          <w:color w:val="070707"/>
        </w:rPr>
        <w:t>employment with the Company that I consider to be my property or the property of third parties and tha</w:t>
      </w:r>
      <w:r>
        <w:rPr>
          <w:rFonts w:ascii="Times New Roman" w:cs="Times New Roman" w:eastAsia="Times New Roman" w:hAnsi="Times New Roman"/>
          <w:sz w:val="14"/>
          <w:szCs w:val="14"/>
          <w:color w:val="1C1C1C"/>
        </w:rPr>
        <w:t>t</w:t>
      </w:r>
      <w:r>
        <w:rPr>
          <w:rFonts w:ascii="Times New Roman" w:cs="Times New Roman" w:eastAsia="Times New Roman" w:hAnsi="Times New Roman"/>
          <w:sz w:val="14"/>
          <w:szCs w:val="14"/>
          <w:color w:val="070707"/>
        </w:rPr>
        <w:t xml:space="preserve"> I wish to have excluded from the scope of this Agreement (collectively referred to as "</w:t>
      </w:r>
      <w:r>
        <w:rPr>
          <w:rFonts w:ascii="Times New Roman" w:cs="Times New Roman" w:eastAsia="Times New Roman" w:hAnsi="Times New Roman"/>
          <w:sz w:val="14"/>
          <w:szCs w:val="14"/>
          <w:b w:val="1"/>
          <w:bCs w:val="1"/>
          <w:color w:val="070707"/>
        </w:rPr>
        <w:t>Prior</w:t>
      </w:r>
      <w:r>
        <w:rPr>
          <w:rFonts w:ascii="Times New Roman" w:cs="Times New Roman" w:eastAsia="Times New Roman" w:hAnsi="Times New Roman"/>
          <w:sz w:val="14"/>
          <w:szCs w:val="14"/>
          <w:color w:val="070707"/>
        </w:rPr>
        <w:t xml:space="preserve"> </w:t>
      </w:r>
      <w:r>
        <w:rPr>
          <w:rFonts w:ascii="Times New Roman" w:cs="Times New Roman" w:eastAsia="Times New Roman" w:hAnsi="Times New Roman"/>
          <w:sz w:val="14"/>
          <w:szCs w:val="14"/>
          <w:b w:val="1"/>
          <w:bCs w:val="1"/>
          <w:color w:val="070707"/>
        </w:rPr>
        <w:t>Inventions</w:t>
      </w:r>
      <w:r>
        <w:rPr>
          <w:rFonts w:ascii="Times New Roman" w:cs="Times New Roman" w:eastAsia="Times New Roman" w:hAnsi="Times New Roman"/>
          <w:sz w:val="14"/>
          <w:szCs w:val="14"/>
          <w:color w:val="070707"/>
        </w:rPr>
        <w:t>")</w:t>
      </w:r>
      <w:r>
        <w:rPr>
          <w:rFonts w:ascii="Times New Roman" w:cs="Times New Roman" w:eastAsia="Times New Roman" w:hAnsi="Times New Roman"/>
          <w:sz w:val="14"/>
          <w:szCs w:val="14"/>
          <w:color w:val="343434"/>
        </w:rPr>
        <w:t>.</w:t>
      </w:r>
      <w:r>
        <w:rPr>
          <w:rFonts w:ascii="Times New Roman" w:cs="Times New Roman" w:eastAsia="Times New Roman" w:hAnsi="Times New Roman"/>
          <w:sz w:val="14"/>
          <w:szCs w:val="14"/>
          <w:b w:val="1"/>
          <w:bCs w:val="1"/>
          <w:color w:val="070707"/>
        </w:rPr>
        <w:t xml:space="preserve"> </w:t>
      </w:r>
      <w:r>
        <w:rPr>
          <w:rFonts w:ascii="Times New Roman" w:cs="Times New Roman" w:eastAsia="Times New Roman" w:hAnsi="Times New Roman"/>
          <w:sz w:val="14"/>
          <w:szCs w:val="14"/>
          <w:color w:val="070707"/>
        </w:rPr>
        <w:t>If no such disclosure is attached, I represent that there are no Prior Inventions</w:t>
      </w:r>
      <w:r>
        <w:rPr>
          <w:rFonts w:ascii="Times New Roman" w:cs="Times New Roman" w:eastAsia="Times New Roman" w:hAnsi="Times New Roman"/>
          <w:sz w:val="14"/>
          <w:szCs w:val="14"/>
          <w:color w:val="343434"/>
        </w:rPr>
        <w:t>.</w:t>
      </w:r>
      <w:r>
        <w:rPr>
          <w:rFonts w:ascii="Times New Roman" w:cs="Times New Roman" w:eastAsia="Times New Roman" w:hAnsi="Times New Roman"/>
          <w:sz w:val="14"/>
          <w:szCs w:val="14"/>
          <w:b w:val="1"/>
          <w:bCs w:val="1"/>
          <w:color w:val="070707"/>
        </w:rPr>
        <w:t xml:space="preserve"> </w:t>
      </w:r>
      <w:r>
        <w:rPr>
          <w:rFonts w:ascii="Times New Roman" w:cs="Times New Roman" w:eastAsia="Times New Roman" w:hAnsi="Times New Roman"/>
          <w:sz w:val="14"/>
          <w:szCs w:val="14"/>
          <w:color w:val="070707"/>
        </w:rPr>
        <w:t>If, in the course of my employment w</w:t>
      </w:r>
      <w:r>
        <w:rPr>
          <w:rFonts w:ascii="Times New Roman" w:cs="Times New Roman" w:eastAsia="Times New Roman" w:hAnsi="Times New Roman"/>
          <w:sz w:val="14"/>
          <w:szCs w:val="14"/>
          <w:color w:val="1C1C1C"/>
        </w:rPr>
        <w:t>i</w:t>
      </w:r>
      <w:r>
        <w:rPr>
          <w:rFonts w:ascii="Times New Roman" w:cs="Times New Roman" w:eastAsia="Times New Roman" w:hAnsi="Times New Roman"/>
          <w:sz w:val="14"/>
          <w:szCs w:val="14"/>
          <w:color w:val="070707"/>
        </w:rPr>
        <w:t>th the Company</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b w:val="1"/>
          <w:bCs w:val="1"/>
          <w:color w:val="070707"/>
        </w:rPr>
        <w:t xml:space="preserve"> </w:t>
      </w:r>
      <w:r>
        <w:rPr>
          <w:rFonts w:ascii="Times New Roman" w:cs="Times New Roman" w:eastAsia="Times New Roman" w:hAnsi="Times New Roman"/>
          <w:sz w:val="14"/>
          <w:szCs w:val="14"/>
          <w:color w:val="070707"/>
        </w:rPr>
        <w:t>I incorporate a Prior Invention into a Company product,</w:t>
      </w:r>
      <w:r>
        <w:rPr>
          <w:rFonts w:ascii="Times New Roman" w:cs="Times New Roman" w:eastAsia="Times New Roman" w:hAnsi="Times New Roman"/>
          <w:sz w:val="14"/>
          <w:szCs w:val="14"/>
          <w:b w:val="1"/>
          <w:bCs w:val="1"/>
          <w:color w:val="070707"/>
        </w:rPr>
        <w:t xml:space="preserve"> </w:t>
      </w:r>
      <w:r>
        <w:rPr>
          <w:rFonts w:ascii="Times New Roman" w:cs="Times New Roman" w:eastAsia="Times New Roman" w:hAnsi="Times New Roman"/>
          <w:sz w:val="14"/>
          <w:szCs w:val="14"/>
          <w:color w:val="070707"/>
        </w:rPr>
        <w:t>process or machine, the Company is hereby granted and shall have a nonexc</w:t>
      </w:r>
      <w:r>
        <w:rPr>
          <w:rFonts w:ascii="Times New Roman" w:cs="Times New Roman" w:eastAsia="Times New Roman" w:hAnsi="Times New Roman"/>
          <w:sz w:val="14"/>
          <w:szCs w:val="14"/>
          <w:color w:val="1C1C1C"/>
        </w:rPr>
        <w:t>l</w:t>
      </w:r>
      <w:r>
        <w:rPr>
          <w:rFonts w:ascii="Times New Roman" w:cs="Times New Roman" w:eastAsia="Times New Roman" w:hAnsi="Times New Roman"/>
          <w:sz w:val="14"/>
          <w:szCs w:val="14"/>
          <w:color w:val="070707"/>
        </w:rPr>
        <w:t xml:space="preserve">usive, royalty-free, irrevocable, perpetual, worldwide license (with rights to sublicense through multiple tiers of sublicensees) to make, have made, modify, use and sell such Prior Invention. Notwithstanding the foregoing, I agree that </w:t>
      </w:r>
      <w:r>
        <w:rPr>
          <w:rFonts w:ascii="Times New Roman" w:cs="Times New Roman" w:eastAsia="Times New Roman" w:hAnsi="Times New Roman"/>
          <w:sz w:val="14"/>
          <w:szCs w:val="14"/>
          <w:color w:val="1C1C1C"/>
        </w:rPr>
        <w:t>I</w:t>
      </w:r>
      <w:r>
        <w:rPr>
          <w:rFonts w:ascii="Times New Roman" w:cs="Times New Roman" w:eastAsia="Times New Roman" w:hAnsi="Times New Roman"/>
          <w:sz w:val="14"/>
          <w:szCs w:val="14"/>
          <w:color w:val="070707"/>
        </w:rPr>
        <w:t xml:space="preserve"> will not incorporate, or permit to be incorpo</w:t>
      </w:r>
      <w:r>
        <w:rPr>
          <w:rFonts w:ascii="Times New Roman" w:cs="Times New Roman" w:eastAsia="Times New Roman" w:hAnsi="Times New Roman"/>
          <w:sz w:val="14"/>
          <w:szCs w:val="14"/>
          <w:color w:val="1C1C1C"/>
        </w:rPr>
        <w:t>r</w:t>
      </w:r>
      <w:r>
        <w:rPr>
          <w:rFonts w:ascii="Times New Roman" w:cs="Times New Roman" w:eastAsia="Times New Roman" w:hAnsi="Times New Roman"/>
          <w:sz w:val="14"/>
          <w:szCs w:val="14"/>
          <w:color w:val="070707"/>
        </w:rPr>
        <w:t>ated, Prior Inventions in any Company Inventions without the Company's prior written consent.</w:t>
      </w:r>
    </w:p>
    <w:p>
      <w:pPr>
        <w:spacing w:after="0" w:line="119" w:lineRule="exact"/>
        <w:rPr>
          <w:sz w:val="20"/>
          <w:szCs w:val="20"/>
          <w:color w:val="auto"/>
        </w:rPr>
      </w:pPr>
    </w:p>
    <w:p>
      <w:pPr>
        <w:jc w:val="both"/>
        <w:ind w:left="20" w:firstLine="503"/>
        <w:spacing w:after="0" w:line="261" w:lineRule="auto"/>
        <w:rPr>
          <w:sz w:val="20"/>
          <w:szCs w:val="20"/>
          <w:color w:val="auto"/>
        </w:rPr>
      </w:pPr>
      <w:r>
        <w:rPr>
          <w:rFonts w:ascii="Times New Roman" w:cs="Times New Roman" w:eastAsia="Times New Roman" w:hAnsi="Times New Roman"/>
          <w:sz w:val="14"/>
          <w:szCs w:val="14"/>
          <w:b w:val="1"/>
          <w:bCs w:val="1"/>
          <w:color w:val="070707"/>
        </w:rPr>
        <w:t>2</w:t>
      </w:r>
      <w:r>
        <w:rPr>
          <w:rFonts w:ascii="Times New Roman" w:cs="Times New Roman" w:eastAsia="Times New Roman" w:hAnsi="Times New Roman"/>
          <w:sz w:val="14"/>
          <w:szCs w:val="14"/>
          <w:b w:val="1"/>
          <w:bCs w:val="1"/>
          <w:color w:val="1C1C1C"/>
        </w:rPr>
        <w:t>.</w:t>
      </w:r>
      <w:r>
        <w:rPr>
          <w:rFonts w:ascii="Times New Roman" w:cs="Times New Roman" w:eastAsia="Times New Roman" w:hAnsi="Times New Roman"/>
          <w:sz w:val="14"/>
          <w:szCs w:val="14"/>
          <w:b w:val="1"/>
          <w:bCs w:val="1"/>
          <w:color w:val="070707"/>
        </w:rPr>
        <w:t>4. Assignment of Inventions</w:t>
      </w:r>
      <w:r>
        <w:rPr>
          <w:rFonts w:ascii="Times New Roman" w:cs="Times New Roman" w:eastAsia="Times New Roman" w:hAnsi="Times New Roman"/>
          <w:sz w:val="14"/>
          <w:szCs w:val="14"/>
          <w:color w:val="070707"/>
        </w:rPr>
        <w:t>. Subject to Sect</w:t>
      </w:r>
      <w:r>
        <w:rPr>
          <w:rFonts w:ascii="Times New Roman" w:cs="Times New Roman" w:eastAsia="Times New Roman" w:hAnsi="Times New Roman"/>
          <w:sz w:val="14"/>
          <w:szCs w:val="14"/>
          <w:color w:val="1C1C1C"/>
        </w:rPr>
        <w:t>i</w:t>
      </w:r>
      <w:r>
        <w:rPr>
          <w:rFonts w:ascii="Times New Roman" w:cs="Times New Roman" w:eastAsia="Times New Roman" w:hAnsi="Times New Roman"/>
          <w:sz w:val="14"/>
          <w:szCs w:val="14"/>
          <w:color w:val="070707"/>
        </w:rPr>
        <w:t>on 2</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6 and except for those Inventions which I can prove qualify fully under the provisions of California Labor Code 2870 (as set forth in</w:t>
      </w:r>
      <w:r>
        <w:rPr>
          <w:rFonts w:ascii="Times New Roman" w:cs="Times New Roman" w:eastAsia="Times New Roman" w:hAnsi="Times New Roman"/>
          <w:sz w:val="14"/>
          <w:szCs w:val="14"/>
          <w:b w:val="1"/>
          <w:bCs w:val="1"/>
          <w:color w:val="070707"/>
        </w:rPr>
        <w:t xml:space="preserve"> </w:t>
      </w:r>
      <w:r>
        <w:rPr>
          <w:rFonts w:ascii="Times New Roman" w:cs="Times New Roman" w:eastAsia="Times New Roman" w:hAnsi="Times New Roman"/>
          <w:sz w:val="14"/>
          <w:szCs w:val="14"/>
          <w:i w:val="1"/>
          <w:iCs w:val="1"/>
          <w:color w:val="070707"/>
        </w:rPr>
        <w:t>Exhibit</w:t>
      </w:r>
      <w:r>
        <w:rPr>
          <w:rFonts w:ascii="Times New Roman" w:cs="Times New Roman" w:eastAsia="Times New Roman" w:hAnsi="Times New Roman"/>
          <w:sz w:val="14"/>
          <w:szCs w:val="14"/>
          <w:b w:val="1"/>
          <w:bCs w:val="1"/>
          <w:color w:val="070707"/>
        </w:rPr>
        <w:t xml:space="preserve"> </w:t>
      </w:r>
      <w:r>
        <w:rPr>
          <w:rFonts w:ascii="Times New Roman" w:cs="Times New Roman" w:eastAsia="Times New Roman" w:hAnsi="Times New Roman"/>
          <w:sz w:val="14"/>
          <w:szCs w:val="14"/>
          <w:i w:val="1"/>
          <w:iCs w:val="1"/>
          <w:color w:val="070707"/>
        </w:rPr>
        <w:t xml:space="preserve">A), </w:t>
      </w:r>
      <w:r>
        <w:rPr>
          <w:rFonts w:ascii="Times New Roman" w:cs="Times New Roman" w:eastAsia="Times New Roman" w:hAnsi="Times New Roman"/>
          <w:sz w:val="14"/>
          <w:szCs w:val="14"/>
          <w:color w:val="070707"/>
        </w:rPr>
        <w:t>I hereby assign and agree to assign in the future (when any such Inventions or Proprietary Rights are first reduced to practice or first fixed in a tangible medium</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i w:val="1"/>
          <w:iCs w:val="1"/>
          <w:color w:val="070707"/>
        </w:rPr>
        <w:t xml:space="preserve"> </w:t>
      </w:r>
      <w:r>
        <w:rPr>
          <w:rFonts w:ascii="Times New Roman" w:cs="Times New Roman" w:eastAsia="Times New Roman" w:hAnsi="Times New Roman"/>
          <w:sz w:val="14"/>
          <w:szCs w:val="14"/>
          <w:color w:val="070707"/>
        </w:rPr>
        <w:t>as applicable) to the Company all my</w:t>
      </w:r>
      <w:r>
        <w:rPr>
          <w:rFonts w:ascii="Times New Roman" w:cs="Times New Roman" w:eastAsia="Times New Roman" w:hAnsi="Times New Roman"/>
          <w:sz w:val="14"/>
          <w:szCs w:val="14"/>
          <w:i w:val="1"/>
          <w:iCs w:val="1"/>
          <w:color w:val="070707"/>
        </w:rPr>
        <w:t xml:space="preserve"> </w:t>
      </w:r>
      <w:r>
        <w:rPr>
          <w:rFonts w:ascii="Times New Roman" w:cs="Times New Roman" w:eastAsia="Times New Roman" w:hAnsi="Times New Roman"/>
          <w:sz w:val="14"/>
          <w:szCs w:val="14"/>
          <w:color w:val="070707"/>
        </w:rPr>
        <w:t>right</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 xml:space="preserve"> title and interest in and to any and all Inventions (and all Proprietary Rights with respect thereto). I will, at the Company's </w:t>
      </w:r>
      <w:r>
        <w:rPr>
          <w:rFonts w:ascii="Times New Roman" w:cs="Times New Roman" w:eastAsia="Times New Roman" w:hAnsi="Times New Roman"/>
          <w:sz w:val="14"/>
          <w:szCs w:val="14"/>
          <w:color w:val="1C1C1C"/>
        </w:rPr>
        <w:t>r</w:t>
      </w:r>
      <w:r>
        <w:rPr>
          <w:rFonts w:ascii="Times New Roman" w:cs="Times New Roman" w:eastAsia="Times New Roman" w:hAnsi="Times New Roman"/>
          <w:sz w:val="14"/>
          <w:szCs w:val="14"/>
          <w:color w:val="070707"/>
        </w:rPr>
        <w:t>equest, promptly execute a written assignment to the Company of any such Company Invention, and I will preserve any such Invention as part of the P</w:t>
      </w:r>
      <w:r>
        <w:rPr>
          <w:rFonts w:ascii="Times New Roman" w:cs="Times New Roman" w:eastAsia="Times New Roman" w:hAnsi="Times New Roman"/>
          <w:sz w:val="14"/>
          <w:szCs w:val="14"/>
          <w:color w:val="1C1C1C"/>
        </w:rPr>
        <w:t>r</w:t>
      </w:r>
      <w:r>
        <w:rPr>
          <w:rFonts w:ascii="Times New Roman" w:cs="Times New Roman" w:eastAsia="Times New Roman" w:hAnsi="Times New Roman"/>
          <w:sz w:val="14"/>
          <w:szCs w:val="14"/>
          <w:color w:val="070707"/>
        </w:rPr>
        <w:t>oprietary Information of the Company (the "</w:t>
      </w:r>
      <w:r>
        <w:rPr>
          <w:rFonts w:ascii="Times New Roman" w:cs="Times New Roman" w:eastAsia="Times New Roman" w:hAnsi="Times New Roman"/>
          <w:sz w:val="14"/>
          <w:szCs w:val="14"/>
          <w:b w:val="1"/>
          <w:bCs w:val="1"/>
          <w:color w:val="070707"/>
        </w:rPr>
        <w:t>Company Inventions</w:t>
      </w:r>
      <w:r>
        <w:rPr>
          <w:rFonts w:ascii="Times New Roman" w:cs="Times New Roman" w:eastAsia="Times New Roman" w:hAnsi="Times New Roman"/>
          <w:sz w:val="14"/>
          <w:szCs w:val="14"/>
          <w:color w:val="070707"/>
        </w:rPr>
        <w:t>").</w:t>
      </w:r>
    </w:p>
    <w:p>
      <w:pPr>
        <w:spacing w:after="0" w:line="107" w:lineRule="exact"/>
        <w:rPr>
          <w:sz w:val="20"/>
          <w:szCs w:val="20"/>
          <w:color w:val="auto"/>
        </w:rPr>
      </w:pPr>
    </w:p>
    <w:p>
      <w:pPr>
        <w:jc w:val="both"/>
        <w:ind w:firstLine="503"/>
        <w:spacing w:after="0" w:line="267" w:lineRule="auto"/>
        <w:rPr>
          <w:sz w:val="20"/>
          <w:szCs w:val="20"/>
          <w:color w:val="auto"/>
        </w:rPr>
      </w:pPr>
      <w:r>
        <w:rPr>
          <w:rFonts w:ascii="Times New Roman" w:cs="Times New Roman" w:eastAsia="Times New Roman" w:hAnsi="Times New Roman"/>
          <w:sz w:val="14"/>
          <w:szCs w:val="14"/>
          <w:b w:val="1"/>
          <w:bCs w:val="1"/>
          <w:color w:val="070707"/>
        </w:rPr>
        <w:t>2.5. Obligation to Keep Company Informed</w:t>
      </w:r>
      <w:r>
        <w:rPr>
          <w:rFonts w:ascii="Times New Roman" w:cs="Times New Roman" w:eastAsia="Times New Roman" w:hAnsi="Times New Roman"/>
          <w:sz w:val="14"/>
          <w:szCs w:val="14"/>
          <w:color w:val="070707"/>
        </w:rPr>
        <w:t>. I will promptly and fully disclose in writing to the Company all Inventions during my employment and for one (1) year after my employment,</w:t>
      </w:r>
      <w:r>
        <w:rPr>
          <w:rFonts w:ascii="Times New Roman" w:cs="Times New Roman" w:eastAsia="Times New Roman" w:hAnsi="Times New Roman"/>
          <w:sz w:val="14"/>
          <w:szCs w:val="14"/>
          <w:b w:val="1"/>
          <w:bCs w:val="1"/>
          <w:color w:val="070707"/>
        </w:rPr>
        <w:t xml:space="preserve"> </w:t>
      </w:r>
      <w:r>
        <w:rPr>
          <w:rFonts w:ascii="Times New Roman" w:cs="Times New Roman" w:eastAsia="Times New Roman" w:hAnsi="Times New Roman"/>
          <w:sz w:val="14"/>
          <w:szCs w:val="14"/>
          <w:color w:val="070707"/>
        </w:rPr>
        <w:t>including any that may be covered by Section 2870</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 xml:space="preserve"> I agree to assist in every proper way </w:t>
      </w:r>
      <w:r>
        <w:rPr>
          <w:rFonts w:ascii="Times New Roman" w:cs="Times New Roman" w:eastAsia="Times New Roman" w:hAnsi="Times New Roman"/>
          <w:sz w:val="14"/>
          <w:szCs w:val="14"/>
          <w:color w:val="000000"/>
        </w:rPr>
        <w:t>and to execute those documents and take such acts as are reasonably requested by the Company to obtain, sustain</w:t>
      </w:r>
      <w:r>
        <w:rPr>
          <w:rFonts w:ascii="Times New Roman" w:cs="Times New Roman" w:eastAsia="Times New Roman" w:hAnsi="Times New Roman"/>
          <w:sz w:val="14"/>
          <w:szCs w:val="14"/>
          <w:color w:val="070707"/>
        </w:rPr>
        <w:t xml:space="preserve"> </w:t>
      </w:r>
      <w:r>
        <w:rPr>
          <w:rFonts w:ascii="Times New Roman" w:cs="Times New Roman" w:eastAsia="Times New Roman" w:hAnsi="Times New Roman"/>
          <w:sz w:val="14"/>
          <w:szCs w:val="14"/>
          <w:color w:val="000000"/>
        </w:rPr>
        <w:t>and from time to time enforce patents, copyrights and other rights and protections relating to Inventions in the Uni</w:t>
      </w:r>
      <w:r>
        <w:rPr>
          <w:rFonts w:ascii="Times New Roman" w:cs="Times New Roman" w:eastAsia="Times New Roman" w:hAnsi="Times New Roman"/>
          <w:sz w:val="14"/>
          <w:szCs w:val="14"/>
          <w:color w:val="1D1D1D"/>
        </w:rPr>
        <w:t>t</w:t>
      </w:r>
      <w:r>
        <w:rPr>
          <w:rFonts w:ascii="Times New Roman" w:cs="Times New Roman" w:eastAsia="Times New Roman" w:hAnsi="Times New Roman"/>
          <w:sz w:val="14"/>
          <w:szCs w:val="14"/>
          <w:color w:val="080808"/>
        </w:rPr>
        <w:t>ed States or any othe</w:t>
      </w:r>
      <w:r>
        <w:rPr>
          <w:rFonts w:ascii="Times New Roman" w:cs="Times New Roman" w:eastAsia="Times New Roman" w:hAnsi="Times New Roman"/>
          <w:sz w:val="14"/>
          <w:szCs w:val="14"/>
          <w:color w:val="1D1D1D"/>
        </w:rPr>
        <w:t>r</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080808"/>
        </w:rPr>
        <w:t>country.</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460"/>
          </w:cols>
          <w:pgMar w:left="220" w:top="335" w:right="219" w:bottom="1440" w:gutter="0" w:footer="0" w:header="0"/>
        </w:sectPr>
      </w:pPr>
    </w:p>
    <w:bookmarkStart w:id="66" w:name="page67"/>
    <w:bookmarkEnd w:id="66"/>
    <w:p>
      <w:pPr>
        <w:ind w:left="100" w:firstLine="430"/>
        <w:spacing w:after="0" w:line="285" w:lineRule="auto"/>
        <w:rPr>
          <w:sz w:val="20"/>
          <w:szCs w:val="20"/>
          <w:color w:val="auto"/>
        </w:rPr>
      </w:pPr>
      <w:r>
        <w:rPr>
          <w:rFonts w:ascii="Times New Roman" w:cs="Times New Roman" w:eastAsia="Times New Roman" w:hAnsi="Times New Roman"/>
          <w:sz w:val="14"/>
          <w:szCs w:val="14"/>
          <w:b w:val="1"/>
          <w:bCs w:val="1"/>
          <w:color w:val="080808"/>
        </w:rPr>
        <w:t>2.6. Government or Third Party</w:t>
      </w:r>
      <w:r>
        <w:rPr>
          <w:rFonts w:ascii="Times New Roman" w:cs="Times New Roman" w:eastAsia="Times New Roman" w:hAnsi="Times New Roman"/>
          <w:sz w:val="14"/>
          <w:szCs w:val="14"/>
          <w:color w:val="080808"/>
        </w:rPr>
        <w:t>. I also agree to assign all my right, title and interest in and to any particular Company Invention to a th</w:t>
      </w:r>
      <w:r>
        <w:rPr>
          <w:rFonts w:ascii="Times New Roman" w:cs="Times New Roman" w:eastAsia="Times New Roman" w:hAnsi="Times New Roman"/>
          <w:sz w:val="14"/>
          <w:szCs w:val="14"/>
          <w:color w:val="1D1D1D"/>
        </w:rPr>
        <w:t>i</w:t>
      </w:r>
      <w:r>
        <w:rPr>
          <w:rFonts w:ascii="Times New Roman" w:cs="Times New Roman" w:eastAsia="Times New Roman" w:hAnsi="Times New Roman"/>
          <w:sz w:val="14"/>
          <w:szCs w:val="14"/>
          <w:color w:val="080808"/>
        </w:rPr>
        <w:t>rd party, including without limitation the United States,</w:t>
      </w:r>
      <w:r>
        <w:rPr>
          <w:rFonts w:ascii="Times New Roman" w:cs="Times New Roman" w:eastAsia="Times New Roman" w:hAnsi="Times New Roman"/>
          <w:sz w:val="14"/>
          <w:szCs w:val="14"/>
          <w:b w:val="1"/>
          <w:bCs w:val="1"/>
          <w:color w:val="080808"/>
        </w:rPr>
        <w:t xml:space="preserve"> </w:t>
      </w:r>
      <w:r>
        <w:rPr>
          <w:rFonts w:ascii="Times New Roman" w:cs="Times New Roman" w:eastAsia="Times New Roman" w:hAnsi="Times New Roman"/>
          <w:sz w:val="14"/>
          <w:szCs w:val="14"/>
          <w:color w:val="080808"/>
        </w:rPr>
        <w:t>as directed by the Company</w:t>
      </w:r>
      <w:r>
        <w:rPr>
          <w:rFonts w:ascii="Times New Roman" w:cs="Times New Roman" w:eastAsia="Times New Roman" w:hAnsi="Times New Roman"/>
          <w:sz w:val="14"/>
          <w:szCs w:val="14"/>
          <w:color w:val="1D1D1D"/>
        </w:rPr>
        <w:t>.</w:t>
      </w:r>
    </w:p>
    <w:p>
      <w:pPr>
        <w:spacing w:after="0" w:line="100" w:lineRule="exact"/>
        <w:rPr>
          <w:sz w:val="20"/>
          <w:szCs w:val="20"/>
          <w:color w:val="auto"/>
        </w:rPr>
      </w:pPr>
    </w:p>
    <w:p>
      <w:pPr>
        <w:jc w:val="both"/>
        <w:ind w:firstLine="4"/>
        <w:spacing w:after="0" w:line="267" w:lineRule="auto"/>
        <w:tabs>
          <w:tab w:leader="none" w:pos="140" w:val="left"/>
        </w:tabs>
        <w:numPr>
          <w:ilvl w:val="0"/>
          <w:numId w:val="53"/>
        </w:numPr>
        <w:rPr>
          <w:rFonts w:ascii="Times New Roman" w:cs="Times New Roman" w:eastAsia="Times New Roman" w:hAnsi="Times New Roman"/>
          <w:sz w:val="14"/>
          <w:szCs w:val="14"/>
          <w:b w:val="1"/>
          <w:bCs w:val="1"/>
          <w:color w:val="080808"/>
        </w:rPr>
      </w:pPr>
      <w:r>
        <w:rPr>
          <w:rFonts w:ascii="Times New Roman" w:cs="Times New Roman" w:eastAsia="Times New Roman" w:hAnsi="Times New Roman"/>
          <w:sz w:val="14"/>
          <w:szCs w:val="14"/>
          <w:b w:val="1"/>
          <w:bCs w:val="1"/>
          <w:color w:val="080808"/>
        </w:rPr>
        <w:t xml:space="preserve">NO CONFLICTING OBLIGATION. </w:t>
      </w:r>
      <w:r>
        <w:rPr>
          <w:rFonts w:ascii="Times New Roman" w:cs="Times New Roman" w:eastAsia="Times New Roman" w:hAnsi="Times New Roman"/>
          <w:sz w:val="14"/>
          <w:szCs w:val="14"/>
          <w:color w:val="080808"/>
        </w:rPr>
        <w:t>I</w:t>
      </w:r>
      <w:r>
        <w:rPr>
          <w:rFonts w:ascii="Times New Roman" w:cs="Times New Roman" w:eastAsia="Times New Roman" w:hAnsi="Times New Roman"/>
          <w:sz w:val="14"/>
          <w:szCs w:val="14"/>
          <w:b w:val="1"/>
          <w:bCs w:val="1"/>
          <w:color w:val="080808"/>
        </w:rPr>
        <w:t xml:space="preserve"> REPRESENT </w:t>
      </w:r>
      <w:r>
        <w:rPr>
          <w:rFonts w:ascii="Times New Roman" w:cs="Times New Roman" w:eastAsia="Times New Roman" w:hAnsi="Times New Roman"/>
          <w:sz w:val="14"/>
          <w:szCs w:val="14"/>
          <w:color w:val="080808"/>
        </w:rPr>
        <w:t>that my performance of all the terms of this Agreement and as an employee of the Company does not and will not breach any agreement to keep</w:t>
      </w:r>
      <w:r>
        <w:rPr>
          <w:rFonts w:ascii="Times New Roman" w:cs="Times New Roman" w:eastAsia="Times New Roman" w:hAnsi="Times New Roman"/>
          <w:sz w:val="14"/>
          <w:szCs w:val="14"/>
          <w:b w:val="1"/>
          <w:bCs w:val="1"/>
          <w:color w:val="080808"/>
        </w:rPr>
        <w:t xml:space="preserve"> </w:t>
      </w:r>
      <w:r>
        <w:rPr>
          <w:rFonts w:ascii="Times New Roman" w:cs="Times New Roman" w:eastAsia="Times New Roman" w:hAnsi="Times New Roman"/>
          <w:sz w:val="14"/>
          <w:szCs w:val="14"/>
          <w:color w:val="080808"/>
        </w:rPr>
        <w:t>in confidence information acquired by me in confidence or in trust prior to my employment by the Company</w:t>
      </w:r>
      <w:r>
        <w:rPr>
          <w:rFonts w:ascii="Times New Roman" w:cs="Times New Roman" w:eastAsia="Times New Roman" w:hAnsi="Times New Roman"/>
          <w:sz w:val="14"/>
          <w:szCs w:val="14"/>
          <w:color w:val="363636"/>
        </w:rPr>
        <w:t>.</w:t>
      </w:r>
      <w:r>
        <w:rPr>
          <w:rFonts w:ascii="Times New Roman" w:cs="Times New Roman" w:eastAsia="Times New Roman" w:hAnsi="Times New Roman"/>
          <w:sz w:val="14"/>
          <w:szCs w:val="14"/>
          <w:color w:val="080808"/>
        </w:rPr>
        <w:t xml:space="preserve"> I have not entered into, and I agree I will not enter into, any agreement either written or oral in conflict herewith.</w:t>
      </w:r>
    </w:p>
    <w:p>
      <w:pPr>
        <w:spacing w:after="0" w:line="112" w:lineRule="exact"/>
        <w:rPr>
          <w:rFonts w:ascii="Times New Roman" w:cs="Times New Roman" w:eastAsia="Times New Roman" w:hAnsi="Times New Roman"/>
          <w:sz w:val="14"/>
          <w:szCs w:val="14"/>
          <w:b w:val="1"/>
          <w:bCs w:val="1"/>
          <w:color w:val="080808"/>
        </w:rPr>
      </w:pPr>
    </w:p>
    <w:p>
      <w:pPr>
        <w:jc w:val="both"/>
        <w:ind w:left="60" w:firstLine="17"/>
        <w:spacing w:after="0" w:line="261" w:lineRule="auto"/>
        <w:tabs>
          <w:tab w:leader="none" w:pos="221" w:val="left"/>
        </w:tabs>
        <w:numPr>
          <w:ilvl w:val="1"/>
          <w:numId w:val="53"/>
        </w:numPr>
        <w:rPr>
          <w:rFonts w:ascii="Times New Roman" w:cs="Times New Roman" w:eastAsia="Times New Roman" w:hAnsi="Times New Roman"/>
          <w:sz w:val="14"/>
          <w:szCs w:val="14"/>
          <w:b w:val="1"/>
          <w:bCs w:val="1"/>
          <w:color w:val="080808"/>
        </w:rPr>
      </w:pPr>
      <w:r>
        <w:rPr>
          <w:rFonts w:ascii="Times New Roman" w:cs="Times New Roman" w:eastAsia="Times New Roman" w:hAnsi="Times New Roman"/>
          <w:sz w:val="14"/>
          <w:szCs w:val="14"/>
          <w:b w:val="1"/>
          <w:bCs w:val="1"/>
          <w:color w:val="080808"/>
        </w:rPr>
        <w:t>RETURN OF COMPANY DOCUMENTS</w:t>
      </w:r>
      <w:r>
        <w:rPr>
          <w:rFonts w:ascii="Times New Roman" w:cs="Times New Roman" w:eastAsia="Times New Roman" w:hAnsi="Times New Roman"/>
          <w:sz w:val="14"/>
          <w:szCs w:val="14"/>
          <w:color w:val="080808"/>
        </w:rPr>
        <w:t>. Upon termination of my employment with the Company for any reason whatsoever, voluntarily or involuntarily, and at any earlier time the Company</w:t>
      </w:r>
      <w:r>
        <w:rPr>
          <w:rFonts w:ascii="Times New Roman" w:cs="Times New Roman" w:eastAsia="Times New Roman" w:hAnsi="Times New Roman"/>
          <w:sz w:val="14"/>
          <w:szCs w:val="14"/>
          <w:b w:val="1"/>
          <w:bCs w:val="1"/>
          <w:color w:val="080808"/>
        </w:rPr>
        <w:t xml:space="preserve"> </w:t>
      </w:r>
      <w:r>
        <w:rPr>
          <w:rFonts w:ascii="Times New Roman" w:cs="Times New Roman" w:eastAsia="Times New Roman" w:hAnsi="Times New Roman"/>
          <w:sz w:val="14"/>
          <w:szCs w:val="14"/>
          <w:color w:val="080808"/>
        </w:rPr>
        <w:t>requests, I will deliver to the person designated by the Company all originals and copies of all documents and other property of the Company in my possession, under my control or to which I may have access</w:t>
      </w:r>
      <w:r>
        <w:rPr>
          <w:rFonts w:ascii="Times New Roman" w:cs="Times New Roman" w:eastAsia="Times New Roman" w:hAnsi="Times New Roman"/>
          <w:sz w:val="14"/>
          <w:szCs w:val="14"/>
          <w:color w:val="1D1D1D"/>
        </w:rPr>
        <w:t>.</w:t>
      </w:r>
      <w:r>
        <w:rPr>
          <w:rFonts w:ascii="Times New Roman" w:cs="Times New Roman" w:eastAsia="Times New Roman" w:hAnsi="Times New Roman"/>
          <w:sz w:val="14"/>
          <w:szCs w:val="14"/>
          <w:color w:val="080808"/>
        </w:rPr>
        <w:t xml:space="preserve"> I will not reproduce or appropriate for my own use, or for the use of others, any property, Proprietary Information or Company Inventions</w:t>
      </w:r>
      <w:r>
        <w:rPr>
          <w:rFonts w:ascii="Times New Roman" w:cs="Times New Roman" w:eastAsia="Times New Roman" w:hAnsi="Times New Roman"/>
          <w:sz w:val="14"/>
          <w:szCs w:val="14"/>
          <w:color w:val="1D1D1D"/>
        </w:rPr>
        <w:t>.</w:t>
      </w:r>
      <w:r>
        <w:rPr>
          <w:rFonts w:ascii="Times New Roman" w:cs="Times New Roman" w:eastAsia="Times New Roman" w:hAnsi="Times New Roman"/>
          <w:sz w:val="14"/>
          <w:szCs w:val="14"/>
          <w:color w:val="080808"/>
        </w:rPr>
        <w:t xml:space="preserve"> Notwithstanding the foregoing, </w:t>
      </w:r>
      <w:r>
        <w:rPr>
          <w:rFonts w:ascii="Times New Roman" w:cs="Times New Roman" w:eastAsia="Times New Roman" w:hAnsi="Times New Roman"/>
          <w:sz w:val="14"/>
          <w:szCs w:val="14"/>
          <w:color w:val="1D1D1D"/>
        </w:rPr>
        <w:t>I</w:t>
      </w:r>
      <w:r>
        <w:rPr>
          <w:rFonts w:ascii="Times New Roman" w:cs="Times New Roman" w:eastAsia="Times New Roman" w:hAnsi="Times New Roman"/>
          <w:sz w:val="14"/>
          <w:szCs w:val="14"/>
          <w:color w:val="080808"/>
        </w:rPr>
        <w:t xml:space="preserve"> understand that I am allowed to keep a copy of the Employee Handbook and personnel records relating to my employment.</w:t>
      </w:r>
    </w:p>
    <w:p>
      <w:pPr>
        <w:spacing w:after="0" w:line="118" w:lineRule="exact"/>
        <w:rPr>
          <w:sz w:val="20"/>
          <w:szCs w:val="20"/>
          <w:color w:val="auto"/>
        </w:rPr>
      </w:pPr>
    </w:p>
    <w:p>
      <w:pPr>
        <w:jc w:val="both"/>
        <w:ind w:left="60"/>
        <w:spacing w:after="0" w:line="267" w:lineRule="auto"/>
        <w:rPr>
          <w:sz w:val="20"/>
          <w:szCs w:val="20"/>
          <w:color w:val="auto"/>
        </w:rPr>
      </w:pPr>
      <w:r>
        <w:rPr>
          <w:rFonts w:ascii="Times New Roman" w:cs="Times New Roman" w:eastAsia="Times New Roman" w:hAnsi="Times New Roman"/>
          <w:sz w:val="14"/>
          <w:szCs w:val="14"/>
          <w:b w:val="1"/>
          <w:bCs w:val="1"/>
          <w:color w:val="080808"/>
        </w:rPr>
        <w:t>5</w:t>
      </w:r>
      <w:r>
        <w:rPr>
          <w:rFonts w:ascii="Times New Roman" w:cs="Times New Roman" w:eastAsia="Times New Roman" w:hAnsi="Times New Roman"/>
          <w:sz w:val="14"/>
          <w:szCs w:val="14"/>
          <w:b w:val="1"/>
          <w:bCs w:val="1"/>
          <w:color w:val="1D1D1D"/>
        </w:rPr>
        <w:t>.</w:t>
      </w:r>
      <w:r>
        <w:rPr>
          <w:rFonts w:ascii="Times New Roman" w:cs="Times New Roman" w:eastAsia="Times New Roman" w:hAnsi="Times New Roman"/>
          <w:sz w:val="14"/>
          <w:szCs w:val="14"/>
          <w:b w:val="1"/>
          <w:bCs w:val="1"/>
          <w:color w:val="080808"/>
        </w:rPr>
        <w:t xml:space="preserve"> LEGAL AND EQUITABLE REMEDIBS</w:t>
      </w:r>
      <w:r>
        <w:rPr>
          <w:rFonts w:ascii="Times New Roman" w:cs="Times New Roman" w:eastAsia="Times New Roman" w:hAnsi="Times New Roman"/>
          <w:sz w:val="14"/>
          <w:szCs w:val="14"/>
          <w:b w:val="1"/>
          <w:bCs w:val="1"/>
          <w:color w:val="1D1D1D"/>
        </w:rPr>
        <w:t>.</w:t>
      </w:r>
      <w:r>
        <w:rPr>
          <w:rFonts w:ascii="Times New Roman" w:cs="Times New Roman" w:eastAsia="Times New Roman" w:hAnsi="Times New Roman"/>
          <w:sz w:val="14"/>
          <w:szCs w:val="14"/>
          <w:b w:val="1"/>
          <w:bCs w:val="1"/>
          <w:color w:val="080808"/>
        </w:rPr>
        <w:t xml:space="preserve"> </w:t>
      </w:r>
      <w:r>
        <w:rPr>
          <w:rFonts w:ascii="Times New Roman" w:cs="Times New Roman" w:eastAsia="Times New Roman" w:hAnsi="Times New Roman"/>
          <w:sz w:val="14"/>
          <w:szCs w:val="14"/>
          <w:color w:val="080808"/>
        </w:rPr>
        <w:t>Because my services are personal and unique and because I may have access to and become acquainted with the Proprietary Information of the Company,</w:t>
      </w:r>
      <w:r>
        <w:rPr>
          <w:rFonts w:ascii="Times New Roman" w:cs="Times New Roman" w:eastAsia="Times New Roman" w:hAnsi="Times New Roman"/>
          <w:sz w:val="14"/>
          <w:szCs w:val="14"/>
          <w:b w:val="1"/>
          <w:bCs w:val="1"/>
          <w:color w:val="080808"/>
        </w:rPr>
        <w:t xml:space="preserve"> </w:t>
      </w:r>
      <w:r>
        <w:rPr>
          <w:rFonts w:ascii="Times New Roman" w:cs="Times New Roman" w:eastAsia="Times New Roman" w:hAnsi="Times New Roman"/>
          <w:sz w:val="14"/>
          <w:szCs w:val="14"/>
          <w:color w:val="080808"/>
        </w:rPr>
        <w:t>the Company shall have the right to enforce this Agreement and any of its provisions by injunction</w:t>
      </w:r>
      <w:r>
        <w:rPr>
          <w:rFonts w:ascii="Times New Roman" w:cs="Times New Roman" w:eastAsia="Times New Roman" w:hAnsi="Times New Roman"/>
          <w:sz w:val="14"/>
          <w:szCs w:val="14"/>
          <w:color w:val="1D1D1D"/>
        </w:rPr>
        <w:t>,</w:t>
      </w:r>
      <w:r>
        <w:rPr>
          <w:rFonts w:ascii="Times New Roman" w:cs="Times New Roman" w:eastAsia="Times New Roman" w:hAnsi="Times New Roman"/>
          <w:sz w:val="14"/>
          <w:szCs w:val="14"/>
          <w:color w:val="080808"/>
        </w:rPr>
        <w:t xml:space="preserve"> specific performance or other equitable relief, without bond and without prejudice to any other rights and remedies that the Company may have for a breach of this Agreement.</w:t>
      </w:r>
    </w:p>
    <w:p>
      <w:pPr>
        <w:spacing w:after="0" w:line="113" w:lineRule="exact"/>
        <w:rPr>
          <w:sz w:val="20"/>
          <w:szCs w:val="20"/>
          <w:color w:val="auto"/>
        </w:rPr>
      </w:pPr>
    </w:p>
    <w:p>
      <w:pPr>
        <w:ind w:left="60" w:firstLine="7"/>
        <w:spacing w:after="0" w:line="300" w:lineRule="auto"/>
        <w:tabs>
          <w:tab w:leader="none" w:pos="200" w:val="left"/>
        </w:tabs>
        <w:numPr>
          <w:ilvl w:val="1"/>
          <w:numId w:val="54"/>
        </w:numPr>
        <w:rPr>
          <w:rFonts w:ascii="Times New Roman" w:cs="Times New Roman" w:eastAsia="Times New Roman" w:hAnsi="Times New Roman"/>
          <w:sz w:val="14"/>
          <w:szCs w:val="14"/>
          <w:b w:val="1"/>
          <w:bCs w:val="1"/>
          <w:color w:val="080808"/>
        </w:rPr>
      </w:pPr>
      <w:r>
        <w:rPr>
          <w:rFonts w:ascii="Times New Roman" w:cs="Times New Roman" w:eastAsia="Times New Roman" w:hAnsi="Times New Roman"/>
          <w:sz w:val="14"/>
          <w:szCs w:val="14"/>
          <w:b w:val="1"/>
          <w:bCs w:val="1"/>
          <w:color w:val="080808"/>
        </w:rPr>
        <w:t xml:space="preserve">NOTICES. </w:t>
      </w:r>
      <w:r>
        <w:rPr>
          <w:rFonts w:ascii="Times New Roman" w:cs="Times New Roman" w:eastAsia="Times New Roman" w:hAnsi="Times New Roman"/>
          <w:sz w:val="14"/>
          <w:szCs w:val="14"/>
          <w:color w:val="080808"/>
        </w:rPr>
        <w:t>Any notices required or permitted hereunder shall be given to the appropriate party at the address specified below or at such other address as the party shall specify in writing. Such notice</w:t>
      </w:r>
      <w:r>
        <w:rPr>
          <w:rFonts w:ascii="Times New Roman" w:cs="Times New Roman" w:eastAsia="Times New Roman" w:hAnsi="Times New Roman"/>
          <w:sz w:val="14"/>
          <w:szCs w:val="14"/>
          <w:b w:val="1"/>
          <w:bCs w:val="1"/>
          <w:color w:val="080808"/>
        </w:rPr>
        <w:t xml:space="preserve"> </w:t>
      </w:r>
      <w:r>
        <w:rPr>
          <w:rFonts w:ascii="Times New Roman" w:cs="Times New Roman" w:eastAsia="Times New Roman" w:hAnsi="Times New Roman"/>
          <w:sz w:val="14"/>
          <w:szCs w:val="14"/>
          <w:color w:val="080808"/>
        </w:rPr>
        <w:t>shall be deemed given upon personal delivery to the appropriate address or if sent by certified or registered mail, three (3) days after the date of mailing</w:t>
      </w:r>
      <w:r>
        <w:rPr>
          <w:rFonts w:ascii="Times New Roman" w:cs="Times New Roman" w:eastAsia="Times New Roman" w:hAnsi="Times New Roman"/>
          <w:sz w:val="14"/>
          <w:szCs w:val="14"/>
          <w:color w:val="363636"/>
        </w:rPr>
        <w:t>.</w:t>
      </w:r>
    </w:p>
    <w:p>
      <w:pPr>
        <w:spacing w:after="0" w:line="79" w:lineRule="exact"/>
        <w:rPr>
          <w:rFonts w:ascii="Times New Roman" w:cs="Times New Roman" w:eastAsia="Times New Roman" w:hAnsi="Times New Roman"/>
          <w:sz w:val="14"/>
          <w:szCs w:val="14"/>
          <w:b w:val="1"/>
          <w:bCs w:val="1"/>
          <w:color w:val="080808"/>
        </w:rPr>
      </w:pPr>
    </w:p>
    <w:p>
      <w:pPr>
        <w:ind w:left="20" w:hanging="6"/>
        <w:spacing w:after="0" w:line="285" w:lineRule="auto"/>
        <w:tabs>
          <w:tab w:leader="none" w:pos="160" w:val="left"/>
        </w:tabs>
        <w:numPr>
          <w:ilvl w:val="0"/>
          <w:numId w:val="55"/>
        </w:numPr>
        <w:rPr>
          <w:rFonts w:ascii="Times New Roman" w:cs="Times New Roman" w:eastAsia="Times New Roman" w:hAnsi="Times New Roman"/>
          <w:sz w:val="14"/>
          <w:szCs w:val="14"/>
          <w:b w:val="1"/>
          <w:bCs w:val="1"/>
          <w:color w:val="080808"/>
        </w:rPr>
      </w:pPr>
      <w:r>
        <w:rPr>
          <w:rFonts w:ascii="Times New Roman" w:cs="Times New Roman" w:eastAsia="Times New Roman" w:hAnsi="Times New Roman"/>
          <w:sz w:val="14"/>
          <w:szCs w:val="14"/>
          <w:b w:val="1"/>
          <w:bCs w:val="1"/>
          <w:color w:val="080808"/>
        </w:rPr>
        <w:t>EMPLOYMENT</w:t>
      </w:r>
      <w:r>
        <w:rPr>
          <w:rFonts w:ascii="Times New Roman" w:cs="Times New Roman" w:eastAsia="Times New Roman" w:hAnsi="Times New Roman"/>
          <w:sz w:val="14"/>
          <w:szCs w:val="14"/>
          <w:b w:val="1"/>
          <w:bCs w:val="1"/>
          <w:color w:val="1D1D1D"/>
        </w:rPr>
        <w:t>.</w:t>
      </w:r>
      <w:r>
        <w:rPr>
          <w:rFonts w:ascii="Times New Roman" w:cs="Times New Roman" w:eastAsia="Times New Roman" w:hAnsi="Times New Roman"/>
          <w:sz w:val="14"/>
          <w:szCs w:val="14"/>
          <w:b w:val="1"/>
          <w:bCs w:val="1"/>
          <w:color w:val="080808"/>
        </w:rPr>
        <w:t xml:space="preserve"> </w:t>
      </w:r>
      <w:r>
        <w:rPr>
          <w:rFonts w:ascii="Times New Roman" w:cs="Times New Roman" w:eastAsia="Times New Roman" w:hAnsi="Times New Roman"/>
          <w:sz w:val="14"/>
          <w:szCs w:val="14"/>
          <w:color w:val="080808"/>
        </w:rPr>
        <w:t>I agree and understand that nothing in this Agreement shall confer any right with respect to continuation of employment by the Company, nor shall it interfere in any way with my</w:t>
      </w:r>
      <w:r>
        <w:rPr>
          <w:rFonts w:ascii="Times New Roman" w:cs="Times New Roman" w:eastAsia="Times New Roman" w:hAnsi="Times New Roman"/>
          <w:sz w:val="14"/>
          <w:szCs w:val="14"/>
          <w:b w:val="1"/>
          <w:bCs w:val="1"/>
          <w:color w:val="080808"/>
        </w:rPr>
        <w:t xml:space="preserve"> </w:t>
      </w:r>
      <w:r>
        <w:rPr>
          <w:rFonts w:ascii="Times New Roman" w:cs="Times New Roman" w:eastAsia="Times New Roman" w:hAnsi="Times New Roman"/>
          <w:sz w:val="14"/>
          <w:szCs w:val="14"/>
          <w:color w:val="080808"/>
        </w:rPr>
        <w:t>right or the Company's right to terminate my employment at any time, with or without cause.</w:t>
      </w:r>
    </w:p>
    <w:p>
      <w:pPr>
        <w:spacing w:after="0" w:line="89" w:lineRule="exact"/>
        <w:rPr>
          <w:rFonts w:ascii="Times New Roman" w:cs="Times New Roman" w:eastAsia="Times New Roman" w:hAnsi="Times New Roman"/>
          <w:sz w:val="14"/>
          <w:szCs w:val="14"/>
          <w:b w:val="1"/>
          <w:bCs w:val="1"/>
          <w:color w:val="080808"/>
        </w:rPr>
      </w:pPr>
    </w:p>
    <w:p>
      <w:pPr>
        <w:jc w:val="both"/>
        <w:ind w:firstLine="14"/>
        <w:spacing w:after="0" w:line="277" w:lineRule="auto"/>
        <w:tabs>
          <w:tab w:leader="none" w:pos="161" w:val="left"/>
        </w:tabs>
        <w:numPr>
          <w:ilvl w:val="0"/>
          <w:numId w:val="55"/>
        </w:numPr>
        <w:rPr>
          <w:rFonts w:ascii="Times New Roman" w:cs="Times New Roman" w:eastAsia="Times New Roman" w:hAnsi="Times New Roman"/>
          <w:sz w:val="13"/>
          <w:szCs w:val="13"/>
          <w:b w:val="1"/>
          <w:bCs w:val="1"/>
          <w:color w:val="080808"/>
        </w:rPr>
      </w:pPr>
      <w:r>
        <w:rPr>
          <w:rFonts w:ascii="Times New Roman" w:cs="Times New Roman" w:eastAsia="Times New Roman" w:hAnsi="Times New Roman"/>
          <w:sz w:val="13"/>
          <w:szCs w:val="13"/>
          <w:b w:val="1"/>
          <w:bCs w:val="1"/>
          <w:color w:val="080808"/>
        </w:rPr>
        <w:t xml:space="preserve">PROTECTED ACTIVITY NOT PROHIBITED. </w:t>
      </w:r>
      <w:r>
        <w:rPr>
          <w:rFonts w:ascii="Times New Roman" w:cs="Times New Roman" w:eastAsia="Times New Roman" w:hAnsi="Times New Roman"/>
          <w:sz w:val="13"/>
          <w:szCs w:val="13"/>
          <w:color w:val="080808"/>
        </w:rPr>
        <w:t>I understand that nothing in this Agreement shall in any way limit or prohibit me from engaging in any Protected Activity</w:t>
      </w:r>
      <w:r>
        <w:rPr>
          <w:rFonts w:ascii="Times New Roman" w:cs="Times New Roman" w:eastAsia="Times New Roman" w:hAnsi="Times New Roman"/>
          <w:sz w:val="13"/>
          <w:szCs w:val="13"/>
          <w:color w:val="1D1D1D"/>
        </w:rPr>
        <w:t>.</w:t>
      </w:r>
      <w:r>
        <w:rPr>
          <w:rFonts w:ascii="Times New Roman" w:cs="Times New Roman" w:eastAsia="Times New Roman" w:hAnsi="Times New Roman"/>
          <w:sz w:val="13"/>
          <w:szCs w:val="13"/>
          <w:b w:val="1"/>
          <w:bCs w:val="1"/>
          <w:color w:val="080808"/>
        </w:rPr>
        <w:t xml:space="preserve"> </w:t>
      </w:r>
      <w:r>
        <w:rPr>
          <w:rFonts w:ascii="Times New Roman" w:cs="Times New Roman" w:eastAsia="Times New Roman" w:hAnsi="Times New Roman"/>
          <w:sz w:val="13"/>
          <w:szCs w:val="13"/>
          <w:color w:val="080808"/>
        </w:rPr>
        <w:t>Fo</w:t>
      </w:r>
      <w:r>
        <w:rPr>
          <w:rFonts w:ascii="Times New Roman" w:cs="Times New Roman" w:eastAsia="Times New Roman" w:hAnsi="Times New Roman"/>
          <w:sz w:val="13"/>
          <w:szCs w:val="13"/>
          <w:color w:val="1D1D1D"/>
        </w:rPr>
        <w:t>r</w:t>
      </w:r>
      <w:r>
        <w:rPr>
          <w:rFonts w:ascii="Times New Roman" w:cs="Times New Roman" w:eastAsia="Times New Roman" w:hAnsi="Times New Roman"/>
          <w:sz w:val="13"/>
          <w:szCs w:val="13"/>
          <w:b w:val="1"/>
          <w:bCs w:val="1"/>
          <w:color w:val="080808"/>
        </w:rPr>
        <w:t xml:space="preserve"> </w:t>
      </w:r>
      <w:r>
        <w:rPr>
          <w:rFonts w:ascii="Times New Roman" w:cs="Times New Roman" w:eastAsia="Times New Roman" w:hAnsi="Times New Roman"/>
          <w:sz w:val="13"/>
          <w:szCs w:val="13"/>
          <w:color w:val="080808"/>
        </w:rPr>
        <w:t>purposes of this</w:t>
      </w:r>
      <w:r>
        <w:rPr>
          <w:rFonts w:ascii="Times New Roman" w:cs="Times New Roman" w:eastAsia="Times New Roman" w:hAnsi="Times New Roman"/>
          <w:sz w:val="13"/>
          <w:szCs w:val="13"/>
          <w:b w:val="1"/>
          <w:bCs w:val="1"/>
          <w:color w:val="080808"/>
        </w:rPr>
        <w:t xml:space="preserve"> </w:t>
      </w:r>
      <w:r>
        <w:rPr>
          <w:rFonts w:ascii="Times New Roman" w:cs="Times New Roman" w:eastAsia="Times New Roman" w:hAnsi="Times New Roman"/>
          <w:sz w:val="13"/>
          <w:szCs w:val="13"/>
          <w:color w:val="080808"/>
        </w:rPr>
        <w:t>Agreement, "</w:t>
      </w:r>
      <w:r>
        <w:rPr>
          <w:rFonts w:ascii="Times New Roman" w:cs="Times New Roman" w:eastAsia="Times New Roman" w:hAnsi="Times New Roman"/>
          <w:sz w:val="13"/>
          <w:szCs w:val="13"/>
          <w:b w:val="1"/>
          <w:bCs w:val="1"/>
          <w:color w:val="080808"/>
        </w:rPr>
        <w:t>Protected Activity</w:t>
      </w:r>
      <w:r>
        <w:rPr>
          <w:rFonts w:ascii="Times New Roman" w:cs="Times New Roman" w:eastAsia="Times New Roman" w:hAnsi="Times New Roman"/>
          <w:sz w:val="13"/>
          <w:szCs w:val="13"/>
          <w:color w:val="080808"/>
        </w:rPr>
        <w:t>" means filing a charge or complaint with, or otherwise communicating or cooperating with or part</w:t>
      </w:r>
      <w:r>
        <w:rPr>
          <w:rFonts w:ascii="Times New Roman" w:cs="Times New Roman" w:eastAsia="Times New Roman" w:hAnsi="Times New Roman"/>
          <w:sz w:val="13"/>
          <w:szCs w:val="13"/>
          <w:color w:val="1D1D1D"/>
        </w:rPr>
        <w:t>i</w:t>
      </w:r>
      <w:r>
        <w:rPr>
          <w:rFonts w:ascii="Times New Roman" w:cs="Times New Roman" w:eastAsia="Times New Roman" w:hAnsi="Times New Roman"/>
          <w:sz w:val="13"/>
          <w:szCs w:val="13"/>
          <w:color w:val="080808"/>
        </w:rPr>
        <w:t>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cs="Times New Roman" w:eastAsia="Times New Roman" w:hAnsi="Times New Roman"/>
          <w:sz w:val="13"/>
          <w:szCs w:val="13"/>
          <w:b w:val="1"/>
          <w:bCs w:val="1"/>
          <w:color w:val="080808"/>
        </w:rPr>
        <w:t>Government Agencies</w:t>
      </w:r>
      <w:r>
        <w:rPr>
          <w:rFonts w:ascii="Times New Roman" w:cs="Times New Roman" w:eastAsia="Times New Roman" w:hAnsi="Times New Roman"/>
          <w:sz w:val="13"/>
          <w:szCs w:val="13"/>
          <w:color w:val="080808"/>
        </w:rPr>
        <w:t>"). I understand that in connection with such Protected Activity, I am permitted to disclose documents or othe</w:t>
      </w:r>
      <w:r>
        <w:rPr>
          <w:rFonts w:ascii="Times New Roman" w:cs="Times New Roman" w:eastAsia="Times New Roman" w:hAnsi="Times New Roman"/>
          <w:sz w:val="13"/>
          <w:szCs w:val="13"/>
          <w:color w:val="1D1D1D"/>
        </w:rPr>
        <w:t>r</w:t>
      </w:r>
      <w:r>
        <w:rPr>
          <w:rFonts w:ascii="Times New Roman" w:cs="Times New Roman" w:eastAsia="Times New Roman" w:hAnsi="Times New Roman"/>
          <w:sz w:val="13"/>
          <w:szCs w:val="13"/>
          <w:color w:val="080808"/>
        </w:rPr>
        <w:t xml:space="preserve"> information as permitted by law</w:t>
      </w:r>
      <w:r>
        <w:rPr>
          <w:rFonts w:ascii="Times New Roman" w:cs="Times New Roman" w:eastAsia="Times New Roman" w:hAnsi="Times New Roman"/>
          <w:sz w:val="13"/>
          <w:szCs w:val="13"/>
          <w:color w:val="1D1D1D"/>
        </w:rPr>
        <w:t>,</w:t>
      </w:r>
      <w:r>
        <w:rPr>
          <w:rFonts w:ascii="Times New Roman" w:cs="Times New Roman" w:eastAsia="Times New Roman" w:hAnsi="Times New Roman"/>
          <w:sz w:val="13"/>
          <w:szCs w:val="13"/>
          <w:color w:val="080808"/>
        </w:rPr>
        <w:t xml:space="preserve"> and without giving notice to, or receiving authorization from, the Company. Notwithstanding, in mak</w:t>
      </w:r>
      <w:r>
        <w:rPr>
          <w:rFonts w:ascii="Times New Roman" w:cs="Times New Roman" w:eastAsia="Times New Roman" w:hAnsi="Times New Roman"/>
          <w:sz w:val="13"/>
          <w:szCs w:val="13"/>
          <w:color w:val="1D1D1D"/>
        </w:rPr>
        <w:t>i</w:t>
      </w:r>
      <w:r>
        <w:rPr>
          <w:rFonts w:ascii="Times New Roman" w:cs="Times New Roman" w:eastAsia="Times New Roman" w:hAnsi="Times New Roman"/>
          <w:sz w:val="13"/>
          <w:szCs w:val="13"/>
          <w:color w:val="080808"/>
        </w:rPr>
        <w:t>ng any such disclosures or communicat</w:t>
      </w:r>
      <w:r>
        <w:rPr>
          <w:rFonts w:ascii="Times New Roman" w:cs="Times New Roman" w:eastAsia="Times New Roman" w:hAnsi="Times New Roman"/>
          <w:sz w:val="13"/>
          <w:szCs w:val="13"/>
          <w:color w:val="1D1D1D"/>
        </w:rPr>
        <w:t>i</w:t>
      </w:r>
      <w:r>
        <w:rPr>
          <w:rFonts w:ascii="Times New Roman" w:cs="Times New Roman" w:eastAsia="Times New Roman" w:hAnsi="Times New Roman"/>
          <w:sz w:val="13"/>
          <w:szCs w:val="13"/>
          <w:color w:val="080808"/>
        </w:rPr>
        <w:t>ons</w:t>
      </w:r>
      <w:r>
        <w:rPr>
          <w:rFonts w:ascii="Times New Roman" w:cs="Times New Roman" w:eastAsia="Times New Roman" w:hAnsi="Times New Roman"/>
          <w:sz w:val="13"/>
          <w:szCs w:val="13"/>
          <w:color w:val="1D1D1D"/>
        </w:rPr>
        <w:t>,</w:t>
      </w:r>
      <w:r>
        <w:rPr>
          <w:rFonts w:ascii="Times New Roman" w:cs="Times New Roman" w:eastAsia="Times New Roman" w:hAnsi="Times New Roman"/>
          <w:sz w:val="13"/>
          <w:szCs w:val="13"/>
          <w:color w:val="080808"/>
        </w:rPr>
        <w:t xml:space="preserve"> I agree to take all reasonable precautions to prevent any unauthorized use or disclosure of any information that may constitute Company Confidential Information to any part</w:t>
      </w:r>
      <w:r>
        <w:rPr>
          <w:rFonts w:ascii="Times New Roman" w:cs="Times New Roman" w:eastAsia="Times New Roman" w:hAnsi="Times New Roman"/>
          <w:sz w:val="13"/>
          <w:szCs w:val="13"/>
          <w:color w:val="1D1D1D"/>
        </w:rPr>
        <w:t>i</w:t>
      </w:r>
      <w:r>
        <w:rPr>
          <w:rFonts w:ascii="Times New Roman" w:cs="Times New Roman" w:eastAsia="Times New Roman" w:hAnsi="Times New Roman"/>
          <w:sz w:val="13"/>
          <w:szCs w:val="13"/>
          <w:color w:val="080808"/>
        </w:rPr>
        <w:t>es other than the Government Agencies. I further understand that "</w:t>
      </w:r>
      <w:r>
        <w:rPr>
          <w:rFonts w:ascii="Times New Roman" w:cs="Times New Roman" w:eastAsia="Times New Roman" w:hAnsi="Times New Roman"/>
          <w:sz w:val="13"/>
          <w:szCs w:val="13"/>
          <w:b w:val="1"/>
          <w:bCs w:val="1"/>
          <w:color w:val="080808"/>
        </w:rPr>
        <w:t>Protected Activity</w:t>
      </w:r>
      <w:r>
        <w:rPr>
          <w:rFonts w:ascii="Times New Roman" w:cs="Times New Roman" w:eastAsia="Times New Roman" w:hAnsi="Times New Roman"/>
          <w:sz w:val="13"/>
          <w:szCs w:val="13"/>
          <w:color w:val="080808"/>
        </w:rPr>
        <w:t xml:space="preserve">" does </w:t>
      </w:r>
      <w:r>
        <w:rPr>
          <w:rFonts w:ascii="Times New Roman" w:cs="Times New Roman" w:eastAsia="Times New Roman" w:hAnsi="Times New Roman"/>
          <w:sz w:val="13"/>
          <w:szCs w:val="13"/>
          <w:color w:val="363636"/>
        </w:rPr>
        <w:t>.</w:t>
      </w:r>
      <w:r>
        <w:rPr>
          <w:rFonts w:ascii="Times New Roman" w:cs="Times New Roman" w:eastAsia="Times New Roman" w:hAnsi="Times New Roman"/>
          <w:sz w:val="13"/>
          <w:szCs w:val="13"/>
          <w:color w:val="080808"/>
        </w:rPr>
        <w:t xml:space="preserve"> not include the disclosure of any Company attorney• client privileged communicat</w:t>
      </w:r>
      <w:r>
        <w:rPr>
          <w:rFonts w:ascii="Times New Roman" w:cs="Times New Roman" w:eastAsia="Times New Roman" w:hAnsi="Times New Roman"/>
          <w:sz w:val="13"/>
          <w:szCs w:val="13"/>
          <w:color w:val="1D1D1D"/>
        </w:rPr>
        <w:t>i</w:t>
      </w:r>
      <w:r>
        <w:rPr>
          <w:rFonts w:ascii="Times New Roman" w:cs="Times New Roman" w:eastAsia="Times New Roman" w:hAnsi="Times New Roman"/>
          <w:sz w:val="13"/>
          <w:szCs w:val="13"/>
          <w:color w:val="080808"/>
        </w:rPr>
        <w:t>ons. In addition, I hereby acknowledge that the Company has provided me with not</w:t>
      </w:r>
      <w:r>
        <w:rPr>
          <w:rFonts w:ascii="Times New Roman" w:cs="Times New Roman" w:eastAsia="Times New Roman" w:hAnsi="Times New Roman"/>
          <w:sz w:val="13"/>
          <w:szCs w:val="13"/>
          <w:color w:val="1D1D1D"/>
        </w:rPr>
        <w:t>i</w:t>
      </w:r>
      <w:r>
        <w:rPr>
          <w:rFonts w:ascii="Times New Roman" w:cs="Times New Roman" w:eastAsia="Times New Roman" w:hAnsi="Times New Roman"/>
          <w:sz w:val="13"/>
          <w:szCs w:val="13"/>
          <w:color w:val="080808"/>
        </w:rPr>
        <w:t>ce in compliance with the Defend Trade Secrets Act of 2016 regarding immunity from liabi</w:t>
      </w:r>
      <w:r>
        <w:rPr>
          <w:rFonts w:ascii="Times New Roman" w:cs="Times New Roman" w:eastAsia="Times New Roman" w:hAnsi="Times New Roman"/>
          <w:sz w:val="13"/>
          <w:szCs w:val="13"/>
          <w:color w:val="1D1D1D"/>
        </w:rPr>
        <w:t>li</w:t>
      </w:r>
      <w:r>
        <w:rPr>
          <w:rFonts w:ascii="Times New Roman" w:cs="Times New Roman" w:eastAsia="Times New Roman" w:hAnsi="Times New Roman"/>
          <w:sz w:val="13"/>
          <w:szCs w:val="13"/>
          <w:color w:val="080808"/>
        </w:rPr>
        <w:t>ty for limited disclosures of trade secrets</w:t>
      </w:r>
      <w:r>
        <w:rPr>
          <w:rFonts w:ascii="Times New Roman" w:cs="Times New Roman" w:eastAsia="Times New Roman" w:hAnsi="Times New Roman"/>
          <w:sz w:val="13"/>
          <w:szCs w:val="13"/>
          <w:color w:val="1D1D1D"/>
        </w:rPr>
        <w:t>.</w:t>
      </w:r>
      <w:r>
        <w:rPr>
          <w:rFonts w:ascii="Times New Roman" w:cs="Times New Roman" w:eastAsia="Times New Roman" w:hAnsi="Times New Roman"/>
          <w:sz w:val="13"/>
          <w:szCs w:val="13"/>
          <w:color w:val="080808"/>
        </w:rPr>
        <w:t xml:space="preserve"> The full text of the notice is attached in Exhibit C.</w:t>
      </w:r>
    </w:p>
    <w:p>
      <w:pPr>
        <w:spacing w:after="0" w:line="1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b w:val="1"/>
          <w:bCs w:val="1"/>
          <w:color w:val="080808"/>
        </w:rPr>
        <w:t xml:space="preserve">GENERAL PROVISIONS. </w:t>
      </w:r>
      <w:r>
        <w:rPr>
          <w:rFonts w:ascii="Times New Roman" w:cs="Times New Roman" w:eastAsia="Times New Roman" w:hAnsi="Times New Roman"/>
          <w:sz w:val="14"/>
          <w:szCs w:val="14"/>
          <w:color w:val="080808"/>
        </w:rPr>
        <w:t>This Agreement will be governed by and construed according to the laws of the State of California, as such laws are applied to agreements entered into and to be performed</w:t>
      </w:r>
      <w:r>
        <w:rPr>
          <w:rFonts w:ascii="Times New Roman" w:cs="Times New Roman" w:eastAsia="Times New Roman" w:hAnsi="Times New Roman"/>
          <w:sz w:val="14"/>
          <w:szCs w:val="14"/>
          <w:b w:val="1"/>
          <w:bCs w:val="1"/>
          <w:color w:val="080808"/>
        </w:rPr>
        <w:t xml:space="preserve"> </w:t>
      </w:r>
      <w:r>
        <w:rPr>
          <w:rFonts w:ascii="Times New Roman" w:cs="Times New Roman" w:eastAsia="Times New Roman" w:hAnsi="Times New Roman"/>
          <w:sz w:val="14"/>
          <w:szCs w:val="14"/>
          <w:color w:val="080808"/>
        </w:rPr>
        <w:t>entirely within California between California residents</w:t>
      </w:r>
      <w:r>
        <w:rPr>
          <w:rFonts w:ascii="Times New Roman" w:cs="Times New Roman" w:eastAsia="Times New Roman" w:hAnsi="Times New Roman"/>
          <w:sz w:val="14"/>
          <w:szCs w:val="14"/>
          <w:color w:val="1D1D1D"/>
        </w:rPr>
        <w:t>.</w:t>
      </w:r>
      <w:r>
        <w:rPr>
          <w:rFonts w:ascii="Times New Roman" w:cs="Times New Roman" w:eastAsia="Times New Roman" w:hAnsi="Times New Roman"/>
          <w:sz w:val="14"/>
          <w:szCs w:val="14"/>
          <w:color w:val="080808"/>
        </w:rPr>
        <w:t xml:space="preserve"> In </w:t>
      </w:r>
      <w:r>
        <w:rPr>
          <w:rFonts w:ascii="Times New Roman" w:cs="Times New Roman" w:eastAsia="Times New Roman" w:hAnsi="Times New Roman"/>
          <w:sz w:val="14"/>
          <w:szCs w:val="14"/>
          <w:color w:val="000000"/>
        </w:rPr>
        <w:t>case any one or more of the provisions contained in this Agreement shall</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80808"/>
        </w:rPr>
        <w:t xml:space="preserve"> </w:t>
      </w:r>
      <w:r>
        <w:rPr>
          <w:rFonts w:ascii="Times New Roman" w:cs="Times New Roman" w:eastAsia="Times New Roman" w:hAnsi="Times New Roman"/>
          <w:sz w:val="14"/>
          <w:szCs w:val="14"/>
          <w:color w:val="070707"/>
        </w:rPr>
        <w:t>for any reason, be held to be invalid, illegal or unenforceab</w:t>
      </w:r>
      <w:r>
        <w:rPr>
          <w:rFonts w:ascii="Times New Roman" w:cs="Times New Roman" w:eastAsia="Times New Roman" w:hAnsi="Times New Roman"/>
          <w:sz w:val="14"/>
          <w:szCs w:val="14"/>
          <w:color w:val="1C1C1C"/>
        </w:rPr>
        <w:t>l</w:t>
      </w:r>
      <w:r>
        <w:rPr>
          <w:rFonts w:ascii="Times New Roman" w:cs="Times New Roman" w:eastAsia="Times New Roman" w:hAnsi="Times New Roman"/>
          <w:sz w:val="14"/>
          <w:szCs w:val="14"/>
          <w:color w:val="070707"/>
        </w:rPr>
        <w:t>e in any</w:t>
      </w:r>
      <w:r>
        <w:rPr>
          <w:rFonts w:ascii="Times New Roman" w:cs="Times New Roman" w:eastAsia="Times New Roman" w:hAnsi="Times New Roman"/>
          <w:sz w:val="14"/>
          <w:szCs w:val="14"/>
          <w:color w:val="080808"/>
        </w:rPr>
        <w:t xml:space="preserve"> </w:t>
      </w:r>
      <w:r>
        <w:rPr>
          <w:rFonts w:ascii="Times New Roman" w:cs="Times New Roman" w:eastAsia="Times New Roman" w:hAnsi="Times New Roman"/>
          <w:sz w:val="14"/>
          <w:szCs w:val="14"/>
          <w:color w:val="070707"/>
        </w:rPr>
        <w:t>respect, such invalidity, illegality or unenforceability shall not affect the other provis</w:t>
      </w:r>
      <w:r>
        <w:rPr>
          <w:rFonts w:ascii="Times New Roman" w:cs="Times New Roman" w:eastAsia="Times New Roman" w:hAnsi="Times New Roman"/>
          <w:sz w:val="14"/>
          <w:szCs w:val="14"/>
          <w:color w:val="1C1C1C"/>
        </w:rPr>
        <w:t>i</w:t>
      </w:r>
      <w:r>
        <w:rPr>
          <w:rFonts w:ascii="Times New Roman" w:cs="Times New Roman" w:eastAsia="Times New Roman" w:hAnsi="Times New Roman"/>
          <w:sz w:val="14"/>
          <w:szCs w:val="14"/>
          <w:color w:val="070707"/>
        </w:rPr>
        <w:t>ons of this Agreement, and this Agreement shall be construed as if such invalid, illegal or unenforceable provision had never been contained herein</w:t>
      </w:r>
      <w:r>
        <w:rPr>
          <w:rFonts w:ascii="Times New Roman" w:cs="Times New Roman" w:eastAsia="Times New Roman" w:hAnsi="Times New Roman"/>
          <w:sz w:val="14"/>
          <w:szCs w:val="14"/>
          <w:color w:val="4D4D4D"/>
        </w:rPr>
        <w:t>.</w:t>
      </w:r>
      <w:r>
        <w:rPr>
          <w:rFonts w:ascii="Times New Roman" w:cs="Times New Roman" w:eastAsia="Times New Roman" w:hAnsi="Times New Roman"/>
          <w:sz w:val="14"/>
          <w:szCs w:val="14"/>
          <w:color w:val="070707"/>
        </w:rPr>
        <w:t xml:space="preserve"> This Agreement will be binding upon my heirs, executors, administrators and other legal representat</w:t>
      </w:r>
      <w:r>
        <w:rPr>
          <w:rFonts w:ascii="Times New Roman" w:cs="Times New Roman" w:eastAsia="Times New Roman" w:hAnsi="Times New Roman"/>
          <w:sz w:val="14"/>
          <w:szCs w:val="14"/>
          <w:color w:val="1C1C1C"/>
        </w:rPr>
        <w:t>i</w:t>
      </w:r>
      <w:r>
        <w:rPr>
          <w:rFonts w:ascii="Times New Roman" w:cs="Times New Roman" w:eastAsia="Times New Roman" w:hAnsi="Times New Roman"/>
          <w:sz w:val="14"/>
          <w:szCs w:val="14"/>
          <w:color w:val="070707"/>
        </w:rPr>
        <w:t>ves and will be for the benefit of the Company, its successors, and its assigns. The provisions of this Agreement shall survive the termination of my employment and the assignment of this Agreement by the Company to any successor in interest or other assignee</w:t>
      </w:r>
      <w:r>
        <w:rPr>
          <w:rFonts w:ascii="Times New Roman" w:cs="Times New Roman" w:eastAsia="Times New Roman" w:hAnsi="Times New Roman"/>
          <w:sz w:val="14"/>
          <w:szCs w:val="14"/>
          <w:color w:val="2D2D2D"/>
        </w:rPr>
        <w:t>.</w:t>
      </w:r>
      <w:r>
        <w:rPr>
          <w:rFonts w:ascii="Times New Roman" w:cs="Times New Roman" w:eastAsia="Times New Roman" w:hAnsi="Times New Roman"/>
          <w:sz w:val="14"/>
          <w:szCs w:val="14"/>
          <w:color w:val="070707"/>
        </w:rPr>
        <w:t xml:space="preserve"> No waiver by the Company of any breach of this Agreement shall be a waiver of any preceding or succeeding breach</w:t>
      </w:r>
      <w:r>
        <w:rPr>
          <w:rFonts w:ascii="Times New Roman" w:cs="Times New Roman" w:eastAsia="Times New Roman" w:hAnsi="Times New Roman"/>
          <w:sz w:val="14"/>
          <w:szCs w:val="14"/>
          <w:color w:val="2D2D2D"/>
        </w:rPr>
        <w:t>.</w:t>
      </w:r>
      <w:r>
        <w:rPr>
          <w:rFonts w:ascii="Times New Roman" w:cs="Times New Roman" w:eastAsia="Times New Roman" w:hAnsi="Times New Roman"/>
          <w:sz w:val="14"/>
          <w:szCs w:val="14"/>
          <w:color w:val="070707"/>
        </w:rPr>
        <w:t xml:space="preserve"> No waiver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460"/>
          </w:cols>
          <w:pgMar w:left="220" w:top="312" w:right="219" w:bottom="1440" w:gutter="0" w:footer="0" w:header="0"/>
        </w:sectPr>
      </w:pPr>
    </w:p>
    <w:bookmarkStart w:id="67" w:name="page68"/>
    <w:bookmarkEnd w:id="67"/>
    <w:p>
      <w:pPr>
        <w:jc w:val="both"/>
        <w:spacing w:after="0" w:line="273" w:lineRule="auto"/>
        <w:rPr>
          <w:sz w:val="20"/>
          <w:szCs w:val="20"/>
          <w:color w:val="auto"/>
        </w:rPr>
      </w:pPr>
      <w:r>
        <w:rPr>
          <w:rFonts w:ascii="Times New Roman" w:cs="Times New Roman" w:eastAsia="Times New Roman" w:hAnsi="Times New Roman"/>
          <w:sz w:val="14"/>
          <w:szCs w:val="14"/>
          <w:color w:val="070707"/>
        </w:rPr>
        <w:t>by the Company of any right under this Agreement shall be construed as a waiver of any other right. The obl</w:t>
      </w:r>
      <w:r>
        <w:rPr>
          <w:rFonts w:ascii="Times New Roman" w:cs="Times New Roman" w:eastAsia="Times New Roman" w:hAnsi="Times New Roman"/>
          <w:sz w:val="14"/>
          <w:szCs w:val="14"/>
          <w:color w:val="1C1C1C"/>
        </w:rPr>
        <w:t>i</w:t>
      </w:r>
      <w:r>
        <w:rPr>
          <w:rFonts w:ascii="Times New Roman" w:cs="Times New Roman" w:eastAsia="Times New Roman" w:hAnsi="Times New Roman"/>
          <w:sz w:val="14"/>
          <w:szCs w:val="14"/>
          <w:color w:val="070707"/>
        </w:rPr>
        <w:t>gations pursuant to Sections 1 and 2 of this Agreement shall apply to any time during which I was previously employed, or am in the future employed, by the Company as a consultant if no other agreement governs nondisclosure and assignment of inventions during such period. This Agreement is the final, complete and exclusive agreement of the parties with respect to the subject matter hereof and supersedes and merges all prior discussions between us</w:t>
      </w:r>
      <w:r>
        <w:rPr>
          <w:rFonts w:ascii="Times New Roman" w:cs="Times New Roman" w:eastAsia="Times New Roman" w:hAnsi="Times New Roman"/>
          <w:sz w:val="14"/>
          <w:szCs w:val="14"/>
          <w:color w:val="2D2D2D"/>
        </w:rPr>
        <w:t>.</w:t>
      </w:r>
      <w:r>
        <w:rPr>
          <w:rFonts w:ascii="Times New Roman" w:cs="Times New Roman" w:eastAsia="Times New Roman" w:hAnsi="Times New Roman"/>
          <w:sz w:val="14"/>
          <w:szCs w:val="14"/>
          <w:color w:val="070707"/>
        </w:rPr>
        <w:t xml:space="preserve"> No modification of or amendment to this Agreement, nor any waiver of any r</w:t>
      </w:r>
      <w:r>
        <w:rPr>
          <w:rFonts w:ascii="Times New Roman" w:cs="Times New Roman" w:eastAsia="Times New Roman" w:hAnsi="Times New Roman"/>
          <w:sz w:val="14"/>
          <w:szCs w:val="14"/>
          <w:color w:val="1C1C1C"/>
        </w:rPr>
        <w:t>i</w:t>
      </w:r>
      <w:r>
        <w:rPr>
          <w:rFonts w:ascii="Times New Roman" w:cs="Times New Roman" w:eastAsia="Times New Roman" w:hAnsi="Times New Roman"/>
          <w:sz w:val="14"/>
          <w:szCs w:val="14"/>
          <w:color w:val="070707"/>
        </w:rPr>
        <w:t>ghts under this Agreement</w:t>
      </w:r>
      <w:r>
        <w:rPr>
          <w:rFonts w:ascii="Times New Roman" w:cs="Times New Roman" w:eastAsia="Times New Roman" w:hAnsi="Times New Roman"/>
          <w:sz w:val="14"/>
          <w:szCs w:val="14"/>
          <w:color w:val="1C1C1C"/>
        </w:rPr>
        <w:t>,</w:t>
      </w:r>
      <w:r>
        <w:rPr>
          <w:rFonts w:ascii="Times New Roman" w:cs="Times New Roman" w:eastAsia="Times New Roman" w:hAnsi="Times New Roman"/>
          <w:sz w:val="14"/>
          <w:szCs w:val="14"/>
          <w:color w:val="070707"/>
        </w:rPr>
        <w:t xml:space="preserve"> will be effective unless in writing and signed by the party to be charged</w:t>
      </w:r>
      <w:r>
        <w:rPr>
          <w:rFonts w:ascii="Times New Roman" w:cs="Times New Roman" w:eastAsia="Times New Roman" w:hAnsi="Times New Roman"/>
          <w:sz w:val="14"/>
          <w:szCs w:val="14"/>
          <w:color w:val="2D2D2D"/>
        </w:rPr>
        <w:t>.</w:t>
      </w:r>
      <w:r>
        <w:rPr>
          <w:rFonts w:ascii="Times New Roman" w:cs="Times New Roman" w:eastAsia="Times New Roman" w:hAnsi="Times New Roman"/>
          <w:sz w:val="14"/>
          <w:szCs w:val="14"/>
          <w:color w:val="070707"/>
        </w:rPr>
        <w:t xml:space="preserve"> Any subsequent change or changes in my duties, salary or compensation will not affect the validity or scope of this Agreement.</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This Agreement shall be effective as of the first day of my employment with the Company.</w:t>
      </w:r>
    </w:p>
    <w:p>
      <w:pPr>
        <w:spacing w:after="0" w:line="200" w:lineRule="exact"/>
        <w:rPr>
          <w:sz w:val="20"/>
          <w:szCs w:val="20"/>
          <w:color w:val="auto"/>
        </w:rPr>
      </w:pPr>
    </w:p>
    <w:p>
      <w:pPr>
        <w:spacing w:after="0" w:line="34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5"/>
          <w:szCs w:val="15"/>
          <w:color w:val="auto"/>
        </w:rPr>
        <w:t>Dated:</w:t>
      </w:r>
    </w:p>
    <w:p>
      <w:pPr>
        <w:spacing w:after="0" w:line="134" w:lineRule="exact"/>
        <w:rPr>
          <w:sz w:val="20"/>
          <w:szCs w:val="20"/>
          <w:color w:val="auto"/>
        </w:rPr>
      </w:pPr>
    </w:p>
    <w:tbl>
      <w:tblPr>
        <w:tblLayout w:type="fixed"/>
        <w:tblInd w:w="2060" w:type="dxa"/>
        <w:tblCellMar>
          <w:top w:w="0" w:type="dxa"/>
          <w:left w:w="0" w:type="dxa"/>
          <w:bottom w:w="0" w:type="dxa"/>
          <w:right w:w="0" w:type="dxa"/>
        </w:tblCellMar>
      </w:tblPr>
      <w:tr>
        <w:trPr>
          <w:trHeight w:val="183"/>
        </w:trPr>
        <w:tc>
          <w:tcPr>
            <w:tcW w:w="1180" w:type="dxa"/>
            <w:vAlign w:val="bottom"/>
          </w:tcPr>
          <w:p>
            <w:pPr>
              <w:spacing w:after="0"/>
              <w:rPr>
                <w:sz w:val="15"/>
                <w:szCs w:val="15"/>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/S/  JOHN MORICI</w:t>
            </w:r>
          </w:p>
        </w:tc>
      </w:tr>
      <w:tr>
        <w:trPr>
          <w:trHeight w:val="21"/>
        </w:trPr>
        <w:tc>
          <w:tcPr>
            <w:tcW w:w="1180" w:type="dxa"/>
            <w:vAlign w:val="bottom"/>
          </w:tcPr>
          <w:p>
            <w:pPr>
              <w:spacing w:after="0" w:line="20" w:lineRule="exact"/>
              <w:rPr>
                <w:sz w:val="1"/>
                <w:szCs w:val="1"/>
                <w:color w:val="auto"/>
              </w:rPr>
            </w:pPr>
          </w:p>
        </w:tc>
        <w:tc>
          <w:tcPr>
            <w:tcW w:w="6200" w:type="dxa"/>
            <w:vAlign w:val="bottom"/>
            <w:tcBorders>
              <w:bottom w:val="single" w:sz="8" w:color="auto"/>
            </w:tcBorders>
          </w:tcPr>
          <w:p>
            <w:pPr>
              <w:spacing w:after="0" w:line="20" w:lineRule="exact"/>
              <w:rPr>
                <w:sz w:val="1"/>
                <w:szCs w:val="1"/>
                <w:color w:val="auto"/>
              </w:rPr>
            </w:pPr>
          </w:p>
        </w:tc>
      </w:tr>
      <w:tr>
        <w:trPr>
          <w:trHeight w:val="194"/>
        </w:trPr>
        <w:tc>
          <w:tcPr>
            <w:tcW w:w="118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(Signature)</w:t>
            </w:r>
          </w:p>
        </w:tc>
      </w:tr>
      <w:tr>
        <w:trPr>
          <w:trHeight w:val="625"/>
        </w:trPr>
        <w:tc>
          <w:tcPr>
            <w:tcW w:w="118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JOHN MORICI</w:t>
            </w:r>
          </w:p>
        </w:tc>
      </w:tr>
      <w:tr>
        <w:trPr>
          <w:trHeight w:val="21"/>
        </w:trPr>
        <w:tc>
          <w:tcPr>
            <w:tcW w:w="1180" w:type="dxa"/>
            <w:vAlign w:val="bottom"/>
          </w:tcPr>
          <w:p>
            <w:pPr>
              <w:spacing w:after="0" w:line="20" w:lineRule="exact"/>
              <w:rPr>
                <w:sz w:val="1"/>
                <w:szCs w:val="1"/>
                <w:color w:val="auto"/>
              </w:rPr>
            </w:pPr>
          </w:p>
        </w:tc>
        <w:tc>
          <w:tcPr>
            <w:tcW w:w="6200" w:type="dxa"/>
            <w:vAlign w:val="bottom"/>
            <w:tcBorders>
              <w:bottom w:val="single" w:sz="8" w:color="auto"/>
            </w:tcBorders>
          </w:tcPr>
          <w:p>
            <w:pPr>
              <w:spacing w:after="0" w:line="20" w:lineRule="exact"/>
              <w:rPr>
                <w:sz w:val="1"/>
                <w:szCs w:val="1"/>
                <w:color w:val="auto"/>
              </w:rPr>
            </w:pPr>
          </w:p>
        </w:tc>
      </w:tr>
      <w:tr>
        <w:trPr>
          <w:trHeight w:val="194"/>
        </w:trPr>
        <w:tc>
          <w:tcPr>
            <w:tcW w:w="118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(Printed Name)</w:t>
            </w:r>
          </w:p>
        </w:tc>
      </w:tr>
      <w:tr>
        <w:trPr>
          <w:trHeight w:val="541"/>
        </w:trPr>
        <w:tc>
          <w:tcPr>
            <w:tcW w:w="118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ACCEPTED AND AGREED TO:</w:t>
            </w:r>
          </w:p>
        </w:tc>
      </w:tr>
      <w:tr>
        <w:trPr>
          <w:trHeight w:val="210"/>
        </w:trPr>
        <w:tc>
          <w:tcPr>
            <w:tcW w:w="11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ALIGN TECHNOLOGY, INC.</w:t>
            </w:r>
          </w:p>
        </w:tc>
      </w:tr>
      <w:tr>
        <w:trPr>
          <w:trHeight w:val="461"/>
        </w:trPr>
        <w:tc>
          <w:tcPr>
            <w:tcW w:w="118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/S/  JOSEPH M. HOGAN</w:t>
            </w:r>
          </w:p>
        </w:tc>
      </w:tr>
      <w:tr>
        <w:trPr>
          <w:trHeight w:val="21"/>
        </w:trPr>
        <w:tc>
          <w:tcPr>
            <w:tcW w:w="1180" w:type="dxa"/>
            <w:vAlign w:val="bottom"/>
          </w:tcPr>
          <w:p>
            <w:pPr>
              <w:spacing w:after="0" w:line="20" w:lineRule="exact"/>
              <w:rPr>
                <w:sz w:val="1"/>
                <w:szCs w:val="1"/>
                <w:color w:val="auto"/>
              </w:rPr>
            </w:pPr>
          </w:p>
        </w:tc>
        <w:tc>
          <w:tcPr>
            <w:tcW w:w="6200" w:type="dxa"/>
            <w:vAlign w:val="bottom"/>
            <w:tcBorders>
              <w:bottom w:val="single" w:sz="8" w:color="auto"/>
            </w:tcBorders>
          </w:tcPr>
          <w:p>
            <w:pPr>
              <w:spacing w:after="0" w:line="20" w:lineRule="exact"/>
              <w:rPr>
                <w:sz w:val="1"/>
                <w:szCs w:val="1"/>
                <w:color w:val="auto"/>
              </w:rPr>
            </w:pPr>
          </w:p>
        </w:tc>
      </w:tr>
      <w:tr>
        <w:trPr>
          <w:trHeight w:val="194"/>
        </w:trPr>
        <w:tc>
          <w:tcPr>
            <w:tcW w:w="118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(Signature)</w:t>
            </w:r>
          </w:p>
        </w:tc>
      </w:tr>
      <w:tr>
        <w:trPr>
          <w:trHeight w:val="640"/>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6200" w:type="dxa"/>
            <w:vAlign w:val="bottom"/>
          </w:tcPr>
          <w:p>
            <w:pPr>
              <w:spacing w:after="0"/>
              <w:rPr>
                <w:sz w:val="20"/>
                <w:szCs w:val="20"/>
                <w:color w:val="auto"/>
              </w:rPr>
            </w:pPr>
            <w:r>
              <w:rPr>
                <w:rFonts w:ascii="Times New Roman" w:cs="Times New Roman" w:eastAsia="Times New Roman" w:hAnsi="Times New Roman"/>
                <w:sz w:val="15"/>
                <w:szCs w:val="15"/>
                <w:color w:val="auto"/>
              </w:rPr>
              <w:t>Joseph M. Hogan</w:t>
            </w:r>
          </w:p>
        </w:tc>
      </w:tr>
      <w:tr>
        <w:trPr>
          <w:trHeight w:val="220"/>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6200" w:type="dxa"/>
            <w:vAlign w:val="bottom"/>
          </w:tcPr>
          <w:p>
            <w:pPr>
              <w:spacing w:after="0"/>
              <w:rPr>
                <w:sz w:val="20"/>
                <w:szCs w:val="20"/>
                <w:color w:val="auto"/>
              </w:rPr>
            </w:pPr>
            <w:r>
              <w:rPr>
                <w:rFonts w:ascii="Times New Roman" w:cs="Times New Roman" w:eastAsia="Times New Roman" w:hAnsi="Times New Roman"/>
                <w:sz w:val="15"/>
                <w:szCs w:val="15"/>
                <w:color w:val="auto"/>
              </w:rPr>
              <w:t>President and Chief the Executive Officer</w:t>
            </w:r>
          </w:p>
        </w:tc>
      </w:tr>
      <w:tr>
        <w:trPr>
          <w:trHeight w:val="402"/>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11/3/2016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460"/>
          </w:cols>
          <w:pgMar w:left="220" w:top="324" w:right="219" w:bottom="1440" w:gutter="0" w:footer="0" w:header="0"/>
        </w:sectPr>
      </w:pPr>
    </w:p>
    <w:bookmarkStart w:id="68" w:name="page69"/>
    <w:bookmarkEnd w:id="68"/>
    <w:p>
      <w:pPr>
        <w:ind w:left="6760"/>
        <w:spacing w:after="0"/>
        <w:rPr>
          <w:sz w:val="20"/>
          <w:szCs w:val="20"/>
          <w:color w:val="auto"/>
        </w:rPr>
      </w:pPr>
      <w:r>
        <w:rPr>
          <w:rFonts w:ascii="Times New Roman" w:cs="Times New Roman" w:eastAsia="Times New Roman" w:hAnsi="Times New Roman"/>
          <w:sz w:val="14"/>
          <w:szCs w:val="14"/>
          <w:color w:val="auto"/>
        </w:rPr>
        <w:t>EXHIBIT A</w:t>
      </w:r>
    </w:p>
    <w:p>
      <w:pPr>
        <w:spacing w:after="0" w:line="14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LIMITED EXCLUSION NOTIFICATION</w:t>
      </w:r>
    </w:p>
    <w:p>
      <w:pPr>
        <w:spacing w:after="0" w:line="290" w:lineRule="exact"/>
        <w:rPr>
          <w:sz w:val="20"/>
          <w:szCs w:val="20"/>
          <w:color w:val="auto"/>
        </w:rPr>
      </w:pPr>
    </w:p>
    <w:p>
      <w:pPr>
        <w:jc w:val="both"/>
        <w:ind w:left="20" w:firstLine="346"/>
        <w:spacing w:after="0" w:line="266" w:lineRule="auto"/>
        <w:rPr>
          <w:sz w:val="20"/>
          <w:szCs w:val="20"/>
          <w:color w:val="auto"/>
        </w:rPr>
      </w:pPr>
      <w:r>
        <w:rPr>
          <w:rFonts w:ascii="Times New Roman" w:cs="Times New Roman" w:eastAsia="Times New Roman" w:hAnsi="Times New Roman"/>
          <w:sz w:val="14"/>
          <w:szCs w:val="14"/>
          <w:color w:val="auto"/>
        </w:rPr>
        <w:t>THIS IS TO NOTIFY you in accordance with Section 2872 of the California Labor Code that the foregoing Agreement between you and the Company does not require you to assign or offer to assign to the Company any invention that you developed entirely on your own time without using the Company's equipment, supplies, facilities or trade secret information except for those inventions that either:</w:t>
      </w:r>
    </w:p>
    <w:p>
      <w:pPr>
        <w:spacing w:after="0" w:line="115" w:lineRule="exact"/>
        <w:rPr>
          <w:sz w:val="20"/>
          <w:szCs w:val="20"/>
          <w:color w:val="auto"/>
        </w:rPr>
      </w:pPr>
    </w:p>
    <w:p>
      <w:pPr>
        <w:ind w:left="160" w:hanging="131"/>
        <w:spacing w:after="0"/>
        <w:tabs>
          <w:tab w:leader="none" w:pos="16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 at the time of conception or reduction to practice of the invention to the Company's business, or actual or demonstrably anticipated research or development of the Company;</w:t>
      </w:r>
    </w:p>
    <w:p>
      <w:pPr>
        <w:spacing w:after="0" w:line="143" w:lineRule="exact"/>
        <w:rPr>
          <w:rFonts w:ascii="Times New Roman" w:cs="Times New Roman" w:eastAsia="Times New Roman" w:hAnsi="Times New Roman"/>
          <w:sz w:val="14"/>
          <w:szCs w:val="14"/>
          <w:color w:val="auto"/>
        </w:rPr>
      </w:pPr>
    </w:p>
    <w:p>
      <w:pPr>
        <w:ind w:left="160" w:hanging="142"/>
        <w:spacing w:after="0"/>
        <w:tabs>
          <w:tab w:leader="none" w:pos="1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from any work performed by you for the Company.</w:t>
      </w:r>
    </w:p>
    <w:p>
      <w:pPr>
        <w:spacing w:after="0" w:line="154"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4"/>
          <w:szCs w:val="14"/>
          <w:color w:val="auto"/>
        </w:rPr>
        <w:t>To the extent a provision in the foregoing Agreement purports to require you to assign an invention otherwise excluded from the preceding paragraph, the provision is against the public policy of this state and is unenforceable.</w:t>
      </w:r>
    </w:p>
    <w:p>
      <w:pPr>
        <w:spacing w:after="0" w:line="94"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4"/>
          <w:szCs w:val="14"/>
          <w:color w:val="auto"/>
        </w:rPr>
        <w:t>This limited exclusion does not apply to any patent or invention covered by a contract between the Company and the United States or any of its agencies requiring full title to such patent or invention to be in the United States.</w:t>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 ACKNOWLEDGE RECEIPT of a copy of this notification.</w:t>
      </w:r>
    </w:p>
    <w:p>
      <w:pPr>
        <w:spacing w:after="0" w:line="321" w:lineRule="exact"/>
        <w:rPr>
          <w:sz w:val="20"/>
          <w:szCs w:val="20"/>
          <w:color w:val="auto"/>
        </w:rPr>
      </w:pPr>
    </w:p>
    <w:tbl>
      <w:tblPr>
        <w:tblLayout w:type="fixed"/>
        <w:tblInd w:w="7080" w:type="dxa"/>
        <w:tblCellMar>
          <w:top w:w="0" w:type="dxa"/>
          <w:left w:w="0" w:type="dxa"/>
          <w:bottom w:w="0" w:type="dxa"/>
          <w:right w:w="0" w:type="dxa"/>
        </w:tblCellMar>
      </w:tblP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JOHN MORICI</w:t>
            </w:r>
          </w:p>
        </w:tc>
      </w:tr>
      <w:tr>
        <w:trPr>
          <w:trHeight w:val="21"/>
        </w:trPr>
        <w:tc>
          <w:tcPr>
            <w:tcW w:w="560" w:type="dxa"/>
            <w:vAlign w:val="bottom"/>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r>
      <w:tr>
        <w:trPr>
          <w:trHeight w:val="179"/>
        </w:trPr>
        <w:tc>
          <w:tcPr>
            <w:tcW w:w="560" w:type="dxa"/>
            <w:vAlign w:val="bottom"/>
          </w:tcPr>
          <w:p>
            <w:pPr>
              <w:spacing w:after="0"/>
              <w:rPr>
                <w:sz w:val="15"/>
                <w:szCs w:val="15"/>
                <w:color w:val="auto"/>
              </w:rPr>
            </w:pPr>
          </w:p>
        </w:tc>
        <w:tc>
          <w:tcPr>
            <w:tcW w:w="3740" w:type="dxa"/>
            <w:vAlign w:val="bottom"/>
          </w:tcPr>
          <w:p>
            <w:pPr>
              <w:ind w:left="1600"/>
              <w:spacing w:after="0"/>
              <w:rPr>
                <w:sz w:val="20"/>
                <w:szCs w:val="20"/>
                <w:color w:val="auto"/>
              </w:rPr>
            </w:pPr>
            <w:r>
              <w:rPr>
                <w:rFonts w:ascii="Times New Roman" w:cs="Times New Roman" w:eastAsia="Times New Roman" w:hAnsi="Times New Roman"/>
                <w:sz w:val="14"/>
                <w:szCs w:val="14"/>
                <w:color w:val="auto"/>
                <w:w w:val="99"/>
              </w:rPr>
              <w:t>(PRINTED NAME OF EMPLOYEE)</w:t>
            </w:r>
          </w:p>
        </w:tc>
      </w:tr>
      <w:tr>
        <w:trPr>
          <w:trHeight w:val="46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3, 2016</w:t>
            </w:r>
          </w:p>
        </w:tc>
      </w:tr>
    </w:tbl>
    <w:p>
      <w:pPr>
        <w:spacing w:after="0" w:line="13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b w:val="1"/>
          <w:bCs w:val="1"/>
          <w:color w:val="auto"/>
        </w:rPr>
        <w:t>WITNESSED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1742440</wp:posOffset>
            </wp:positionH>
            <wp:positionV relativeFrom="paragraph">
              <wp:posOffset>347980</wp:posOffset>
            </wp:positionV>
            <wp:extent cx="239712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97125" cy="635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b w:val="1"/>
          <w:bCs w:val="1"/>
          <w:color w:val="auto"/>
        </w:rPr>
        <w:t>(PRINTED NAME OF REPRESENTATIVE)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A-19</w:t>
      </w:r>
    </w:p>
    <w:p>
      <w:pPr>
        <w:sectPr>
          <w:pgSz w:w="11900" w:h="16838" w:orient="portrait"/>
          <w:cols w:equalWidth="0" w:num="1">
            <w:col w:w="11380"/>
          </w:cols>
          <w:pgMar w:left="300" w:top="607" w:right="219" w:bottom="1440" w:gutter="0" w:footer="0" w:header="0"/>
        </w:sectPr>
      </w:pPr>
    </w:p>
    <w:bookmarkStart w:id="69" w:name="page70"/>
    <w:bookmarkEnd w:id="69"/>
    <w:p>
      <w:pPr>
        <w:jc w:val="right"/>
        <w:ind w:right="4179"/>
        <w:spacing w:after="0"/>
        <w:rPr>
          <w:sz w:val="20"/>
          <w:szCs w:val="20"/>
          <w:color w:val="auto"/>
        </w:rPr>
      </w:pPr>
      <w:r>
        <w:rPr>
          <w:rFonts w:ascii="Times New Roman" w:cs="Times New Roman" w:eastAsia="Times New Roman" w:hAnsi="Times New Roman"/>
          <w:sz w:val="11"/>
          <w:szCs w:val="11"/>
          <w:b w:val="1"/>
          <w:bCs w:val="1"/>
          <w:color w:val="auto"/>
        </w:rPr>
        <w:t>EXHIBIT B</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w:t>
            </w:r>
          </w:p>
        </w:tc>
        <w:tc>
          <w:tcPr>
            <w:tcW w:w="262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w w:val="97"/>
              </w:rPr>
              <w:t>ALIGN TECHNOLOGY, INC.</w:t>
            </w:r>
          </w:p>
        </w:tc>
        <w:tc>
          <w:tcPr>
            <w:tcW w:w="0" w:type="dxa"/>
            <w:vAlign w:val="bottom"/>
          </w:tcPr>
          <w:p>
            <w:pPr>
              <w:spacing w:after="0"/>
              <w:rPr>
                <w:sz w:val="1"/>
                <w:szCs w:val="1"/>
                <w:color w:val="auto"/>
              </w:rPr>
            </w:pPr>
          </w:p>
        </w:tc>
      </w:tr>
      <w:tr>
        <w:trPr>
          <w:trHeight w:val="160"/>
        </w:trPr>
        <w:tc>
          <w:tcPr>
            <w:tcW w:w="1020" w:type="dxa"/>
            <w:vAlign w:val="bottom"/>
            <w:vMerge w:val="continue"/>
          </w:tcPr>
          <w:p>
            <w:pPr>
              <w:spacing w:after="0"/>
              <w:rPr>
                <w:sz w:val="13"/>
                <w:szCs w:val="13"/>
                <w:color w:val="auto"/>
              </w:rPr>
            </w:pPr>
          </w:p>
        </w:tc>
        <w:tc>
          <w:tcPr>
            <w:tcW w:w="2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FROM:</w:t>
            </w:r>
          </w:p>
        </w:tc>
        <w:tc>
          <w:tcPr>
            <w:tcW w:w="26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JOHN MORICI</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2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November 3, 2016</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SUBJECT</w:t>
            </w:r>
          </w:p>
        </w:tc>
        <w:tc>
          <w:tcPr>
            <w:tcW w:w="26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Previous Inventions</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219"/>
          </w:cols>
          <w:pgMar w:left="240" w:top="592" w:right="1440" w:bottom="1440" w:gutter="0" w:footer="0" w:header="0"/>
        </w:sectPr>
      </w:pPr>
    </w:p>
    <w:bookmarkStart w:id="70" w:name="page71"/>
    <w:bookmarkEnd w:id="70"/>
    <w:p>
      <w:pPr>
        <w:ind w:left="100" w:firstLine="19"/>
        <w:spacing w:after="0" w:line="297" w:lineRule="auto"/>
        <w:tabs>
          <w:tab w:leader="none" w:pos="261"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listed in Section 2 below, the following is a complete list of all inventions or improvements relevant to the subject matter of my employment by ALIGN TECHNOLOGY, INC.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that have been made or conceived or first reduced to practice by me alone or jointly w</w:t>
      </w:r>
      <w:r>
        <w:rPr>
          <w:rFonts w:ascii="Times New Roman" w:cs="Times New Roman" w:eastAsia="Times New Roman" w:hAnsi="Times New Roman"/>
          <w:sz w:val="14"/>
          <w:szCs w:val="14"/>
          <w:color w:val="1D1D1D"/>
        </w:rPr>
        <w:t>i</w:t>
      </w:r>
      <w:r>
        <w:rPr>
          <w:rFonts w:ascii="Times New Roman" w:cs="Times New Roman" w:eastAsia="Times New Roman" w:hAnsi="Times New Roman"/>
          <w:sz w:val="14"/>
          <w:szCs w:val="14"/>
          <w:color w:val="070707"/>
        </w:rPr>
        <w:t>th others prior to my engagement by the Company:</w:t>
      </w:r>
    </w:p>
    <w:p>
      <w:pPr>
        <w:spacing w:after="0" w:line="83" w:lineRule="exact"/>
        <w:rPr>
          <w:rFonts w:ascii="Times New Roman" w:cs="Times New Roman" w:eastAsia="Times New Roman" w:hAnsi="Times New Roman"/>
          <w:sz w:val="14"/>
          <w:szCs w:val="14"/>
          <w:color w:val="auto"/>
        </w:rPr>
      </w:pPr>
    </w:p>
    <w:p>
      <w:pPr>
        <w:ind w:left="1180" w:hanging="170"/>
        <w:spacing w:after="0"/>
        <w:tabs>
          <w:tab w:leader="none" w:pos="1180" w:val="left"/>
        </w:tabs>
        <w:numPr>
          <w:ilvl w:val="1"/>
          <w:numId w:val="5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inventions or improvements.</w:t>
      </w:r>
    </w:p>
    <w:p>
      <w:pPr>
        <w:spacing w:after="0" w:line="175" w:lineRule="exact"/>
        <w:rPr>
          <w:sz w:val="20"/>
          <w:szCs w:val="20"/>
          <w:color w:val="auto"/>
        </w:rPr>
      </w:pPr>
    </w:p>
    <w:p>
      <w:pPr>
        <w:ind w:left="1180" w:hanging="170"/>
        <w:spacing w:after="0"/>
        <w:tabs>
          <w:tab w:leader="none" w:pos="1180" w:val="left"/>
        </w:tabs>
        <w:numPr>
          <w:ilvl w:val="0"/>
          <w:numId w:val="5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4653915</wp:posOffset>
            </wp:positionH>
            <wp:positionV relativeFrom="paragraph">
              <wp:posOffset>419735</wp:posOffset>
            </wp:positionV>
            <wp:extent cx="889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0" cy="6350"/>
                    </a:xfrm>
                    <a:prstGeom prst="rect">
                      <a:avLst/>
                    </a:prstGeom>
                    <a:noFill/>
                  </pic:spPr>
                </pic:pic>
              </a:graphicData>
            </a:graphic>
          </wp:anchor>
        </w:drawing>
        <w:drawing>
          <wp:anchor simplePos="0" relativeHeight="251657728" behindDoc="1" locked="0" layoutInCell="0" allowOverlap="1">
            <wp:simplePos x="0" y="0"/>
            <wp:positionH relativeFrom="column">
              <wp:posOffset>4653915</wp:posOffset>
            </wp:positionH>
            <wp:positionV relativeFrom="paragraph">
              <wp:posOffset>633095</wp:posOffset>
            </wp:positionV>
            <wp:extent cx="889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0" cy="6350"/>
                    </a:xfrm>
                    <a:prstGeom prst="rect">
                      <a:avLst/>
                    </a:prstGeom>
                    <a:noFill/>
                  </pic:spPr>
                </pic:pic>
              </a:graphicData>
            </a:graphic>
          </wp:anchor>
        </w:drawing>
        <w:drawing>
          <wp:anchor simplePos="0" relativeHeight="251657728" behindDoc="1" locked="0" layoutInCell="0" allowOverlap="1">
            <wp:simplePos x="0" y="0"/>
            <wp:positionH relativeFrom="column">
              <wp:posOffset>4653915</wp:posOffset>
            </wp:positionH>
            <wp:positionV relativeFrom="paragraph">
              <wp:posOffset>845820</wp:posOffset>
            </wp:positionV>
            <wp:extent cx="889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hanging="162"/>
        <w:spacing w:after="0"/>
        <w:tabs>
          <w:tab w:leader="none" w:pos="260" w:val="left"/>
        </w:tabs>
        <w:numPr>
          <w:ilvl w:val="0"/>
          <w:numId w:val="60"/>
        </w:numPr>
        <w:rPr>
          <w:rFonts w:ascii="MS PGothic" w:cs="MS PGothic" w:eastAsia="MS PGothic" w:hAnsi="MS PGothic"/>
          <w:sz w:val="14"/>
          <w:szCs w:val="14"/>
          <w:color w:val="auto"/>
        </w:rPr>
      </w:pPr>
      <w:r>
        <w:rPr>
          <w:rFonts w:ascii="Times New Roman" w:cs="Times New Roman" w:eastAsia="Times New Roman" w:hAnsi="Times New Roman"/>
          <w:sz w:val="14"/>
          <w:szCs w:val="14"/>
          <w:color w:val="070707"/>
        </w:rPr>
        <w:t>Additional sheets attached.</w:t>
      </w:r>
    </w:p>
    <w:p>
      <w:pPr>
        <w:spacing w:after="0" w:line="185" w:lineRule="exact"/>
        <w:rPr>
          <w:sz w:val="20"/>
          <w:szCs w:val="20"/>
          <w:color w:val="auto"/>
        </w:rPr>
      </w:pPr>
    </w:p>
    <w:p>
      <w:pPr>
        <w:ind w:left="100" w:hanging="2"/>
        <w:spacing w:after="0" w:line="282" w:lineRule="auto"/>
        <w:tabs>
          <w:tab w:leader="none" w:pos="240" w:val="left"/>
        </w:tabs>
        <w:numPr>
          <w:ilvl w:val="0"/>
          <w:numId w:val="61"/>
        </w:numPr>
        <w:rPr>
          <w:rFonts w:ascii="Times New Roman" w:cs="Times New Roman" w:eastAsia="Times New Roman" w:hAnsi="Times New Roman"/>
          <w:sz w:val="14"/>
          <w:szCs w:val="14"/>
          <w:color w:val="070707"/>
        </w:rPr>
      </w:pPr>
      <w:r>
        <w:rPr>
          <w:rFonts w:ascii="Times New Roman" w:cs="Times New Roman" w:eastAsia="Times New Roman" w:hAnsi="Times New Roman"/>
          <w:sz w:val="14"/>
          <w:szCs w:val="14"/>
          <w:color w:val="070707"/>
        </w:rPr>
        <w:t>Due to a prior confidentiality agreement</w:t>
      </w:r>
      <w:r>
        <w:rPr>
          <w:rFonts w:ascii="Times New Roman" w:cs="Times New Roman" w:eastAsia="Times New Roman" w:hAnsi="Times New Roman"/>
          <w:sz w:val="14"/>
          <w:szCs w:val="14"/>
          <w:color w:val="1D1D1D"/>
        </w:rPr>
        <w:t>,</w:t>
      </w:r>
      <w:r>
        <w:rPr>
          <w:rFonts w:ascii="Times New Roman" w:cs="Times New Roman" w:eastAsia="Times New Roman" w:hAnsi="Times New Roman"/>
          <w:sz w:val="14"/>
          <w:szCs w:val="14"/>
          <w:color w:val="070707"/>
        </w:rPr>
        <w:t xml:space="preserve"> I cannot complete the disclosure under Section 1 above with respect to inventions or improvements generally listed below, the proprietary rights and duty of confidentiality with respect to which I owe to the following party(ies):</w:t>
      </w:r>
    </w:p>
    <w:p>
      <w:pPr>
        <w:spacing w:after="0" w:line="92" w:lineRule="exact"/>
        <w:rPr>
          <w:sz w:val="20"/>
          <w:szCs w:val="20"/>
          <w:color w:val="auto"/>
        </w:rPr>
      </w:pPr>
    </w:p>
    <w:p>
      <w:pPr>
        <w:ind w:left="400"/>
        <w:spacing w:after="0"/>
        <w:tabs>
          <w:tab w:leader="none" w:pos="2240" w:val="left"/>
          <w:tab w:leader="none" w:pos="3380" w:val="left"/>
        </w:tabs>
        <w:rPr>
          <w:sz w:val="20"/>
          <w:szCs w:val="20"/>
          <w:color w:val="auto"/>
        </w:rPr>
      </w:pPr>
      <w:r>
        <w:rPr>
          <w:rFonts w:ascii="Times New Roman" w:cs="Times New Roman" w:eastAsia="Times New Roman" w:hAnsi="Times New Roman"/>
          <w:sz w:val="14"/>
          <w:szCs w:val="14"/>
          <w:b w:val="1"/>
          <w:bCs w:val="1"/>
          <w:color w:val="auto"/>
        </w:rPr>
        <w:t>Invention or Improvement</w:t>
      </w:r>
      <w:r>
        <w:rPr>
          <w:sz w:val="20"/>
          <w:szCs w:val="20"/>
          <w:color w:val="auto"/>
        </w:rPr>
        <w:tab/>
      </w:r>
      <w:r>
        <w:rPr>
          <w:rFonts w:ascii="Times New Roman" w:cs="Times New Roman" w:eastAsia="Times New Roman" w:hAnsi="Times New Roman"/>
          <w:sz w:val="14"/>
          <w:szCs w:val="14"/>
          <w:b w:val="1"/>
          <w:bCs w:val="1"/>
          <w:color w:val="auto"/>
        </w:rPr>
        <w:t>Party(ies)</w:t>
      </w:r>
      <w:r>
        <w:rPr>
          <w:sz w:val="20"/>
          <w:szCs w:val="20"/>
          <w:color w:val="auto"/>
        </w:rPr>
        <w:tab/>
      </w:r>
      <w:r>
        <w:rPr>
          <w:rFonts w:ascii="Times New Roman" w:cs="Times New Roman" w:eastAsia="Times New Roman" w:hAnsi="Times New Roman"/>
          <w:sz w:val="14"/>
          <w:szCs w:val="14"/>
          <w:b w:val="1"/>
          <w:bCs w:val="1"/>
          <w:color w:val="auto"/>
        </w:rPr>
        <w:t>Relationship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-4445</wp:posOffset>
            </wp:positionV>
            <wp:extent cx="88709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7095" cy="635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-4445</wp:posOffset>
            </wp:positionV>
            <wp:extent cx="88709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7095" cy="635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-4445</wp:posOffset>
            </wp:positionV>
            <wp:extent cx="88709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7095" cy="6350"/>
                    </a:xfrm>
                    <a:prstGeom prst="rect">
                      <a:avLst/>
                    </a:prstGeom>
                    <a:noFill/>
                  </pic:spPr>
                </pic:pic>
              </a:graphicData>
            </a:graphic>
          </wp:anchor>
        </w:drawing>
      </w:r>
    </w:p>
    <w:p>
      <w:pPr>
        <w:spacing w:after="0" w:line="157" w:lineRule="exact"/>
        <w:rPr>
          <w:sz w:val="20"/>
          <w:szCs w:val="20"/>
          <w:color w:val="auto"/>
        </w:rPr>
      </w:pPr>
    </w:p>
    <w:p>
      <w:pPr>
        <w:ind w:left="560" w:hanging="158"/>
        <w:spacing w:after="0"/>
        <w:tabs>
          <w:tab w:leader="none" w:pos="560" w:val="left"/>
        </w:tabs>
        <w:numPr>
          <w:ilvl w:val="0"/>
          <w:numId w:val="6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Additional sheets attached.</w:t>
      </w:r>
    </w:p>
    <w:p>
      <w:pPr>
        <w:spacing w:after="0" w:line="200" w:lineRule="exact"/>
        <w:rPr>
          <w:rFonts w:ascii="MS PGothic" w:cs="MS PGothic" w:eastAsia="MS PGothic" w:hAnsi="MS PGothic"/>
          <w:sz w:val="14"/>
          <w:szCs w:val="14"/>
          <w:color w:val="auto"/>
        </w:rPr>
      </w:pPr>
    </w:p>
    <w:p>
      <w:pPr>
        <w:spacing w:after="0" w:line="299" w:lineRule="exact"/>
        <w:rPr>
          <w:rFonts w:ascii="MS PGothic" w:cs="MS PGothic" w:eastAsia="MS PGothic" w:hAnsi="MS PGothic"/>
          <w:sz w:val="14"/>
          <w:szCs w:val="14"/>
          <w:color w:val="auto"/>
        </w:rPr>
      </w:pPr>
    </w:p>
    <w:p>
      <w:pPr>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Firmwide:99913069.1 999999.1384</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460"/>
          </w:cols>
          <w:pgMar w:left="220" w:top="1027" w:right="21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4"/>
          <w:szCs w:val="14"/>
          <w:color w:val="auto"/>
        </w:rPr>
        <w:t>EXHIBIT C</w:t>
      </w:r>
    </w:p>
    <w:p>
      <w:pPr>
        <w:spacing w:after="0" w:line="15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color w:val="auto"/>
        </w:rPr>
        <w:t>SECTION 7 OF THE DEFEND TRADE SECRETS ACT OF 2016</w:t>
      </w:r>
    </w:p>
    <w:p>
      <w:pPr>
        <w:spacing w:after="0" w:line="164" w:lineRule="exact"/>
        <w:rPr>
          <w:sz w:val="20"/>
          <w:szCs w:val="20"/>
          <w:color w:val="auto"/>
        </w:rPr>
      </w:pPr>
    </w:p>
    <w:p>
      <w:pPr>
        <w:jc w:val="both"/>
        <w:ind w:firstLine="9"/>
        <w:spacing w:after="0" w:line="255" w:lineRule="auto"/>
        <w:tabs>
          <w:tab w:leader="none" w:pos="10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D2D2D"/>
        </w:rPr>
        <w:t xml:space="preserve">... </w:t>
      </w:r>
      <w:r>
        <w:rPr>
          <w:rFonts w:ascii="Times New Roman" w:cs="Times New Roman" w:eastAsia="Times New Roman" w:hAnsi="Times New Roman"/>
          <w:sz w:val="14"/>
          <w:szCs w:val="14"/>
          <w:color w:val="070707"/>
        </w:rPr>
        <w:t>An individual shall not be held criminally or civilly liable under any Fede</w:t>
      </w:r>
      <w:r>
        <w:rPr>
          <w:rFonts w:ascii="Times New Roman" w:cs="Times New Roman" w:eastAsia="Times New Roman" w:hAnsi="Times New Roman"/>
          <w:sz w:val="14"/>
          <w:szCs w:val="14"/>
          <w:color w:val="181818"/>
        </w:rPr>
        <w:t>r</w:t>
      </w:r>
      <w:r>
        <w:rPr>
          <w:rFonts w:ascii="Times New Roman" w:cs="Times New Roman" w:eastAsia="Times New Roman" w:hAnsi="Times New Roman"/>
          <w:sz w:val="14"/>
          <w:szCs w:val="14"/>
          <w:color w:val="070707"/>
        </w:rPr>
        <w:t>al or State trade secret law for the disclosure of a trade secret that--{A) is made--{i) in confidence to a Federal</w:t>
      </w:r>
      <w:r>
        <w:rPr>
          <w:rFonts w:ascii="Times New Roman" w:cs="Times New Roman" w:eastAsia="Times New Roman" w:hAnsi="Times New Roman"/>
          <w:sz w:val="14"/>
          <w:szCs w:val="14"/>
          <w:color w:val="181818"/>
        </w:rPr>
        <w:t>,</w:t>
      </w:r>
      <w:r>
        <w:rPr>
          <w:rFonts w:ascii="Times New Roman" w:cs="Times New Roman" w:eastAsia="Times New Roman" w:hAnsi="Times New Roman"/>
          <w:sz w:val="14"/>
          <w:szCs w:val="14"/>
          <w:color w:val="2D2D2D"/>
        </w:rPr>
        <w:t xml:space="preserve"> </w:t>
      </w:r>
      <w:r>
        <w:rPr>
          <w:rFonts w:ascii="Times New Roman" w:cs="Times New Roman" w:eastAsia="Times New Roman" w:hAnsi="Times New Roman"/>
          <w:sz w:val="14"/>
          <w:szCs w:val="14"/>
          <w:color w:val="070707"/>
        </w:rPr>
        <w:t>State, or</w:t>
      </w:r>
      <w:r>
        <w:rPr>
          <w:rFonts w:ascii="Times New Roman" w:cs="Times New Roman" w:eastAsia="Times New Roman" w:hAnsi="Times New Roman"/>
          <w:sz w:val="14"/>
          <w:szCs w:val="14"/>
          <w:color w:val="2D2D2D"/>
        </w:rPr>
        <w:t xml:space="preserve"> </w:t>
      </w:r>
      <w:r>
        <w:rPr>
          <w:rFonts w:ascii="Times New Roman" w:cs="Times New Roman" w:eastAsia="Times New Roman" w:hAnsi="Times New Roman"/>
          <w:sz w:val="14"/>
          <w:szCs w:val="14"/>
          <w:color w:val="070707"/>
        </w:rPr>
        <w:t>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w:t>
      </w:r>
    </w:p>
    <w:p>
      <w:pPr>
        <w:spacing w:after="0" w:line="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70707"/>
        </w:rPr>
        <w:t>(B) does not disclose the trade secret, except pursuant to court order."</w:t>
      </w:r>
    </w:p>
    <w:p>
      <w:pPr>
        <w:spacing w:after="0" w:line="18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360"/>
          </w:cols>
          <w:pgMar w:left="320" w:top="985" w:right="21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Joseph M. Hogan, certify that:</w:t>
      </w:r>
    </w:p>
    <w:p>
      <w:pPr>
        <w:spacing w:after="0" w:line="300" w:lineRule="exact"/>
        <w:rPr>
          <w:sz w:val="20"/>
          <w:szCs w:val="20"/>
          <w:color w:val="auto"/>
        </w:rPr>
      </w:pPr>
    </w:p>
    <w:p>
      <w:pPr>
        <w:ind w:left="500" w:hanging="244"/>
        <w:spacing w:after="0"/>
        <w:tabs>
          <w:tab w:leader="none" w:pos="5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Align Technology, Inc.;</w:t>
      </w:r>
    </w:p>
    <w:p>
      <w:pPr>
        <w:spacing w:after="0" w:line="90" w:lineRule="exact"/>
        <w:rPr>
          <w:rFonts w:ascii="Times New Roman" w:cs="Times New Roman" w:eastAsia="Times New Roman" w:hAnsi="Times New Roman"/>
          <w:sz w:val="14"/>
          <w:szCs w:val="14"/>
          <w:color w:val="auto"/>
        </w:rPr>
      </w:pPr>
    </w:p>
    <w:p>
      <w:pPr>
        <w:ind w:left="500" w:hanging="244"/>
        <w:spacing w:after="0" w:line="282" w:lineRule="auto"/>
        <w:tabs>
          <w:tab w:leader="none" w:pos="5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4"/>
          <w:szCs w:val="14"/>
          <w:color w:val="auto"/>
        </w:rPr>
      </w:pPr>
    </w:p>
    <w:p>
      <w:pPr>
        <w:ind w:left="500" w:hanging="244"/>
        <w:spacing w:after="0" w:line="282" w:lineRule="auto"/>
        <w:tabs>
          <w:tab w:leader="none" w:pos="5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4"/>
          <w:szCs w:val="14"/>
          <w:color w:val="auto"/>
        </w:rPr>
      </w:pPr>
    </w:p>
    <w:p>
      <w:pPr>
        <w:ind w:left="500" w:hanging="244"/>
        <w:spacing w:after="0" w:line="282" w:lineRule="auto"/>
        <w:tabs>
          <w:tab w:leader="none" w:pos="5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4"/>
          <w:szCs w:val="14"/>
          <w:color w:val="auto"/>
        </w:rPr>
      </w:pPr>
    </w:p>
    <w:p>
      <w:pPr>
        <w:ind w:left="1020" w:hanging="261"/>
        <w:spacing w:after="0" w:line="282" w:lineRule="auto"/>
        <w:tabs>
          <w:tab w:leader="none" w:pos="1020"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4"/>
          <w:szCs w:val="14"/>
          <w:color w:val="auto"/>
        </w:rPr>
      </w:pPr>
    </w:p>
    <w:p>
      <w:pPr>
        <w:ind w:left="1020" w:hanging="261"/>
        <w:spacing w:after="0" w:line="282" w:lineRule="auto"/>
        <w:tabs>
          <w:tab w:leader="none" w:pos="1020"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4"/>
          <w:szCs w:val="14"/>
          <w:color w:val="auto"/>
        </w:rPr>
      </w:pPr>
    </w:p>
    <w:p>
      <w:pPr>
        <w:ind w:left="1020" w:hanging="261"/>
        <w:spacing w:after="0" w:line="282" w:lineRule="auto"/>
        <w:tabs>
          <w:tab w:leader="none" w:pos="1020"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4"/>
          <w:szCs w:val="14"/>
          <w:color w:val="auto"/>
        </w:rPr>
      </w:pPr>
    </w:p>
    <w:p>
      <w:pPr>
        <w:ind w:left="1020" w:hanging="261"/>
        <w:spacing w:after="0" w:line="282" w:lineRule="auto"/>
        <w:tabs>
          <w:tab w:leader="none" w:pos="1020"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4"/>
          <w:szCs w:val="14"/>
          <w:color w:val="auto"/>
        </w:rPr>
      </w:pPr>
    </w:p>
    <w:p>
      <w:pPr>
        <w:ind w:left="500" w:hanging="244"/>
        <w:spacing w:after="0" w:line="282" w:lineRule="auto"/>
        <w:tabs>
          <w:tab w:leader="none" w:pos="5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4"/>
          <w:szCs w:val="14"/>
          <w:color w:val="auto"/>
        </w:rPr>
      </w:pPr>
    </w:p>
    <w:p>
      <w:pPr>
        <w:ind w:left="1020" w:hanging="261"/>
        <w:spacing w:after="0" w:line="282" w:lineRule="auto"/>
        <w:tabs>
          <w:tab w:leader="none" w:pos="1020"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4"/>
          <w:szCs w:val="14"/>
          <w:color w:val="auto"/>
        </w:rPr>
      </w:pPr>
    </w:p>
    <w:p>
      <w:pPr>
        <w:ind w:left="1020" w:hanging="261"/>
        <w:spacing w:after="0"/>
        <w:tabs>
          <w:tab w:leader="none" w:pos="1020"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8, 2016</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/s/ 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26670</wp:posOffset>
            </wp:positionV>
            <wp:extent cx="403479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34790" cy="6350"/>
                    </a:xfrm>
                    <a:prstGeom prst="rect">
                      <a:avLst/>
                    </a:prstGeom>
                    <a:noFill/>
                  </pic:spPr>
                </pic:pic>
              </a:graphicData>
            </a:graphic>
          </wp:anchor>
        </w:drawing>
      </w:r>
    </w:p>
    <w:p>
      <w:pPr>
        <w:spacing w:after="0" w:line="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Joseph M. Hogan</w:t>
      </w:r>
    </w:p>
    <w:p>
      <w:pPr>
        <w:spacing w:after="0" w:line="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460"/>
          </w:cols>
          <w:pgMar w:left="220" w:top="312" w:right="21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David L. White, certify that:</w:t>
      </w:r>
    </w:p>
    <w:p>
      <w:pPr>
        <w:spacing w:after="0" w:line="300" w:lineRule="exact"/>
        <w:rPr>
          <w:sz w:val="20"/>
          <w:szCs w:val="20"/>
          <w:color w:val="auto"/>
        </w:rPr>
      </w:pPr>
    </w:p>
    <w:p>
      <w:pPr>
        <w:ind w:left="500" w:hanging="244"/>
        <w:spacing w:after="0"/>
        <w:tabs>
          <w:tab w:leader="none" w:pos="5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Align Technology, Inc.;</w:t>
      </w:r>
    </w:p>
    <w:p>
      <w:pPr>
        <w:spacing w:after="0" w:line="90" w:lineRule="exact"/>
        <w:rPr>
          <w:rFonts w:ascii="Times New Roman" w:cs="Times New Roman" w:eastAsia="Times New Roman" w:hAnsi="Times New Roman"/>
          <w:sz w:val="14"/>
          <w:szCs w:val="14"/>
          <w:color w:val="auto"/>
        </w:rPr>
      </w:pPr>
    </w:p>
    <w:p>
      <w:pPr>
        <w:ind w:left="500" w:hanging="244"/>
        <w:spacing w:after="0" w:line="282" w:lineRule="auto"/>
        <w:tabs>
          <w:tab w:leader="none" w:pos="5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4"/>
          <w:szCs w:val="14"/>
          <w:color w:val="auto"/>
        </w:rPr>
      </w:pPr>
    </w:p>
    <w:p>
      <w:pPr>
        <w:ind w:left="500" w:hanging="244"/>
        <w:spacing w:after="0" w:line="282" w:lineRule="auto"/>
        <w:tabs>
          <w:tab w:leader="none" w:pos="5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4"/>
          <w:szCs w:val="14"/>
          <w:color w:val="auto"/>
        </w:rPr>
      </w:pPr>
    </w:p>
    <w:p>
      <w:pPr>
        <w:ind w:left="500" w:hanging="244"/>
        <w:spacing w:after="0" w:line="282" w:lineRule="auto"/>
        <w:tabs>
          <w:tab w:leader="none" w:pos="5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4"/>
          <w:szCs w:val="14"/>
          <w:color w:val="auto"/>
        </w:rPr>
      </w:pPr>
    </w:p>
    <w:p>
      <w:pPr>
        <w:ind w:left="1020" w:hanging="261"/>
        <w:spacing w:after="0" w:line="282" w:lineRule="auto"/>
        <w:tabs>
          <w:tab w:leader="none" w:pos="102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4"/>
          <w:szCs w:val="14"/>
          <w:color w:val="auto"/>
        </w:rPr>
      </w:pPr>
    </w:p>
    <w:p>
      <w:pPr>
        <w:ind w:left="1020" w:hanging="261"/>
        <w:spacing w:after="0" w:line="282" w:lineRule="auto"/>
        <w:tabs>
          <w:tab w:leader="none" w:pos="102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4"/>
          <w:szCs w:val="14"/>
          <w:color w:val="auto"/>
        </w:rPr>
      </w:pPr>
    </w:p>
    <w:p>
      <w:pPr>
        <w:ind w:left="1020" w:hanging="261"/>
        <w:spacing w:after="0" w:line="282" w:lineRule="auto"/>
        <w:tabs>
          <w:tab w:leader="none" w:pos="102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4"/>
          <w:szCs w:val="14"/>
          <w:color w:val="auto"/>
        </w:rPr>
      </w:pPr>
    </w:p>
    <w:p>
      <w:pPr>
        <w:ind w:left="1020" w:hanging="261"/>
        <w:spacing w:after="0" w:line="282" w:lineRule="auto"/>
        <w:tabs>
          <w:tab w:leader="none" w:pos="102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4"/>
          <w:szCs w:val="14"/>
          <w:color w:val="auto"/>
        </w:rPr>
      </w:pPr>
    </w:p>
    <w:p>
      <w:pPr>
        <w:ind w:left="500" w:hanging="244"/>
        <w:spacing w:after="0" w:line="282" w:lineRule="auto"/>
        <w:tabs>
          <w:tab w:leader="none" w:pos="5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4"/>
          <w:szCs w:val="14"/>
          <w:color w:val="auto"/>
        </w:rPr>
      </w:pPr>
    </w:p>
    <w:p>
      <w:pPr>
        <w:ind w:left="1020" w:hanging="261"/>
        <w:spacing w:after="0" w:line="282" w:lineRule="auto"/>
        <w:tabs>
          <w:tab w:leader="none" w:pos="102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4"/>
          <w:szCs w:val="14"/>
          <w:color w:val="auto"/>
        </w:rPr>
      </w:pPr>
    </w:p>
    <w:p>
      <w:pPr>
        <w:ind w:left="1020" w:hanging="261"/>
        <w:spacing w:after="0"/>
        <w:tabs>
          <w:tab w:leader="none" w:pos="102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8, 2016</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/s/ DAVID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26670</wp:posOffset>
            </wp:positionV>
            <wp:extent cx="403479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34790" cy="6350"/>
                    </a:xfrm>
                    <a:prstGeom prst="rect">
                      <a:avLst/>
                    </a:prstGeom>
                    <a:noFill/>
                  </pic:spPr>
                </pic:pic>
              </a:graphicData>
            </a:graphic>
          </wp:anchor>
        </w:drawing>
      </w:r>
    </w:p>
    <w:p>
      <w:pPr>
        <w:spacing w:after="0" w:line="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David L. White</w:t>
      </w:r>
    </w:p>
    <w:p>
      <w:pPr>
        <w:spacing w:after="0" w:line="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1460"/>
          </w:cols>
          <w:pgMar w:left="220" w:top="479" w:right="21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AND CHIEF FINANCIAL OFFICER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6" w:lineRule="exact"/>
        <w:rPr>
          <w:sz w:val="20"/>
          <w:szCs w:val="20"/>
          <w:color w:val="auto"/>
        </w:rPr>
      </w:pPr>
    </w:p>
    <w:p>
      <w:pPr>
        <w:jc w:val="both"/>
        <w:ind w:firstLine="336"/>
        <w:spacing w:after="0" w:line="313" w:lineRule="auto"/>
        <w:rPr>
          <w:sz w:val="20"/>
          <w:szCs w:val="20"/>
          <w:color w:val="auto"/>
        </w:rPr>
      </w:pPr>
      <w:r>
        <w:rPr>
          <w:rFonts w:ascii="Times New Roman" w:cs="Times New Roman" w:eastAsia="Times New Roman" w:hAnsi="Times New Roman"/>
          <w:sz w:val="14"/>
          <w:szCs w:val="14"/>
          <w:color w:val="auto"/>
        </w:rPr>
        <w:t>I, Joseph M. Hogan, certify, pursuant to 18 U.S.C. Section 1350, as adopted pursuant to Section 906 of the Sarbanes-Oxley Act of 2002, that the Quarterly Report of Align Technology, Inc. on Form 10-Q for the quarter ended September 30, 2016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940" w:type="dxa"/>
        <w:tblCellMar>
          <w:top w:w="0" w:type="dxa"/>
          <w:left w:w="0" w:type="dxa"/>
          <w:bottom w:w="0" w:type="dxa"/>
          <w:right w:w="0" w:type="dxa"/>
        </w:tblCellMar>
      </w:tblPr>
      <w:tr>
        <w:trPr>
          <w:trHeight w:val="183"/>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JOSEPH M. HOGAN</w:t>
            </w: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5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860" w:type="dxa"/>
            <w:vAlign w:val="bottom"/>
            <w:vMerge w:val="continue"/>
          </w:tcPr>
          <w:p>
            <w:pPr>
              <w:spacing w:after="0"/>
              <w:rPr>
                <w:sz w:val="15"/>
                <w:szCs w:val="15"/>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Joseph M. Hogan</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President and Chief Executive Officer</w:t>
            </w: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8, 2016</w:t>
      </w:r>
    </w:p>
    <w:p>
      <w:pPr>
        <w:spacing w:after="0" w:line="200" w:lineRule="exact"/>
        <w:rPr>
          <w:sz w:val="20"/>
          <w:szCs w:val="20"/>
          <w:color w:val="auto"/>
        </w:rPr>
      </w:pPr>
    </w:p>
    <w:p>
      <w:pPr>
        <w:spacing w:after="0" w:line="268" w:lineRule="exact"/>
        <w:rPr>
          <w:sz w:val="20"/>
          <w:szCs w:val="20"/>
          <w:color w:val="auto"/>
        </w:rPr>
      </w:pPr>
    </w:p>
    <w:p>
      <w:pPr>
        <w:jc w:val="both"/>
        <w:ind w:firstLine="336"/>
        <w:spacing w:after="0" w:line="313" w:lineRule="auto"/>
        <w:rPr>
          <w:sz w:val="20"/>
          <w:szCs w:val="20"/>
          <w:color w:val="auto"/>
        </w:rPr>
      </w:pPr>
      <w:r>
        <w:rPr>
          <w:rFonts w:ascii="Times New Roman" w:cs="Times New Roman" w:eastAsia="Times New Roman" w:hAnsi="Times New Roman"/>
          <w:sz w:val="14"/>
          <w:szCs w:val="14"/>
          <w:color w:val="auto"/>
        </w:rPr>
        <w:t>I, David L. White, certify, pursuant to 18 U.S.C. Section 1350, as adopted pursuant to Section 906 of the Sarbanes-Oxley Act of 2002, that the Quarterly Report of Align Technology, Inc. on Form 10-Q for the quarter ended September 30, 2016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940" w:type="dxa"/>
        <w:tblCellMar>
          <w:top w:w="0" w:type="dxa"/>
          <w:left w:w="0" w:type="dxa"/>
          <w:bottom w:w="0" w:type="dxa"/>
          <w:right w:w="0" w:type="dxa"/>
        </w:tblCellMar>
      </w:tblPr>
      <w:tr>
        <w:trPr>
          <w:trHeight w:val="183"/>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DAVID L. WHITE</w:t>
            </w: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5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860" w:type="dxa"/>
            <w:vAlign w:val="bottom"/>
            <w:vMerge w:val="continue"/>
          </w:tcPr>
          <w:p>
            <w:pPr>
              <w:spacing w:after="0"/>
              <w:rPr>
                <w:sz w:val="15"/>
                <w:szCs w:val="15"/>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David L. White</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Chief Financial Officer</w:t>
            </w: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8, 2016</w:t>
      </w:r>
    </w:p>
    <w:sectPr>
      <w:pgSz w:w="11900" w:h="16838" w:orient="portrait"/>
      <w:cols w:equalWidth="0" w:num="1">
        <w:col w:w="11460"/>
      </w:cols>
      <w:pgMar w:left="220" w:top="53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x"/>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1)"/>
      <w:numFmt w:val="decimal"/>
      <w:start w:val="2"/>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5C482A97"/>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7">
    <w:nsid w:val="542289EC"/>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8">
    <w:nsid w:val="6DE91B1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9">
    <w:nsid w:val="38437FD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Letter"/>
      <w:start w:val="4"/>
    </w:lvl>
  </w:abstractNum>
  <w:abstractNum w:abstractNumId="30">
    <w:nsid w:val="7644A45C"/>
    <w:multiLevelType w:val="hybridMultilevel"/>
    <w:lvl w:ilvl="0">
      <w:lvlJc w:val="left"/>
      <w:lvlText w:val="(%1)"/>
      <w:numFmt w:val="lowerLetter"/>
      <w:start w:val="5"/>
    </w:lvl>
    <w:lvl w:ilvl="1">
      <w:lvlJc w:val="left"/>
      <w:lvlText w:val="%2."/>
      <w:numFmt w:val="decimal"/>
      <w:start w:val="3"/>
    </w:lvl>
    <w:lvl w:ilvl="2">
      <w:lvlJc w:val="left"/>
      <w:lvlText w:val="%3"/>
      <w:numFmt w:val="lowerLetter"/>
      <w:start w:val="1"/>
    </w:lvl>
    <w:lvl w:ilvl="3">
      <w:lvlJc w:val="left"/>
      <w:lvlText w:val="%4"/>
      <w:numFmt w:val="lowerLetter"/>
      <w:start w:val="1"/>
    </w:lvl>
  </w:abstractNum>
  <w:abstractNum w:abstractNumId="31">
    <w:nsid w:val="32FFF902"/>
    <w:multiLevelType w:val="hybridMultilevel"/>
    <w:lvl w:ilvl="0">
      <w:lvlJc w:val="left"/>
      <w:lvlText w:val="(%1)"/>
      <w:numFmt w:val="lowerLetter"/>
      <w:start w:val="1"/>
    </w:lvl>
  </w:abstractNum>
  <w:abstractNum w:abstractNumId="32">
    <w:nsid w:val="684A481A"/>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lvl w:ilvl="3">
      <w:lvlJc w:val="left"/>
      <w:lvlText w:val="%4"/>
      <w:numFmt w:val="lowerLetter"/>
      <w:start w:val="1"/>
    </w:lvl>
    <w:lvl w:ilvl="4">
      <w:lvlJc w:val="left"/>
      <w:lvlText w:val="(%5)"/>
      <w:numFmt w:val="lowerLetter"/>
      <w:start w:val="4"/>
    </w:lvl>
  </w:abstractNum>
  <w:abstractNum w:abstractNumId="33">
    <w:nsid w:val="579478FE"/>
    <w:multiLevelType w:val="hybridMultilevel"/>
    <w:lvl w:ilvl="0">
      <w:lvlJc w:val="left"/>
      <w:lvlText w:val="%1."/>
      <w:numFmt w:val="decimal"/>
      <w:start w:val="6"/>
    </w:lvl>
    <w:lvl w:ilvl="1">
      <w:lvlJc w:val="left"/>
      <w:lvlText w:val="(%2)"/>
      <w:numFmt w:val="lowerRoman"/>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34">
    <w:nsid w:val="749ABB4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4"/>
    </w:lvl>
  </w:abstractNum>
  <w:abstractNum w:abstractNumId="35">
    <w:nsid w:val="3DC240F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36">
    <w:nsid w:val="1BA026FA"/>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1"/>
    </w:lvl>
  </w:abstractNum>
  <w:abstractNum w:abstractNumId="37">
    <w:nsid w:val="79A1DEAA"/>
    <w:multiLevelType w:val="hybridMultilevel"/>
    <w:lvl w:ilvl="0">
      <w:lvlJc w:val="left"/>
      <w:lvlText w:val="%1"/>
      <w:numFmt w:val="lowerRoman"/>
      <w:start w:val="1"/>
    </w:lvl>
    <w:lvl w:ilvl="1">
      <w:lvlJc w:val="left"/>
      <w:lvlText w:val="(%2)"/>
      <w:numFmt w:val="lowerLetter"/>
      <w:start w:val="6"/>
    </w:lvl>
  </w:abstractNum>
  <w:abstractNum w:abstractNumId="38">
    <w:nsid w:val="75C6C33A"/>
    <w:multiLevelType w:val="hybridMultilevel"/>
    <w:lvl w:ilvl="0">
      <w:lvlJc w:val="left"/>
      <w:lvlText w:val="(%1)"/>
      <w:numFmt w:val="lowerRoman"/>
      <w:start w:val="1"/>
    </w:lvl>
    <w:lvl w:ilvl="1">
      <w:lvlJc w:val="left"/>
      <w:lvlText w:val="%2"/>
      <w:numFmt w:val="lowerLetter"/>
      <w:start w:val="1"/>
    </w:lvl>
  </w:abstractNum>
  <w:abstractNum w:abstractNumId="39">
    <w:nsid w:val="12E685FB"/>
    <w:multiLevelType w:val="hybridMultilevel"/>
    <w:lvl w:ilvl="0">
      <w:lvlJc w:val="left"/>
      <w:lvlText w:val="%1"/>
      <w:numFmt w:val="lowerLetter"/>
      <w:start w:val="1"/>
    </w:lvl>
    <w:lvl w:ilvl="1">
      <w:lvlJc w:val="left"/>
      <w:lvlText w:val="(%2)"/>
      <w:numFmt w:val="lowerLetter"/>
      <w:start w:val="8"/>
    </w:lvl>
  </w:abstractNum>
  <w:abstractNum w:abstractNumId="40">
    <w:nsid w:val="70C6A529"/>
    <w:multiLevelType w:val="hybridMultilevel"/>
    <w:lvl w:ilvl="0">
      <w:lvlJc w:val="left"/>
      <w:lvlText w:val="(%1)"/>
      <w:numFmt w:val="lowerLetter"/>
      <w:start w:val="9"/>
    </w:lvl>
    <w:lvl w:ilvl="1">
      <w:lvlJc w:val="left"/>
      <w:lvlText w:val="%2"/>
      <w:numFmt w:val="lowerLetter"/>
      <w:start w:val="1"/>
    </w:lvl>
  </w:abstractNum>
  <w:abstractNum w:abstractNumId="41">
    <w:nsid w:val="520EEDD1"/>
    <w:multiLevelType w:val="hybridMultilevel"/>
    <w:lvl w:ilvl="0">
      <w:lvlJc w:val="left"/>
      <w:lvlText w:val="(%1)"/>
      <w:numFmt w:val="lowerRoman"/>
      <w:start w:val="1"/>
    </w:lvl>
  </w:abstractNum>
  <w:abstractNum w:abstractNumId="42">
    <w:nsid w:val="374A3FE6"/>
    <w:multiLevelType w:val="hybridMultilevel"/>
    <w:lvl w:ilvl="0">
      <w:lvlJc w:val="left"/>
      <w:lvlText w:val="%1"/>
      <w:numFmt w:val="lowerRoman"/>
      <w:start w:val="1"/>
    </w:lvl>
    <w:lvl w:ilvl="1">
      <w:lvlJc w:val="left"/>
      <w:lvlText w:val="(%2)"/>
      <w:numFmt w:val="lowerLetter"/>
      <w:start w:val="10"/>
    </w:lvl>
    <w:lvl w:ilvl="2">
      <w:lvlJc w:val="left"/>
      <w:lvlText w:val="%3"/>
      <w:numFmt w:val="lowerLetter"/>
      <w:start w:val="1"/>
    </w:lvl>
  </w:abstractNum>
  <w:abstractNum w:abstractNumId="43">
    <w:nsid w:val="4F4EF005"/>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44">
    <w:nsid w:val="23F9C13C"/>
    <w:multiLevelType w:val="hybridMultilevel"/>
    <w:lvl w:ilvl="0">
      <w:lvlJc w:val="left"/>
      <w:lvlText w:val="(%1)"/>
      <w:numFmt w:val="lowerLetter"/>
      <w:start w:val="1"/>
    </w:lvl>
    <w:lvl w:ilvl="1">
      <w:lvlJc w:val="left"/>
      <w:lvlText w:val="(%2)"/>
      <w:numFmt w:val="lowerLetter"/>
      <w:start w:val="2"/>
    </w:lvl>
  </w:abstractNum>
  <w:abstractNum w:abstractNumId="45">
    <w:nsid w:val="649BB77C"/>
    <w:multiLevelType w:val="hybridMultilevel"/>
    <w:lvl w:ilvl="0">
      <w:lvlJc w:val="left"/>
      <w:lvlText w:val="&amp;"/>
      <w:numFmt w:val="bullet"/>
      <w:start w:val="1"/>
    </w:lvl>
    <w:lvl w:ilvl="1">
      <w:lvlJc w:val="left"/>
      <w:lvlText w:val="%2."/>
      <w:numFmt w:val="decimal"/>
      <w:start w:val="8"/>
    </w:lvl>
    <w:lvl w:ilvl="2">
      <w:lvlJc w:val="left"/>
      <w:lvlText w:val="(%3)"/>
      <w:numFmt w:val="lowerLetter"/>
      <w:start w:val="1"/>
    </w:lvl>
  </w:abstractNum>
  <w:abstractNum w:abstractNumId="46">
    <w:nsid w:val="275AC794"/>
    <w:multiLevelType w:val="hybridMultilevel"/>
    <w:lvl w:ilvl="0">
      <w:lvlJc w:val="left"/>
      <w:lvlText w:val="&amp;"/>
      <w:numFmt w:val="bullet"/>
      <w:start w:val="1"/>
    </w:lvl>
    <w:lvl w:ilvl="1">
      <w:lvlJc w:val="left"/>
      <w:lvlText w:val="%2"/>
      <w:numFmt w:val="decimal"/>
      <w:start w:val="1"/>
    </w:lvl>
    <w:lvl w:ilvl="2">
      <w:lvlJc w:val="left"/>
      <w:lvlText w:val="(%3)"/>
      <w:numFmt w:val="lowerLetter"/>
      <w:start w:val="3"/>
    </w:lvl>
  </w:abstractNum>
  <w:abstractNum w:abstractNumId="47">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48">
    <w:nsid w:val="1CF10FD8"/>
    <w:multiLevelType w:val="hybridMultilevel"/>
    <w:lvl w:ilvl="0">
      <w:lvlJc w:val="left"/>
      <w:lvlText w:val="%1."/>
      <w:numFmt w:val="decimal"/>
      <w:start w:val="10"/>
    </w:lvl>
    <w:lvl w:ilvl="1">
      <w:lvlJc w:val="left"/>
      <w:lvlText w:val="(%2)"/>
      <w:numFmt w:val="lowerLetter"/>
      <w:start w:val="4"/>
    </w:lvl>
    <w:lvl w:ilvl="2">
      <w:lvlJc w:val="left"/>
      <w:lvlText w:val="(%3)"/>
      <w:numFmt w:val="lowerLetter"/>
      <w:start w:val="1"/>
    </w:lvl>
  </w:abstractNum>
  <w:abstractNum w:abstractNumId="49">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50">
    <w:nsid w:val="235BA861"/>
    <w:multiLevelType w:val="hybridMultilevel"/>
    <w:lvl w:ilvl="0">
      <w:lvlJc w:val="left"/>
      <w:lvlText w:val="%1"/>
      <w:numFmt w:val="decimal"/>
      <w:start w:val="1"/>
    </w:lvl>
    <w:lvl w:ilvl="1">
      <w:lvlJc w:val="left"/>
      <w:lvlText w:val="%2."/>
      <w:numFmt w:val="decimal"/>
      <w:start w:val="1"/>
    </w:lvl>
  </w:abstractNum>
  <w:abstractNum w:abstractNumId="51">
    <w:nsid w:val="47398C89"/>
    <w:multiLevelType w:val="hybridMultilevel"/>
    <w:lvl w:ilvl="0">
      <w:lvlJc w:val="left"/>
      <w:lvlText w:val="%1."/>
      <w:numFmt w:val="decimal"/>
      <w:start w:val="2"/>
    </w:lvl>
    <w:lvl w:ilvl="1">
      <w:lvlJc w:val="left"/>
      <w:lvlText w:val="%2"/>
      <w:numFmt w:val="decimal"/>
      <w:start w:val="1"/>
    </w:lvl>
  </w:abstractNum>
  <w:abstractNum w:abstractNumId="52">
    <w:nsid w:val="354FE9F9"/>
    <w:multiLevelType w:val="hybridMultilevel"/>
    <w:lvl w:ilvl="0">
      <w:lvlJc w:val="left"/>
      <w:lvlText w:val="%1."/>
      <w:numFmt w:val="decimal"/>
      <w:start w:val="3"/>
    </w:lvl>
    <w:lvl w:ilvl="1">
      <w:lvlJc w:val="left"/>
      <w:lvlText w:val="%2."/>
      <w:numFmt w:val="decimal"/>
      <w:start w:val="4"/>
    </w:lvl>
  </w:abstractNum>
  <w:abstractNum w:abstractNumId="53">
    <w:nsid w:val="15B5AF5C"/>
    <w:multiLevelType w:val="hybridMultilevel"/>
    <w:lvl w:ilvl="0">
      <w:lvlJc w:val="left"/>
      <w:lvlText w:val="%1"/>
      <w:numFmt w:val="decimal"/>
      <w:start w:val="1"/>
    </w:lvl>
    <w:lvl w:ilvl="1">
      <w:lvlJc w:val="left"/>
      <w:lvlText w:val="%2."/>
      <w:numFmt w:val="decimal"/>
      <w:start w:val="6"/>
    </w:lvl>
  </w:abstractNum>
  <w:abstractNum w:abstractNumId="54">
    <w:nsid w:val="741226BB"/>
    <w:multiLevelType w:val="hybridMultilevel"/>
    <w:lvl w:ilvl="0">
      <w:lvlJc w:val="left"/>
      <w:lvlText w:val="%1."/>
      <w:numFmt w:val="decimal"/>
      <w:start w:val="7"/>
    </w:lvl>
    <w:lvl w:ilvl="1">
      <w:lvlJc w:val="left"/>
      <w:lvlText w:val="%2"/>
      <w:numFmt w:val="decimal"/>
      <w:start w:val="1"/>
    </w:lvl>
  </w:abstractNum>
  <w:abstractNum w:abstractNumId="55">
    <w:nsid w:val="D34B6A8"/>
    <w:multiLevelType w:val="hybridMultilevel"/>
    <w:lvl w:ilvl="0">
      <w:lvlJc w:val="left"/>
      <w:lvlText w:val="%1"/>
      <w:numFmt w:val="decimal"/>
      <w:start w:val="1"/>
    </w:lvl>
    <w:lvl w:ilvl="1">
      <w:lvlJc w:val="left"/>
      <w:lvlText w:val="%2."/>
      <w:numFmt w:val="decimal"/>
      <w:start w:val="1"/>
    </w:lvl>
  </w:abstractNum>
  <w:abstractNum w:abstractNumId="56">
    <w:nsid w:val="10233C99"/>
    <w:multiLevelType w:val="hybridMultilevel"/>
    <w:lvl w:ilvl="0">
      <w:lvlJc w:val="left"/>
      <w:lvlText w:val="%1."/>
      <w:numFmt w:val="decimal"/>
      <w:start w:val="2"/>
    </w:lvl>
    <w:lvl w:ilvl="1">
      <w:lvlJc w:val="left"/>
      <w:lvlText w:val="%2"/>
      <w:numFmt w:val="decimal"/>
      <w:start w:val="1"/>
    </w:lvl>
  </w:abstractNum>
  <w:abstractNum w:abstractNumId="57">
    <w:nsid w:val="3F6AB60F"/>
    <w:multiLevelType w:val="hybridMultilevel"/>
    <w:lvl w:ilvl="0">
      <w:lvlJc w:val="left"/>
      <w:lvlText w:val="%1."/>
      <w:numFmt w:val="decimal"/>
      <w:start w:val="1"/>
    </w:lvl>
    <w:lvl w:ilvl="1">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decimal"/>
      <w:start w:val="2"/>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quot;"/>
      <w:numFmt w:val="bullet"/>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2019-12-29T10:16:35Z</dcterms:created>
  <dcterms:modified xsi:type="dcterms:W3CDTF">2019-12-29T10:16:35Z</dcterms:modified>
</cp:coreProperties>
</file>