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TO SECTION 13 OR 15(D) OF THE</w:t>
      </w: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August 10, 2006</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ALIGN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4080" w:type="dxa"/>
            <w:vAlign w:val="bottom"/>
            <w:gridSpan w:val="4"/>
          </w:tcPr>
          <w:p>
            <w:pPr>
              <w:jc w:val="center"/>
              <w:ind w:right="60"/>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3660" w:type="dxa"/>
            <w:vAlign w:val="bottom"/>
          </w:tcPr>
          <w:p>
            <w:pPr>
              <w:spacing w:after="0"/>
              <w:rPr>
                <w:sz w:val="19"/>
                <w:szCs w:val="19"/>
                <w:color w:val="auto"/>
              </w:rPr>
            </w:pPr>
          </w:p>
        </w:tc>
      </w:tr>
      <w:tr>
        <w:trPr>
          <w:trHeight w:val="459"/>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88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87"/>
              </w:rPr>
              <w:t>0-32259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tcPr>
          <w:p>
            <w:pPr>
              <w:jc w:val="right"/>
              <w:ind w:right="1332"/>
              <w:spacing w:after="0"/>
              <w:rPr>
                <w:sz w:val="20"/>
                <w:szCs w:val="20"/>
                <w:color w:val="auto"/>
              </w:rPr>
            </w:pPr>
            <w:r>
              <w:rPr>
                <w:rFonts w:ascii="Arial" w:cs="Arial" w:eastAsia="Arial" w:hAnsi="Arial"/>
                <w:sz w:val="18"/>
                <w:szCs w:val="18"/>
                <w:b w:val="1"/>
                <w:bCs w:val="1"/>
                <w:color w:val="auto"/>
              </w:rPr>
              <w:t>94-3267295</w:t>
            </w:r>
          </w:p>
        </w:tc>
      </w:tr>
      <w:tr>
        <w:trPr>
          <w:trHeight w:val="110"/>
        </w:trPr>
        <w:tc>
          <w:tcPr>
            <w:tcW w:w="3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r>
      <w:tr>
        <w:trPr>
          <w:trHeight w:val="309"/>
        </w:trPr>
        <w:tc>
          <w:tcPr>
            <w:tcW w:w="3700" w:type="dxa"/>
            <w:vAlign w:val="bottom"/>
          </w:tcPr>
          <w:p>
            <w:pPr>
              <w:jc w:val="center"/>
              <w:spacing w:after="0"/>
              <w:rPr>
                <w:sz w:val="20"/>
                <w:szCs w:val="20"/>
                <w:color w:val="auto"/>
              </w:rPr>
            </w:pPr>
            <w:r>
              <w:rPr>
                <w:rFonts w:ascii="Arial" w:cs="Arial" w:eastAsia="Arial" w:hAnsi="Arial"/>
                <w:sz w:val="18"/>
                <w:szCs w:val="18"/>
                <w:i w:val="1"/>
                <w:iCs w:val="1"/>
                <w:color w:val="auto"/>
                <w:w w:val="91"/>
              </w:rPr>
              <w:t>(State or Other Jurisdiction</w:t>
            </w:r>
          </w:p>
        </w:tc>
        <w:tc>
          <w:tcPr>
            <w:tcW w:w="200" w:type="dxa"/>
            <w:vAlign w:val="bottom"/>
          </w:tcPr>
          <w:p>
            <w:pPr>
              <w:spacing w:after="0"/>
              <w:rPr>
                <w:sz w:val="24"/>
                <w:szCs w:val="24"/>
                <w:color w:val="auto"/>
              </w:rPr>
            </w:pPr>
          </w:p>
        </w:tc>
        <w:tc>
          <w:tcPr>
            <w:tcW w:w="3880" w:type="dxa"/>
            <w:vAlign w:val="bottom"/>
            <w:gridSpan w:val="3"/>
          </w:tcPr>
          <w:p>
            <w:pPr>
              <w:jc w:val="center"/>
              <w:ind w:right="280"/>
              <w:spacing w:after="0"/>
              <w:rPr>
                <w:sz w:val="20"/>
                <w:szCs w:val="20"/>
                <w:color w:val="auto"/>
              </w:rPr>
            </w:pPr>
            <w:r>
              <w:rPr>
                <w:rFonts w:ascii="Arial" w:cs="Arial" w:eastAsia="Arial" w:hAnsi="Arial"/>
                <w:sz w:val="18"/>
                <w:szCs w:val="18"/>
                <w:i w:val="1"/>
                <w:iCs w:val="1"/>
                <w:color w:val="auto"/>
                <w:w w:val="87"/>
              </w:rPr>
              <w:t>(Commission</w:t>
            </w: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88"/>
              </w:rPr>
              <w:t>(IRS Employer</w:t>
            </w:r>
          </w:p>
        </w:tc>
      </w:tr>
      <w:tr>
        <w:trPr>
          <w:trHeight w:val="222"/>
        </w:trPr>
        <w:tc>
          <w:tcPr>
            <w:tcW w:w="3700" w:type="dxa"/>
            <w:vAlign w:val="bottom"/>
          </w:tcPr>
          <w:p>
            <w:pPr>
              <w:ind w:left="1240"/>
              <w:spacing w:after="0"/>
              <w:rPr>
                <w:sz w:val="20"/>
                <w:szCs w:val="20"/>
                <w:color w:val="auto"/>
              </w:rPr>
            </w:pPr>
            <w:r>
              <w:rPr>
                <w:rFonts w:ascii="Arial" w:cs="Arial" w:eastAsia="Arial" w:hAnsi="Arial"/>
                <w:sz w:val="18"/>
                <w:szCs w:val="18"/>
                <w:i w:val="1"/>
                <w:iCs w:val="1"/>
                <w:color w:val="auto"/>
              </w:rPr>
              <w:t>of Incorporation)</w:t>
            </w:r>
          </w:p>
        </w:tc>
        <w:tc>
          <w:tcPr>
            <w:tcW w:w="200" w:type="dxa"/>
            <w:vAlign w:val="bottom"/>
          </w:tcPr>
          <w:p>
            <w:pPr>
              <w:spacing w:after="0"/>
              <w:rPr>
                <w:sz w:val="19"/>
                <w:szCs w:val="19"/>
                <w:color w:val="auto"/>
              </w:rPr>
            </w:pPr>
          </w:p>
        </w:tc>
        <w:tc>
          <w:tcPr>
            <w:tcW w:w="3880" w:type="dxa"/>
            <w:vAlign w:val="bottom"/>
            <w:gridSpan w:val="3"/>
          </w:tcPr>
          <w:p>
            <w:pPr>
              <w:jc w:val="center"/>
              <w:ind w:right="220"/>
              <w:spacing w:after="0"/>
              <w:rPr>
                <w:sz w:val="20"/>
                <w:szCs w:val="20"/>
                <w:color w:val="auto"/>
              </w:rPr>
            </w:pPr>
            <w:r>
              <w:rPr>
                <w:rFonts w:ascii="Arial" w:cs="Arial" w:eastAsia="Arial" w:hAnsi="Arial"/>
                <w:sz w:val="18"/>
                <w:szCs w:val="18"/>
                <w:i w:val="1"/>
                <w:iCs w:val="1"/>
                <w:color w:val="auto"/>
                <w:w w:val="90"/>
              </w:rPr>
              <w:t>File Number)</w:t>
            </w: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92"/>
              </w:rPr>
              <w:t>Identification No.)</w:t>
            </w:r>
          </w:p>
        </w:tc>
      </w:tr>
      <w:tr>
        <w:trPr>
          <w:trHeight w:val="459"/>
        </w:trPr>
        <w:tc>
          <w:tcPr>
            <w:tcW w:w="77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881 Martin Avenue, Santa Clara, California</w:t>
            </w:r>
          </w:p>
        </w:tc>
        <w:tc>
          <w:tcPr>
            <w:tcW w:w="3660" w:type="dxa"/>
            <w:vAlign w:val="bottom"/>
          </w:tcPr>
          <w:p>
            <w:pPr>
              <w:jc w:val="right"/>
              <w:ind w:right="1532"/>
              <w:spacing w:after="0"/>
              <w:rPr>
                <w:sz w:val="20"/>
                <w:szCs w:val="20"/>
                <w:color w:val="auto"/>
              </w:rPr>
            </w:pPr>
            <w:r>
              <w:rPr>
                <w:rFonts w:ascii="Arial" w:cs="Arial" w:eastAsia="Arial" w:hAnsi="Arial"/>
                <w:sz w:val="18"/>
                <w:szCs w:val="18"/>
                <w:b w:val="1"/>
                <w:bCs w:val="1"/>
                <w:color w:val="auto"/>
              </w:rPr>
              <w:t>95050</w:t>
            </w:r>
          </w:p>
        </w:tc>
      </w:tr>
      <w:tr>
        <w:trPr>
          <w:trHeight w:val="110"/>
        </w:trPr>
        <w:tc>
          <w:tcPr>
            <w:tcW w:w="7580" w:type="dxa"/>
            <w:vAlign w:val="bottom"/>
            <w:tcBorders>
              <w:bottom w:val="single" w:sz="8" w:color="auto"/>
            </w:tcBorders>
            <w:gridSpan w:val="3"/>
          </w:tcPr>
          <w:p>
            <w:pPr>
              <w:spacing w:after="0"/>
              <w:rPr>
                <w:sz w:val="9"/>
                <w:szCs w:val="9"/>
                <w:color w:val="auto"/>
              </w:rPr>
            </w:pPr>
          </w:p>
        </w:tc>
        <w:tc>
          <w:tcPr>
            <w:tcW w:w="200" w:type="dxa"/>
            <w:vAlign w:val="bottom"/>
            <w:gridSpan w:val="2"/>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r>
      <w:tr>
        <w:trPr>
          <w:trHeight w:val="316"/>
        </w:trPr>
        <w:tc>
          <w:tcPr>
            <w:tcW w:w="7780" w:type="dxa"/>
            <w:vAlign w:val="bottom"/>
            <w:gridSpan w:val="5"/>
          </w:tcPr>
          <w:p>
            <w:pPr>
              <w:jc w:val="center"/>
              <w:ind w:right="220"/>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3660" w:type="dxa"/>
            <w:vAlign w:val="bottom"/>
          </w:tcPr>
          <w:p>
            <w:pPr>
              <w:jc w:val="center"/>
              <w:spacing w:after="0"/>
              <w:rPr>
                <w:sz w:val="20"/>
                <w:szCs w:val="20"/>
                <w:color w:val="auto"/>
              </w:rPr>
            </w:pPr>
            <w:r>
              <w:rPr>
                <w:rFonts w:ascii="Arial" w:cs="Arial" w:eastAsia="Arial" w:hAnsi="Arial"/>
                <w:sz w:val="18"/>
                <w:szCs w:val="18"/>
                <w:i w:val="1"/>
                <w:iCs w:val="1"/>
                <w:color w:val="auto"/>
                <w:w w:val="89"/>
              </w:rPr>
              <w:t>(Zip Code)</w:t>
            </w:r>
          </w:p>
        </w:tc>
      </w:tr>
      <w:tr>
        <w:trPr>
          <w:trHeight w:val="459"/>
        </w:trPr>
        <w:tc>
          <w:tcPr>
            <w:tcW w:w="3700" w:type="dxa"/>
            <w:vAlign w:val="bottom"/>
          </w:tcPr>
          <w:p>
            <w:pPr>
              <w:spacing w:after="0"/>
              <w:rPr>
                <w:sz w:val="24"/>
                <w:szCs w:val="24"/>
                <w:color w:val="auto"/>
              </w:rPr>
            </w:pPr>
          </w:p>
        </w:tc>
        <w:tc>
          <w:tcPr>
            <w:tcW w:w="388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9"/>
              </w:rPr>
              <w:t>(408) 470-1000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10"/>
        </w:trPr>
        <w:tc>
          <w:tcPr>
            <w:tcW w:w="3700" w:type="dxa"/>
            <w:vAlign w:val="bottom"/>
            <w:tcBorders>
              <w:bottom w:val="single" w:sz="8" w:color="auto"/>
            </w:tcBorders>
          </w:tcPr>
          <w:p>
            <w:pPr>
              <w:spacing w:after="0"/>
              <w:rPr>
                <w:sz w:val="9"/>
                <w:szCs w:val="9"/>
                <w:color w:val="auto"/>
              </w:rPr>
            </w:pPr>
          </w:p>
        </w:tc>
        <w:tc>
          <w:tcPr>
            <w:tcW w:w="4080" w:type="dxa"/>
            <w:vAlign w:val="bottom"/>
            <w:tcBorders>
              <w:bottom w:val="single" w:sz="8" w:color="auto"/>
            </w:tcBorders>
            <w:gridSpan w:val="4"/>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r>
      <w:tr>
        <w:trPr>
          <w:trHeight w:val="316"/>
        </w:trPr>
        <w:tc>
          <w:tcPr>
            <w:tcW w:w="3700" w:type="dxa"/>
            <w:vAlign w:val="bottom"/>
          </w:tcPr>
          <w:p>
            <w:pPr>
              <w:spacing w:after="0"/>
              <w:rPr>
                <w:sz w:val="24"/>
                <w:szCs w:val="24"/>
                <w:color w:val="auto"/>
              </w:rPr>
            </w:pPr>
          </w:p>
        </w:tc>
        <w:tc>
          <w:tcPr>
            <w:tcW w:w="4080" w:type="dxa"/>
            <w:vAlign w:val="bottom"/>
            <w:gridSpan w:val="4"/>
          </w:tcPr>
          <w:p>
            <w:pPr>
              <w:jc w:val="center"/>
              <w:ind w:right="60"/>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3660" w:type="dxa"/>
            <w:vAlign w:val="bottom"/>
          </w:tcPr>
          <w:p>
            <w:pPr>
              <w:spacing w:after="0"/>
              <w:rPr>
                <w:sz w:val="24"/>
                <w:szCs w:val="24"/>
                <w:color w:val="auto"/>
              </w:rPr>
            </w:pPr>
          </w:p>
        </w:tc>
      </w:tr>
    </w:tbl>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25"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8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right="20" w:firstLine="439"/>
        <w:spacing w:after="0" w:line="298" w:lineRule="auto"/>
        <w:rPr>
          <w:sz w:val="20"/>
          <w:szCs w:val="20"/>
          <w:color w:val="auto"/>
        </w:rPr>
      </w:pPr>
      <w:r>
        <w:rPr>
          <w:rFonts w:ascii="Arial" w:cs="Arial" w:eastAsia="Arial" w:hAnsi="Arial"/>
          <w:sz w:val="16"/>
          <w:szCs w:val="16"/>
          <w:color w:val="auto"/>
        </w:rPr>
        <w:t>On January 11, 2006, Align Technology, Inc. (the “Company”) filed a federal court patent infringement action against OrthoClear, Inc. (“OrthoClear”) in the Western District of Wisconsin (Madison) (the “Patent Infringement Federal Action”) asserting infringement of the Company’s U.S. Patents Nos. 6,685,469; 6,450,807; 6,394,801; 6,398,548; 6,722,880; 6,629,840; 6,669,037; 6,318,994; 6,729,876; 6,602,070; 6,471,511 and 6,227,850. The Patent Infringement Federal Action seeks monetary damages and an injunction to augment the exclusionary relief available from the ITC.</w:t>
      </w:r>
    </w:p>
    <w:p>
      <w:pPr>
        <w:spacing w:after="0" w:line="167"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On February 6, 2006, OrthoClear filed a motion to stay the Patent Infringement Federal Action, pursuant to the mandatory stay provisions of the United States International Trade Commission (“ITC”), pending the outcome of the litigation of the same patents in the ITC proceedings. The Company did not oppose the motion to stay. On March 10, 2006, the Court granted OrthoClear’s unopposed motion to stay, thereby staying the matter pending resolution of the ITC proceedings.</w:t>
      </w:r>
    </w:p>
    <w:p>
      <w:pPr>
        <w:spacing w:after="0" w:line="197"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 xml:space="preserve">On August 10, 2006, the Court, on its own motion, dismissed the Patent Infringement Federal Action without prejudice to its reopening upon the completion of the ITC proceedings. In addition, the judge ordered that, upon a reopening of the Patent Infringement Federal Action, it will be placed at the head of the docket for immediate judicial attention. </w:t>
      </w:r>
      <w:r>
        <w:rPr>
          <w:rFonts w:ascii="Arial" w:cs="Arial" w:eastAsia="Arial" w:hAnsi="Arial"/>
          <w:sz w:val="18"/>
          <w:szCs w:val="18"/>
          <w:i w:val="1"/>
          <w:iCs w:val="1"/>
          <w:color w:val="auto"/>
        </w:rPr>
        <w:t>A summary of the ITC proceedings is contained in the Company’s Quarterly Report on Form 10-Q filed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80" w:type="dxa"/>
            <w:vAlign w:val="bottom"/>
          </w:tcPr>
          <w:p>
            <w:pPr>
              <w:spacing w:after="0"/>
              <w:rPr>
                <w:sz w:val="20"/>
                <w:szCs w:val="20"/>
                <w:color w:val="auto"/>
              </w:rPr>
            </w:pPr>
            <w:r>
              <w:rPr>
                <w:rFonts w:ascii="Arial" w:cs="Arial" w:eastAsia="Arial" w:hAnsi="Arial"/>
                <w:sz w:val="18"/>
                <w:szCs w:val="18"/>
                <w:color w:val="auto"/>
              </w:rPr>
              <w:t>Dated: August 17, 2006</w:t>
            </w:r>
          </w:p>
        </w:tc>
        <w:tc>
          <w:tcPr>
            <w:tcW w:w="7160" w:type="dxa"/>
            <w:vAlign w:val="bottom"/>
            <w:gridSpan w:val="2"/>
          </w:tcPr>
          <w:p>
            <w:pPr>
              <w:ind w:left="2580"/>
              <w:spacing w:after="0"/>
              <w:rPr>
                <w:sz w:val="20"/>
                <w:szCs w:val="20"/>
                <w:color w:val="auto"/>
              </w:rPr>
            </w:pPr>
            <w:r>
              <w:rPr>
                <w:rFonts w:ascii="Arial" w:cs="Arial" w:eastAsia="Arial" w:hAnsi="Arial"/>
                <w:sz w:val="18"/>
                <w:szCs w:val="18"/>
                <w:b w:val="1"/>
                <w:bCs w:val="1"/>
                <w:color w:val="auto"/>
              </w:rPr>
              <w:t>ALIGN TECHNOLOGY, INC.</w:t>
            </w:r>
          </w:p>
        </w:tc>
      </w:tr>
      <w:tr>
        <w:trPr>
          <w:trHeight w:val="513"/>
        </w:trPr>
        <w:tc>
          <w:tcPr>
            <w:tcW w:w="4280" w:type="dxa"/>
            <w:vAlign w:val="bottom"/>
          </w:tcPr>
          <w:p>
            <w:pPr>
              <w:spacing w:after="0"/>
              <w:rPr>
                <w:sz w:val="24"/>
                <w:szCs w:val="24"/>
                <w:color w:val="auto"/>
              </w:rPr>
            </w:pPr>
          </w:p>
        </w:tc>
        <w:tc>
          <w:tcPr>
            <w:tcW w:w="7160" w:type="dxa"/>
            <w:vAlign w:val="bottom"/>
            <w:gridSpan w:val="2"/>
          </w:tcPr>
          <w:p>
            <w:pPr>
              <w:ind w:left="2580"/>
              <w:spacing w:after="0"/>
              <w:rPr>
                <w:sz w:val="20"/>
                <w:szCs w:val="20"/>
                <w:color w:val="auto"/>
              </w:rPr>
            </w:pPr>
            <w:r>
              <w:rPr>
                <w:rFonts w:ascii="Arial" w:cs="Arial" w:eastAsia="Arial" w:hAnsi="Arial"/>
                <w:sz w:val="18"/>
                <w:szCs w:val="18"/>
                <w:color w:val="auto"/>
                <w:w w:val="92"/>
              </w:rPr>
              <w:t>By:/s/ Eldon M. Bullington</w:t>
            </w:r>
          </w:p>
        </w:tc>
      </w:tr>
      <w:tr>
        <w:trPr>
          <w:trHeight w:val="110"/>
        </w:trPr>
        <w:tc>
          <w:tcPr>
            <w:tcW w:w="42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316"/>
        </w:trPr>
        <w:tc>
          <w:tcPr>
            <w:tcW w:w="4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4"/>
              </w:rPr>
              <w:t>Vice President of Finance and Chief Financial Officer</w:t>
            </w:r>
          </w:p>
        </w:tc>
      </w:tr>
      <w:tr>
        <w:trPr>
          <w:trHeight w:val="353"/>
        </w:trPr>
        <w:tc>
          <w:tcPr>
            <w:tcW w:w="4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58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2019-12-15T00:49:49Z</dcterms:created>
  <dcterms:modified xsi:type="dcterms:W3CDTF">2019-12-15T00:49:49Z</dcterms:modified>
</cp:coreProperties>
</file>