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UNITED STATES</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pacing w:after="0" w:line="59"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FORM 10-Q</w:t>
      </w:r>
    </w:p>
    <w:p>
      <w:pPr>
        <w:spacing w:after="0" w:line="42"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7"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09"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For the quarterly period ended June 30, 2015</w:t>
      </w:r>
    </w:p>
    <w:p>
      <w:pPr>
        <w:spacing w:after="0" w:line="11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OR</w:t>
      </w:r>
    </w:p>
    <w:p>
      <w:pPr>
        <w:spacing w:after="0" w:line="347"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260"/>
          </w:cols>
          <w:pgMar w:left="240" w:top="233" w:right="399" w:bottom="1440" w:gutter="0" w:footer="0" w:header="0"/>
        </w:sectPr>
      </w:pPr>
    </w:p>
    <w:p>
      <w:pPr>
        <w:spacing w:after="0" w:line="234" w:lineRule="exact"/>
        <w:rPr>
          <w:sz w:val="24"/>
          <w:szCs w:val="24"/>
          <w:color w:val="auto"/>
        </w:rPr>
      </w:pPr>
    </w:p>
    <w:p>
      <w:pPr>
        <w:ind w:left="418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90" w:lineRule="exact"/>
        <w:rPr>
          <w:sz w:val="24"/>
          <w:szCs w:val="24"/>
          <w:color w:val="auto"/>
        </w:rPr>
      </w:pPr>
    </w:p>
    <w:p>
      <w:pPr>
        <w:sectPr>
          <w:pgSz w:w="11900" w:h="16838" w:orient="portrait"/>
          <w:cols w:equalWidth="0" w:num="2">
            <w:col w:w="6400" w:space="720"/>
            <w:col w:w="4140"/>
          </w:cols>
          <w:pgMar w:left="240" w:top="233" w:right="399" w:bottom="1440" w:gutter="0" w:footer="0" w:header="0"/>
          <w:type w:val="continuous"/>
        </w:sectPr>
      </w:pPr>
    </w:p>
    <w:p>
      <w:pPr>
        <w:ind w:left="4520"/>
        <w:spacing w:after="0"/>
        <w:rPr>
          <w:sz w:val="20"/>
          <w:szCs w:val="20"/>
          <w:color w:val="auto"/>
        </w:rPr>
      </w:pPr>
      <w:r>
        <w:rPr>
          <w:rFonts w:ascii="Arial" w:cs="Arial" w:eastAsia="Arial" w:hAnsi="Arial"/>
          <w:sz w:val="14"/>
          <w:szCs w:val="14"/>
          <w:b w:val="1"/>
          <w:bCs w:val="1"/>
          <w:color w:val="auto"/>
        </w:rPr>
        <w:t>Commission file number: 0-32259</w:t>
      </w:r>
    </w:p>
    <w:p>
      <w:pPr>
        <w:spacing w:after="0" w:line="46" w:lineRule="exact"/>
        <w:rPr>
          <w:sz w:val="24"/>
          <w:szCs w:val="24"/>
          <w:color w:val="auto"/>
        </w:rPr>
      </w:pPr>
    </w:p>
    <w:p>
      <w:pPr>
        <w:ind w:left="4580"/>
        <w:spacing w:after="0"/>
        <w:rPr>
          <w:sz w:val="20"/>
          <w:szCs w:val="20"/>
          <w:color w:val="auto"/>
        </w:rPr>
      </w:pPr>
      <w:r>
        <w:rPr>
          <w:rFonts w:ascii="Arial" w:cs="Arial" w:eastAsia="Arial" w:hAnsi="Arial"/>
          <w:sz w:val="14"/>
          <w:szCs w:val="14"/>
          <w:color w:val="auto"/>
        </w:rPr>
        <w:t>____________________________</w:t>
      </w:r>
    </w:p>
    <w:p>
      <w:pPr>
        <w:sectPr>
          <w:pgSz w:w="11900" w:h="16838" w:orient="portrait"/>
          <w:cols w:equalWidth="0" w:num="1">
            <w:col w:w="11260"/>
          </w:cols>
          <w:pgMar w:left="240" w:top="233" w:right="399" w:bottom="1440" w:gutter="0" w:footer="0" w:header="0"/>
          <w:type w:val="continuous"/>
        </w:sectPr>
      </w:pP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40"/>
          <w:szCs w:val="40"/>
          <w:b w:val="1"/>
          <w:bCs w:val="1"/>
          <w:color w:val="auto"/>
        </w:rPr>
        <w:t>ALIGN TECHNOLOGY, INC.</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5"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ectPr>
          <w:pgSz w:w="11900" w:h="16838" w:orient="portrait"/>
          <w:cols w:equalWidth="0" w:num="1">
            <w:col w:w="11260"/>
          </w:cols>
          <w:pgMar w:left="240" w:top="233" w:right="399" w:bottom="1440" w:gutter="0" w:footer="0" w:header="0"/>
          <w:type w:val="continuous"/>
        </w:sectPr>
      </w:pPr>
    </w:p>
    <w:p>
      <w:pPr>
        <w:spacing w:after="0" w:line="149"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94-3267295</w:t>
      </w:r>
    </w:p>
    <w:p>
      <w:pPr>
        <w:spacing w:after="0" w:line="95" w:lineRule="exact"/>
        <w:rPr>
          <w:sz w:val="24"/>
          <w:szCs w:val="24"/>
          <w:color w:val="auto"/>
        </w:rPr>
      </w:pPr>
    </w:p>
    <w:p>
      <w:pPr>
        <w:sectPr>
          <w:pgSz w:w="11900" w:h="16838" w:orient="portrait"/>
          <w:cols w:equalWidth="0" w:num="2">
            <w:col w:w="7460" w:space="720"/>
            <w:col w:w="3080"/>
          </w:cols>
          <w:pgMar w:left="240" w:top="233" w:right="399" w:bottom="1440" w:gutter="0" w:footer="0" w:header="0"/>
          <w:type w:val="continuous"/>
        </w:sectPr>
      </w:pPr>
    </w:p>
    <w:p>
      <w:pPr>
        <w:ind w:left="1860"/>
        <w:spacing w:after="0"/>
        <w:rPr>
          <w:sz w:val="20"/>
          <w:szCs w:val="20"/>
          <w:color w:val="auto"/>
        </w:rPr>
      </w:pPr>
      <w:r>
        <w:rPr>
          <w:rFonts w:ascii="Arial" w:cs="Arial" w:eastAsia="Arial" w:hAnsi="Arial"/>
          <w:sz w:val="15"/>
          <w:szCs w:val="15"/>
          <w:b w:val="1"/>
          <w:bCs w:val="1"/>
          <w:color w:val="auto"/>
        </w:rPr>
        <w:t>(State or other jurisdiction of</w:t>
      </w:r>
    </w:p>
    <w:p>
      <w:pPr>
        <w:spacing w:after="0" w:line="38" w:lineRule="exact"/>
        <w:rPr>
          <w:sz w:val="24"/>
          <w:szCs w:val="24"/>
          <w:color w:val="auto"/>
        </w:rPr>
      </w:pPr>
    </w:p>
    <w:p>
      <w:pPr>
        <w:ind w:left="180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Arial" w:cs="Arial" w:eastAsia="Arial" w:hAnsi="Arial"/>
          <w:sz w:val="16"/>
          <w:szCs w:val="16"/>
          <w:b w:val="1"/>
          <w:bCs w:val="1"/>
          <w:color w:val="auto"/>
        </w:rPr>
        <w:t>(I.R.S. Employer</w:t>
      </w:r>
    </w:p>
    <w:p>
      <w:pPr>
        <w:spacing w:after="0" w:line="26" w:lineRule="exact"/>
        <w:rPr>
          <w:sz w:val="24"/>
          <w:szCs w:val="24"/>
          <w:color w:val="auto"/>
        </w:rPr>
      </w:pPr>
    </w:p>
    <w:p>
      <w:pPr>
        <w:jc w:val="center"/>
        <w:ind w:right="1880"/>
        <w:spacing w:after="0"/>
        <w:rPr>
          <w:sz w:val="20"/>
          <w:szCs w:val="20"/>
          <w:color w:val="auto"/>
        </w:rPr>
      </w:pPr>
      <w:r>
        <w:rPr>
          <w:rFonts w:ascii="Arial" w:cs="Arial" w:eastAsia="Arial" w:hAnsi="Arial"/>
          <w:sz w:val="15"/>
          <w:szCs w:val="15"/>
          <w:b w:val="1"/>
          <w:bCs w:val="1"/>
          <w:color w:val="auto"/>
        </w:rPr>
        <w:t>Identification Number)</w:t>
      </w:r>
    </w:p>
    <w:p>
      <w:pPr>
        <w:spacing w:after="0" w:line="130" w:lineRule="exact"/>
        <w:rPr>
          <w:sz w:val="24"/>
          <w:szCs w:val="24"/>
          <w:color w:val="auto"/>
        </w:rPr>
      </w:pPr>
    </w:p>
    <w:p>
      <w:pPr>
        <w:sectPr>
          <w:pgSz w:w="11900" w:h="16838" w:orient="portrait"/>
          <w:cols w:equalWidth="0" w:num="2">
            <w:col w:w="7040" w:space="720"/>
            <w:col w:w="3500"/>
          </w:cols>
          <w:pgMar w:left="240" w:top="233" w:right="399" w:bottom="1440" w:gutter="0" w:footer="0" w:header="0"/>
          <w:type w:val="continuous"/>
        </w:sectPr>
      </w:pPr>
    </w:p>
    <w:p>
      <w:pPr>
        <w:jc w:val="center"/>
        <w:ind w:right="-159"/>
        <w:spacing w:after="0"/>
        <w:rPr>
          <w:sz w:val="20"/>
          <w:szCs w:val="20"/>
          <w:color w:val="auto"/>
        </w:rPr>
      </w:pPr>
      <w:r>
        <w:rPr>
          <w:rFonts w:ascii="Arial" w:cs="Arial" w:eastAsia="Arial" w:hAnsi="Arial"/>
          <w:sz w:val="16"/>
          <w:szCs w:val="16"/>
          <w:b w:val="1"/>
          <w:bCs w:val="1"/>
          <w:color w:val="auto"/>
        </w:rPr>
        <w:t>2560 Orchard Parkway</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San Jose, California 95131</w:t>
      </w:r>
    </w:p>
    <w:p>
      <w:pPr>
        <w:spacing w:after="0" w:line="5"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149"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(408) 470-1000</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2" w:lineRule="exact"/>
        <w:rPr>
          <w:sz w:val="24"/>
          <w:szCs w:val="24"/>
          <w:color w:val="auto"/>
        </w:rPr>
      </w:pPr>
    </w:p>
    <w:p>
      <w:pPr>
        <w:ind w:left="4600"/>
        <w:spacing w:after="0"/>
        <w:rPr>
          <w:sz w:val="20"/>
          <w:szCs w:val="20"/>
          <w:color w:val="auto"/>
        </w:rPr>
      </w:pPr>
      <w:r>
        <w:rPr>
          <w:rFonts w:ascii="Arial" w:cs="Arial" w:eastAsia="Arial" w:hAnsi="Arial"/>
          <w:sz w:val="16"/>
          <w:szCs w:val="16"/>
          <w:color w:val="auto"/>
        </w:rPr>
        <w:t>____________________________</w:t>
      </w:r>
    </w:p>
    <w:p>
      <w:pPr>
        <w:sectPr>
          <w:pgSz w:w="11900" w:h="16838" w:orient="portrait"/>
          <w:cols w:equalWidth="0" w:num="1">
            <w:col w:w="11260"/>
          </w:cols>
          <w:pgMar w:left="240" w:top="233" w:right="399" w:bottom="1440" w:gutter="0" w:footer="0" w:header="0"/>
          <w:type w:val="continuous"/>
        </w:sectPr>
      </w:pPr>
    </w:p>
    <w:p>
      <w:pPr>
        <w:spacing w:after="0" w:line="86" w:lineRule="exact"/>
        <w:rPr>
          <w:sz w:val="24"/>
          <w:szCs w:val="24"/>
          <w:color w:val="auto"/>
        </w:rPr>
      </w:pPr>
    </w:p>
    <w:p>
      <w:pPr>
        <w:ind w:right="260" w:firstLine="432"/>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29" w:lineRule="exact"/>
        <w:rPr>
          <w:sz w:val="24"/>
          <w:szCs w:val="24"/>
          <w:color w:val="auto"/>
        </w:rPr>
      </w:pPr>
    </w:p>
    <w:p>
      <w:pPr>
        <w:ind w:right="240" w:firstLine="432"/>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ind w:firstLine="432"/>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260"/>
          </w:cols>
          <w:pgMar w:left="240" w:top="233" w:right="399" w:bottom="1440" w:gutter="0" w:footer="0" w:header="0"/>
          <w:type w:val="continuous"/>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4">
            <w:col w:w="1480" w:space="500"/>
            <w:col w:w="3680" w:space="720"/>
            <w:col w:w="3360" w:space="720"/>
            <w:col w:w="800"/>
          </w:cols>
          <w:pgMar w:left="240" w:top="233" w:right="399" w:bottom="144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1" w:lineRule="exact"/>
        <w:rPr>
          <w:sz w:val="24"/>
          <w:szCs w:val="24"/>
          <w:color w:val="auto"/>
        </w:rPr>
      </w:pPr>
    </w:p>
    <w:p>
      <w:pPr>
        <w:sectPr>
          <w:pgSz w:w="11900" w:h="16838" w:orient="portrait"/>
          <w:cols w:equalWidth="0" w:num="4">
            <w:col w:w="1400" w:space="580"/>
            <w:col w:w="3680" w:space="720"/>
            <w:col w:w="3360" w:space="720"/>
            <w:col w:w="800"/>
          </w:cols>
          <w:pgMar w:left="240" w:top="233" w:right="399" w:bottom="1440" w:gutter="0" w:footer="0" w:header="0"/>
          <w:type w:val="continuous"/>
        </w:sectPr>
      </w:pPr>
    </w:p>
    <w:p>
      <w:pPr>
        <w:spacing w:after="0" w:line="30" w:lineRule="exact"/>
        <w:rPr>
          <w:sz w:val="24"/>
          <w:szCs w:val="24"/>
          <w:color w:val="auto"/>
        </w:rPr>
      </w:pPr>
    </w:p>
    <w:p>
      <w:pPr>
        <w:ind w:left="4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No x</w:t>
      </w:r>
    </w:p>
    <w:p>
      <w:pPr>
        <w:spacing w:after="0" w:line="167" w:lineRule="exact"/>
        <w:rPr>
          <w:sz w:val="24"/>
          <w:szCs w:val="24"/>
          <w:color w:val="auto"/>
        </w:rPr>
      </w:pPr>
    </w:p>
    <w:p>
      <w:pPr>
        <w:sectPr>
          <w:pgSz w:w="11900" w:h="16838" w:orient="portrait"/>
          <w:cols w:equalWidth="0" w:num="4">
            <w:col w:w="7800" w:space="160"/>
            <w:col w:w="240" w:space="80"/>
            <w:col w:w="140" w:space="160"/>
            <w:col w:w="2680"/>
          </w:cols>
          <w:pgMar w:left="240" w:top="233" w:right="399" w:bottom="1440" w:gutter="0" w:footer="0" w:header="0"/>
          <w:type w:val="continuous"/>
        </w:sectPr>
      </w:pPr>
    </w:p>
    <w:p>
      <w:pPr>
        <w:ind w:left="440"/>
        <w:spacing w:after="0"/>
        <w:rPr>
          <w:sz w:val="20"/>
          <w:szCs w:val="20"/>
          <w:color w:val="auto"/>
        </w:rPr>
      </w:pPr>
      <w:r>
        <w:rPr>
          <w:rFonts w:ascii="Arial" w:cs="Arial" w:eastAsia="Arial" w:hAnsi="Arial"/>
          <w:sz w:val="14"/>
          <w:szCs w:val="14"/>
          <w:color w:val="auto"/>
        </w:rPr>
        <w:t>The number of shares outstanding of the registrant’s Common Stock, $0.0001 par value, as of July 24, 2015 was 80,078,373.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229870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233" w:right="3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60" w:type="dxa"/>
            <w:vAlign w:val="bottom"/>
            <w:gridSpan w:val="2"/>
          </w:tcPr>
          <w:p>
            <w:pPr>
              <w:spacing w:after="0"/>
              <w:rPr>
                <w:sz w:val="20"/>
                <w:szCs w:val="20"/>
                <w:color w:val="auto"/>
              </w:rPr>
            </w:pPr>
            <w:r>
              <w:rPr>
                <w:rFonts w:ascii="Arial" w:cs="Arial" w:eastAsia="Arial" w:hAnsi="Arial"/>
                <w:sz w:val="18"/>
                <w:szCs w:val="18"/>
                <w:color w:val="auto"/>
              </w:rPr>
              <w:t>PART I</w:t>
            </w:r>
          </w:p>
        </w:tc>
        <w:tc>
          <w:tcPr>
            <w:tcW w:w="9920" w:type="dxa"/>
            <w:vAlign w:val="bottom"/>
            <w:gridSpan w:val="20"/>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FINANCIAL INFORMATION</w:t>
              </w:r>
            </w:hyperlink>
          </w:p>
        </w:tc>
        <w:tc>
          <w:tcPr>
            <w:tcW w:w="180" w:type="dxa"/>
            <w:vAlign w:val="bottom"/>
            <w:gridSpan w:val="2"/>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420" w:type="dxa"/>
            <w:vAlign w:val="bottom"/>
            <w:tcBorders>
              <w:bottom w:val="single" w:sz="8" w:color="0000FF"/>
            </w:tcBorders>
            <w:gridSpan w:val="11"/>
          </w:tcPr>
          <w:p>
            <w:pPr>
              <w:spacing w:after="0"/>
              <w:rPr>
                <w:rFonts w:ascii="Arial" w:cs="Arial" w:eastAsia="Arial" w:hAnsi="Arial"/>
                <w:sz w:val="18"/>
                <w:szCs w:val="18"/>
                <w:color w:val="0000FF"/>
                <w:w w:val="97"/>
              </w:rPr>
            </w:pPr>
            <w:hyperlink w:anchor="page3">
              <w:r>
                <w:rPr>
                  <w:rFonts w:ascii="Arial" w:cs="Arial" w:eastAsia="Arial" w:hAnsi="Arial"/>
                  <w:sz w:val="18"/>
                  <w:szCs w:val="18"/>
                  <w:color w:val="0000FF"/>
                  <w:w w:val="97"/>
                </w:rPr>
                <w:t>FINANCIAL STATEMENTS (UNAUDITED):</w:t>
              </w:r>
            </w:hyperlink>
          </w:p>
        </w:tc>
        <w:tc>
          <w:tcPr>
            <w:tcW w:w="6500" w:type="dxa"/>
            <w:vAlign w:val="bottom"/>
            <w:gridSpan w:val="9"/>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w:t>
              </w:r>
            </w:hyperlink>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80" w:type="dxa"/>
            <w:vAlign w:val="bottom"/>
            <w:tcBorders>
              <w:bottom w:val="single" w:sz="8" w:color="0000FF"/>
            </w:tcBorders>
            <w:gridSpan w:val="17"/>
          </w:tcPr>
          <w:p>
            <w:pPr>
              <w:spacing w:after="0"/>
              <w:rPr>
                <w:rFonts w:ascii="Arial" w:cs="Arial" w:eastAsia="Arial" w:hAnsi="Arial"/>
                <w:sz w:val="18"/>
                <w:szCs w:val="18"/>
                <w:color w:val="0000FF"/>
                <w:w w:val="95"/>
              </w:rPr>
            </w:pPr>
            <w:hyperlink w:anchor="page3">
              <w:r>
                <w:rPr>
                  <w:rFonts w:ascii="Arial" w:cs="Arial" w:eastAsia="Arial" w:hAnsi="Arial"/>
                  <w:sz w:val="18"/>
                  <w:szCs w:val="18"/>
                  <w:color w:val="0000FF"/>
                  <w:w w:val="95"/>
                </w:rPr>
                <w:t>CONDENSED CONSOLIDATED STATEMENTS OF COMPREHENSIVE INCOME</w:t>
              </w:r>
            </w:hyperlink>
          </w:p>
        </w:tc>
        <w:tc>
          <w:tcPr>
            <w:tcW w:w="33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w:t>
              </w:r>
            </w:hyperlink>
          </w:p>
        </w:tc>
        <w:tc>
          <w:tcPr>
            <w:tcW w:w="18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w:t>
              </w:r>
            </w:hyperlink>
          </w:p>
        </w:tc>
        <w:tc>
          <w:tcPr>
            <w:tcW w:w="18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80" w:type="dxa"/>
            <w:vAlign w:val="bottom"/>
            <w:gridSpan w:val="2"/>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76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20"/>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MANAGEMENT’S DISCUSSION AND ANALYSIS OF FINANCIAL CONDITION AND RESULTS OF</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w:anchor="page20">
              <w:r>
                <w:rPr>
                  <w:rFonts w:ascii="Arial" w:cs="Arial" w:eastAsia="Arial" w:hAnsi="Arial"/>
                  <w:sz w:val="18"/>
                  <w:szCs w:val="18"/>
                  <w:color w:val="0000FF"/>
                  <w:w w:val="91"/>
                </w:rPr>
                <w:t>OPERATIONS</w:t>
              </w:r>
            </w:hyperlink>
          </w:p>
        </w:tc>
        <w:tc>
          <w:tcPr>
            <w:tcW w:w="6660" w:type="dxa"/>
            <w:vAlign w:val="bottom"/>
            <w:tcBorders>
              <w:top w:val="single" w:sz="8" w:color="0000FF"/>
            </w:tcBorders>
            <w:gridSpan w:val="16"/>
          </w:tcPr>
          <w:p>
            <w:pPr>
              <w:spacing w:after="0"/>
              <w:rPr>
                <w:sz w:val="17"/>
                <w:szCs w:val="17"/>
                <w:color w:val="auto"/>
              </w:rPr>
            </w:pPr>
          </w:p>
        </w:tc>
        <w:tc>
          <w:tcPr>
            <w:tcW w:w="21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196" w:lineRule="exact"/>
              <w:rPr>
                <w:rFonts w:ascii="Arial" w:cs="Arial" w:eastAsia="Arial" w:hAnsi="Arial"/>
                <w:sz w:val="18"/>
                <w:szCs w:val="18"/>
                <w:color w:val="0000FF"/>
                <w:w w:val="79"/>
              </w:rPr>
            </w:pPr>
            <w:hyperlink w:anchor="page20">
              <w:r>
                <w:rPr>
                  <w:rFonts w:ascii="Arial" w:cs="Arial" w:eastAsia="Arial" w:hAnsi="Arial"/>
                  <w:sz w:val="18"/>
                  <w:szCs w:val="18"/>
                  <w:color w:val="0000FF"/>
                  <w:w w:val="79"/>
                </w:rPr>
                <w:t>21</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140" w:type="dxa"/>
            <w:vAlign w:val="bottom"/>
            <w:tcBorders>
              <w:bottom w:val="single" w:sz="8" w:color="0000FF"/>
            </w:tcBorders>
            <w:gridSpan w:val="17"/>
          </w:tcPr>
          <w:p>
            <w:pPr>
              <w:spacing w:after="0"/>
              <w:rPr>
                <w:rFonts w:ascii="Arial" w:cs="Arial" w:eastAsia="Arial" w:hAnsi="Arial"/>
                <w:sz w:val="18"/>
                <w:szCs w:val="18"/>
                <w:color w:val="0000FF"/>
                <w:w w:val="98"/>
              </w:rPr>
            </w:pPr>
            <w:hyperlink w:anchor="page33">
              <w:r>
                <w:rPr>
                  <w:rFonts w:ascii="Arial" w:cs="Arial" w:eastAsia="Arial" w:hAnsi="Arial"/>
                  <w:sz w:val="18"/>
                  <w:szCs w:val="18"/>
                  <w:color w:val="0000FF"/>
                  <w:w w:val="98"/>
                </w:rPr>
                <w:t>QUANTITATIVE AND QUALITATIVE DISCLOSURES ABOUT MARKET RISK</w:t>
              </w:r>
            </w:hyperlink>
          </w:p>
        </w:tc>
        <w:tc>
          <w:tcPr>
            <w:tcW w:w="3780" w:type="dxa"/>
            <w:vAlign w:val="bottom"/>
            <w:gridSpan w:val="3"/>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600" w:type="dxa"/>
            <w:vAlign w:val="bottom"/>
            <w:tcBorders>
              <w:bottom w:val="single" w:sz="8" w:color="0000FF"/>
            </w:tcBorders>
            <w:gridSpan w:val="9"/>
          </w:tcPr>
          <w:p>
            <w:pPr>
              <w:spacing w:after="0"/>
              <w:rPr>
                <w:rFonts w:ascii="Arial" w:cs="Arial" w:eastAsia="Arial" w:hAnsi="Arial"/>
                <w:sz w:val="18"/>
                <w:szCs w:val="18"/>
                <w:color w:val="0000FF"/>
                <w:w w:val="93"/>
              </w:rPr>
            </w:pPr>
            <w:hyperlink w:anchor="page33">
              <w:r>
                <w:rPr>
                  <w:rFonts w:ascii="Arial" w:cs="Arial" w:eastAsia="Arial" w:hAnsi="Arial"/>
                  <w:sz w:val="18"/>
                  <w:szCs w:val="18"/>
                  <w:color w:val="0000FF"/>
                  <w:w w:val="93"/>
                </w:rPr>
                <w:t>CONTROLS AND PROCEDURES</w:t>
              </w:r>
            </w:hyperlink>
          </w:p>
        </w:tc>
        <w:tc>
          <w:tcPr>
            <w:tcW w:w="7320" w:type="dxa"/>
            <w:vAlign w:val="bottom"/>
            <w:gridSpan w:val="11"/>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8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33">
              <w:r>
                <w:rPr>
                  <w:rFonts w:ascii="Arial" w:cs="Arial" w:eastAsia="Arial" w:hAnsi="Arial"/>
                  <w:sz w:val="18"/>
                  <w:szCs w:val="18"/>
                  <w:color w:val="0000FF"/>
                  <w:w w:val="95"/>
                </w:rPr>
                <w:t>OTHER INFORMATION</w:t>
              </w:r>
            </w:hyperlink>
          </w:p>
        </w:tc>
        <w:tc>
          <w:tcPr>
            <w:tcW w:w="8040" w:type="dxa"/>
            <w:vAlign w:val="bottom"/>
            <w:gridSpan w:val="1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34</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20" w:type="dxa"/>
            <w:vAlign w:val="bottom"/>
            <w:gridSpan w:val="20"/>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LEGAL PROCEEDINGS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2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35">
              <w:r>
                <w:rPr>
                  <w:rFonts w:ascii="Arial" w:cs="Arial" w:eastAsia="Arial" w:hAnsi="Arial"/>
                  <w:sz w:val="18"/>
                  <w:szCs w:val="18"/>
                  <w:color w:val="0000FF"/>
                  <w:w w:val="91"/>
                </w:rPr>
                <w:t>RISK FACTORS</w:t>
              </w:r>
            </w:hyperlink>
          </w:p>
        </w:tc>
        <w:tc>
          <w:tcPr>
            <w:tcW w:w="620" w:type="dxa"/>
            <w:vAlign w:val="bottom"/>
            <w:tcBorders>
              <w:top w:val="single" w:sz="8" w:color="0000FF"/>
            </w:tcBorders>
          </w:tcPr>
          <w:p>
            <w:pPr>
              <w:spacing w:after="0"/>
              <w:rPr>
                <w:sz w:val="21"/>
                <w:szCs w:val="21"/>
                <w:color w:val="auto"/>
              </w:rPr>
            </w:pPr>
          </w:p>
        </w:tc>
        <w:tc>
          <w:tcPr>
            <w:tcW w:w="8060" w:type="dxa"/>
            <w:vAlign w:val="bottom"/>
            <w:gridSpan w:val="15"/>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20"/>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49</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318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3"/>
              </w:rPr>
            </w:pPr>
            <w:hyperlink w:anchor="page49">
              <w:r>
                <w:rPr>
                  <w:rFonts w:ascii="Arial" w:cs="Arial" w:eastAsia="Arial" w:hAnsi="Arial"/>
                  <w:sz w:val="18"/>
                  <w:szCs w:val="18"/>
                  <w:color w:val="0000FF"/>
                  <w:w w:val="93"/>
                </w:rPr>
                <w:t>DEFAULTS UPON SENIOR SECURITIES</w:t>
              </w:r>
            </w:hyperlink>
          </w:p>
        </w:tc>
        <w:tc>
          <w:tcPr>
            <w:tcW w:w="2880" w:type="dxa"/>
            <w:vAlign w:val="bottom"/>
            <w:tcBorders>
              <w:top w:val="single" w:sz="8" w:color="0000FF"/>
            </w:tcBorders>
            <w:gridSpan w:val="6"/>
          </w:tcPr>
          <w:p>
            <w:pPr>
              <w:spacing w:after="0"/>
              <w:rPr>
                <w:sz w:val="21"/>
                <w:szCs w:val="21"/>
                <w:color w:val="auto"/>
              </w:rPr>
            </w:pPr>
          </w:p>
        </w:tc>
        <w:tc>
          <w:tcPr>
            <w:tcW w:w="3860" w:type="dxa"/>
            <w:vAlign w:val="bottom"/>
            <w:gridSpan w:val="4"/>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9">
              <w:r>
                <w:rPr>
                  <w:rFonts w:ascii="Arial" w:cs="Arial" w:eastAsia="Arial" w:hAnsi="Arial"/>
                  <w:sz w:val="18"/>
                  <w:szCs w:val="18"/>
                  <w:color w:val="0000FF"/>
                  <w:w w:val="79"/>
                </w:rPr>
                <w:t>49</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440" w:type="dxa"/>
            <w:vAlign w:val="bottom"/>
            <w:tcBorders>
              <w:bottom w:val="single" w:sz="8" w:color="0000FF"/>
            </w:tcBorders>
            <w:gridSpan w:val="8"/>
          </w:tcPr>
          <w:p>
            <w:pPr>
              <w:spacing w:after="0"/>
              <w:rPr>
                <w:rFonts w:ascii="Arial" w:cs="Arial" w:eastAsia="Arial" w:hAnsi="Arial"/>
                <w:sz w:val="18"/>
                <w:szCs w:val="18"/>
                <w:color w:val="0000FF"/>
                <w:w w:val="95"/>
              </w:rPr>
            </w:pPr>
            <w:hyperlink w:anchor="page49">
              <w:r>
                <w:rPr>
                  <w:rFonts w:ascii="Arial" w:cs="Arial" w:eastAsia="Arial" w:hAnsi="Arial"/>
                  <w:sz w:val="18"/>
                  <w:szCs w:val="18"/>
                  <w:color w:val="0000FF"/>
                  <w:w w:val="95"/>
                </w:rPr>
                <w:t>MINE SAFETY DISCLOSURES</w:t>
              </w:r>
            </w:hyperlink>
          </w:p>
        </w:tc>
        <w:tc>
          <w:tcPr>
            <w:tcW w:w="7480" w:type="dxa"/>
            <w:vAlign w:val="bottom"/>
            <w:gridSpan w:val="1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9">
              <w:r>
                <w:rPr>
                  <w:rFonts w:ascii="Arial" w:cs="Arial" w:eastAsia="Arial" w:hAnsi="Arial"/>
                  <w:sz w:val="18"/>
                  <w:szCs w:val="18"/>
                  <w:color w:val="0000FF"/>
                  <w:w w:val="79"/>
                </w:rPr>
                <w:t>49</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8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49">
              <w:r>
                <w:rPr>
                  <w:rFonts w:ascii="Arial" w:cs="Arial" w:eastAsia="Arial" w:hAnsi="Arial"/>
                  <w:sz w:val="18"/>
                  <w:szCs w:val="18"/>
                  <w:color w:val="0000FF"/>
                  <w:w w:val="95"/>
                </w:rPr>
                <w:t>OTHER INFORMATION</w:t>
              </w:r>
            </w:hyperlink>
          </w:p>
        </w:tc>
        <w:tc>
          <w:tcPr>
            <w:tcW w:w="8040" w:type="dxa"/>
            <w:vAlign w:val="bottom"/>
            <w:gridSpan w:val="1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9">
              <w:r>
                <w:rPr>
                  <w:rFonts w:ascii="Arial" w:cs="Arial" w:eastAsia="Arial" w:hAnsi="Arial"/>
                  <w:sz w:val="18"/>
                  <w:szCs w:val="18"/>
                  <w:color w:val="0000FF"/>
                  <w:w w:val="79"/>
                </w:rPr>
                <w:t>49</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920" w:type="dxa"/>
            <w:vAlign w:val="bottom"/>
            <w:gridSpan w:val="20"/>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EXHIBITS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49">
              <w:r>
                <w:rPr>
                  <w:rFonts w:ascii="Arial" w:cs="Arial" w:eastAsia="Arial" w:hAnsi="Arial"/>
                  <w:sz w:val="18"/>
                  <w:szCs w:val="18"/>
                  <w:color w:val="0000FF"/>
                  <w:w w:val="79"/>
                </w:rPr>
                <w:t>49</w:t>
              </w:r>
            </w:hyperlink>
          </w:p>
        </w:tc>
      </w:tr>
      <w:tr>
        <w:trPr>
          <w:trHeight w:val="250"/>
        </w:trPr>
        <w:tc>
          <w:tcPr>
            <w:tcW w:w="1100" w:type="dxa"/>
            <w:vAlign w:val="bottom"/>
            <w:tcBorders>
              <w:bottom w:val="single" w:sz="8" w:color="0000FF"/>
            </w:tcBorders>
          </w:tcPr>
          <w:p>
            <w:pPr>
              <w:spacing w:after="0"/>
              <w:rPr>
                <w:rFonts w:ascii="Arial" w:cs="Arial" w:eastAsia="Arial" w:hAnsi="Arial"/>
                <w:sz w:val="18"/>
                <w:szCs w:val="18"/>
                <w:color w:val="0000FF"/>
                <w:w w:val="92"/>
              </w:rPr>
            </w:pPr>
            <w:hyperlink w:anchor="page50">
              <w:r>
                <w:rPr>
                  <w:rFonts w:ascii="Arial" w:cs="Arial" w:eastAsia="Arial" w:hAnsi="Arial"/>
                  <w:sz w:val="18"/>
                  <w:szCs w:val="18"/>
                  <w:color w:val="0000FF"/>
                  <w:w w:val="92"/>
                </w:rPr>
                <w:t>SIGNATURES</w:t>
              </w:r>
            </w:hyperlink>
          </w:p>
        </w:tc>
        <w:tc>
          <w:tcPr>
            <w:tcW w:w="160" w:type="dxa"/>
            <w:vAlign w:val="bottom"/>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51</w:t>
              </w:r>
            </w:hyperlink>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Invisalign, Align, the Invisalign logo, ClinCheck, Invisalign Assist, Invisalign Teen, Vivera, SmartForce, SmartTrack, SmartStage, Power Ridge, iTero, iTero Element, Orthocad, iCast and iRecord, among others, are trademarks and/or service marks of Align Technology, Inc. or one of its subsidiaries or affiliated companies and may be registered in the United States and/or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6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70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47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209,488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192,531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407,574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373,177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net revenues</w:t>
            </w:r>
          </w:p>
        </w:tc>
        <w:tc>
          <w:tcPr>
            <w:tcW w:w="3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50,854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47,055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97,850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90,450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158,634</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145,476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309,724</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282,727</w:t>
            </w:r>
          </w:p>
        </w:tc>
        <w:tc>
          <w:tcPr>
            <w:tcW w:w="0" w:type="dxa"/>
            <w:vAlign w:val="bottom"/>
          </w:tcPr>
          <w:p>
            <w:pPr>
              <w:spacing w:after="0"/>
              <w:rPr>
                <w:sz w:val="1"/>
                <w:szCs w:val="1"/>
                <w:color w:val="auto"/>
              </w:rPr>
            </w:pP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100,625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83,455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188,906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165,522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15,684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13,289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29,569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26,669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116,309</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96,744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218,475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192,191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42,325</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48,732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91,249</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90,536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(expenses), net</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before provision for income taxes</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42,499</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48,639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89,971</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91,044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11,149</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13,039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22,444</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31,350</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35,600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67,527</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68,044</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7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per share:</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in computing net income per share:</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80,257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81,027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80,358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81,073</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81,394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82,341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81,729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82,651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6"/>
                <w:szCs w:val="16"/>
                <w:color w:val="auto"/>
              </w:rPr>
            </w:pPr>
          </w:p>
        </w:tc>
      </w:tr>
      <w:tr>
        <w:trPr>
          <w:trHeight w:val="203"/>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6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7"/>
                <w:szCs w:val="17"/>
                <w:color w:val="auto"/>
              </w:rPr>
            </w:pPr>
          </w:p>
        </w:tc>
      </w:tr>
      <w:tr>
        <w:trPr>
          <w:trHeight w:val="80"/>
        </w:trPr>
        <w:tc>
          <w:tcPr>
            <w:tcW w:w="516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64"/>
        </w:trPr>
        <w:tc>
          <w:tcPr>
            <w:tcW w:w="516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12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w w:val="96"/>
              </w:rPr>
              <w:t>2014</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31,350</w:t>
            </w:r>
          </w:p>
        </w:tc>
        <w:tc>
          <w:tcPr>
            <w:tcW w:w="12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35,600</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67,527</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68,044</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change in cumulative translation adjustment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w:t>
            </w:r>
          </w:p>
        </w:tc>
      </w:tr>
      <w:tr>
        <w:trPr>
          <w:trHeight w:val="229"/>
        </w:trPr>
        <w:tc>
          <w:tcPr>
            <w:tcW w:w="5160" w:type="dxa"/>
            <w:vAlign w:val="bottom"/>
          </w:tcPr>
          <w:p>
            <w:pPr>
              <w:ind w:left="380"/>
              <w:spacing w:after="0"/>
              <w:rPr>
                <w:sz w:val="20"/>
                <w:szCs w:val="20"/>
                <w:color w:val="auto"/>
              </w:rPr>
            </w:pPr>
            <w:r>
              <w:rPr>
                <w:rFonts w:ascii="Arial" w:cs="Arial" w:eastAsia="Arial" w:hAnsi="Arial"/>
                <w:sz w:val="18"/>
                <w:szCs w:val="18"/>
                <w:color w:val="auto"/>
              </w:rPr>
              <w:t>Change in unrealized gains (losses) on available-for-sale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160" w:type="dxa"/>
            <w:vAlign w:val="bottom"/>
          </w:tcPr>
          <w:p>
            <w:pPr>
              <w:ind w:left="380"/>
              <w:spacing w:after="0"/>
              <w:rPr>
                <w:sz w:val="20"/>
                <w:szCs w:val="20"/>
                <w:color w:val="auto"/>
              </w:rPr>
            </w:pPr>
            <w:r>
              <w:rPr>
                <w:rFonts w:ascii="Arial" w:cs="Arial" w:eastAsia="Arial" w:hAnsi="Arial"/>
                <w:sz w:val="18"/>
                <w:szCs w:val="18"/>
                <w:color w:val="auto"/>
              </w:rPr>
              <w:t>securities, net of tax</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112</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31,269</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35,666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67,480</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68,258</w:t>
            </w: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86"/>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center"/>
              <w:ind w:right="172"/>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76"/>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161,753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199,871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Marketable securities, short-term</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276,789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254,787</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Accounts receivable, net of allowances for doubtful accounts and returns of $1,548 and $1,563,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146,466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129,751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16,415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15,928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19,770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29,972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37,053</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657,906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657,160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Marketable securities, long-term</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158,161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147,892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108,029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90,125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 and intangible assets, net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80,590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82,056</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7,665</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1,028,581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987,997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23,247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91,992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87,880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101,420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90,684</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222,925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201,811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payable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30,483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2,129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2,932</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258,780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235,226</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 6 and 7)</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Preferred stock, $0.0001 par value (5,000 shares authorized; none issued)</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Common stock, $0.0001 par value (200,000 shares authorized; 80,069 and 80,205 issued and outstanding,</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775,806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783,410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(30,507)</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769,801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752,771</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1,028,581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987,997</w:t>
            </w:r>
          </w:p>
        </w:tc>
      </w:tr>
      <w:tr>
        <w:trPr>
          <w:trHeight w:val="27"/>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6"/>
                <w:szCs w:val="16"/>
                <w:color w:val="auto"/>
              </w:rPr>
            </w:pPr>
          </w:p>
        </w:tc>
      </w:tr>
      <w:tr>
        <w:trPr>
          <w:trHeight w:val="276"/>
        </w:trPr>
        <w:tc>
          <w:tcPr>
            <w:tcW w:w="8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4"/>
                <w:szCs w:val="24"/>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67,527</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68,044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Deferred taxes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17,496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8,638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9,130</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24,474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19,438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 from share-based payment arrangements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(16,161)</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non-cash operating activities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6,162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5,095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(22,904)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(21,407)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(4,786)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Accrued and other long-term liabilities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8,259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1,343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revenues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12,733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6,705</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98,585</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87,723</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 of property, plant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(26,172)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(9,960)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(195,399)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(232,178)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maturities of marketable securities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148,685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92,005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sales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12,518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32,683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investing activities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(60,322)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(117,583)</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6,036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12,622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Common stock repurchases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(50,781)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(49,000)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forward contract related to accelerated share repurchase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Excess tax benefit from share-based payment arrangements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6,207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16,161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Employees’ taxes paid upon the vesting of restricted stock units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(15,389)</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(4,650)</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(74,927)</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(45,867)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(38,118)</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(75,482)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Cash and cash equivalents, beginning of the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199,871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242,953</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Cash and cash equivalents, end of the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161,753</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167,471</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by Align Technology, Inc. (“we”, “our”, or “Align”) in accordance with the rules and regulations of the Securities and Exchange Commission ("SEC") and contain all adjustments, including normal recurring adjustments, necessary to present fairly our results of operations for the three and six months ended June 30, 2015 and 2014, our comprehensive income for the three and six months ended June 30, 2015 and 2014, our financial position as of June 30, 2015 and our cash flows for the six months ended June 30, 2015 and 2014. The Condensed Consolidated Balance Sheet as of December 31, 2014 was derived from the December 31, 2014 audited financial statements. Net revenues by geographic area for prior period amounts in Note 12 have been reclassified to conform with the current period presentation. These reclassifications had no impact on our financial position for the three and six months ended June 30, 2015 and 2014.</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results of operations for the three and six months ended June 30, 2015 are not necessarily indicative of the results that may be expected for the year ending December 31, 2015 or any other future period, and we make no representations related thereto. The information included in this Quarterly Report on Form 10-Q should be read in conjunction with “Management’s Discussion and Analysis of Financial Condition and Results of Operations,” “Quantitative and Qualitative Disclosures About Market Risk” and the Consolidated Financial Statements and notes thereto included in Items 7, 7A and 8, respectively, in our Annual Report on Form 10-K for the year ended December 31, 2014.</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("GAAP") in the United States of America (“U.S.”) requires our management to make estimates and assumptions that affect the amounts reported in the consolidated financial statements and accompanying notes. Actual results could differ materially from those estimates. On an ongoing basis, we evaluate our estimates, including those related to the fair values of financial instruments, long-lived assets and goodwill, useful lives of intangible assets and property and equipment, revenue recognition, stock-based compensation, income taxes, and contingent liabilities, among others. We base our estimates on historical experience and on various other assumptions that are believed to be reasonable, the results of which form the basis for making judgments about the carrying values of assets and liabilities.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52525"/>
        </w:rPr>
        <w:t>In May 2014, the Financial Accounting Standards Board ("FASB") issued Accounting Standards Update ("ASU") 2014-09, “Revenue from Contracts with Customers,”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the retrospective or cumulative effect transition method. In July 2015, the FASB voted to defer the effective date for annual reporting periods beginning after December, 15, 2017 (including interim reporting periods within those periods) and permitted early adoption of the standard, but not before the original effective date of December 15, 2016. We expect the updated standard to become effective for us in the first quarter of fiscal 2018. We have not yet selected a transition method and we are currently evaluating the effect that the updated standard will have on our consolidated financial statements and related disclosures.</w:t>
      </w:r>
    </w:p>
    <w:p>
      <w:pPr>
        <w:spacing w:after="0" w:line="1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April 2015, the FASB issued ASU No. 2015-05, "Customer's Accounting for Fees Paid in a Cloud Computing Arrangement." providing guidance to entities about whether a cloud computing arrangement includes a software license. If a cloud computing arrangement includes a software license, the entity should account for the software license element of the arrangement consistent with the acquisition of other software licenses. If a cloud computing arrangement does not include a software license, the entity should account for the arrangement as a service contract. The new guidance does not change the accounting for an entity's accounting for service contracts. The updated standard becomes effective for interim and annual reporting periods beginning after December 15, 2015. We are currently evaluating the effect </w:t>
      </w:r>
      <w:r>
        <w:rPr>
          <w:rFonts w:ascii="Arial" w:cs="Arial" w:eastAsia="Arial" w:hAnsi="Arial"/>
          <w:sz w:val="18"/>
          <w:szCs w:val="18"/>
          <w:color w:val="252525"/>
        </w:rPr>
        <w:t>that the updated standard will have on our consolidated financial statements and related</w:t>
      </w:r>
      <w:r>
        <w:rPr>
          <w:rFonts w:ascii="Arial" w:cs="Arial" w:eastAsia="Arial" w:hAnsi="Arial"/>
          <w:sz w:val="18"/>
          <w:szCs w:val="18"/>
          <w:color w:val="auto"/>
        </w:rPr>
        <w:t xml:space="preserve"> </w:t>
      </w:r>
      <w:r>
        <w:rPr>
          <w:rFonts w:ascii="Arial" w:cs="Arial" w:eastAsia="Arial" w:hAnsi="Arial"/>
          <w:sz w:val="18"/>
          <w:szCs w:val="18"/>
          <w:color w:val="252525"/>
        </w:rPr>
        <w:t>disclosures.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Marketable Securities and Fair Value Measurements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June 30, 2015 and December 31, 2014, the estimated fair value of our short-term and long-term marketable securities, classified as available for sale, are as follows (in thousands):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Short-term</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080" w:type="dxa"/>
            <w:vAlign w:val="bottom"/>
          </w:tcPr>
          <w:p>
            <w:pPr>
              <w:jc w:val="center"/>
              <w:ind w:left="321"/>
              <w:spacing w:after="0"/>
              <w:rPr>
                <w:sz w:val="20"/>
                <w:szCs w:val="20"/>
                <w:color w:val="auto"/>
              </w:rPr>
            </w:pPr>
            <w:r>
              <w:rPr>
                <w:rFonts w:ascii="Arial" w:cs="Arial" w:eastAsia="Arial" w:hAnsi="Arial"/>
                <w:sz w:val="14"/>
                <w:szCs w:val="14"/>
                <w:b w:val="1"/>
                <w:bCs w:val="1"/>
                <w:color w:val="auto"/>
                <w:w w:val="88"/>
              </w:rPr>
              <w:t>Gross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June 30, 2015</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80" w:type="dxa"/>
            <w:vAlign w:val="bottom"/>
          </w:tcPr>
          <w:p>
            <w:pPr>
              <w:jc w:val="center"/>
              <w:ind w:left="321"/>
              <w:spacing w:after="0" w:line="149" w:lineRule="exact"/>
              <w:rPr>
                <w:sz w:val="20"/>
                <w:szCs w:val="20"/>
                <w:color w:val="auto"/>
              </w:rPr>
            </w:pPr>
            <w:r>
              <w:rPr>
                <w:rFonts w:ascii="Arial" w:cs="Arial" w:eastAsia="Arial" w:hAnsi="Arial"/>
                <w:sz w:val="14"/>
                <w:szCs w:val="14"/>
                <w:b w:val="1"/>
                <w:bCs w:val="1"/>
                <w:color w:val="auto"/>
                <w:w w:val="95"/>
              </w:rPr>
              <w:t>Unrealized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516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1080" w:type="dxa"/>
            <w:vAlign w:val="bottom"/>
          </w:tcPr>
          <w:p>
            <w:pPr>
              <w:jc w:val="center"/>
              <w:ind w:left="321"/>
              <w:spacing w:after="0" w:line="158" w:lineRule="exact"/>
              <w:rPr>
                <w:sz w:val="20"/>
                <w:szCs w:val="20"/>
                <w:color w:val="auto"/>
              </w:rPr>
            </w:pPr>
            <w:r>
              <w:rPr>
                <w:rFonts w:ascii="Arial" w:cs="Arial" w:eastAsia="Arial" w:hAnsi="Arial"/>
                <w:sz w:val="14"/>
                <w:szCs w:val="14"/>
                <w:b w:val="1"/>
                <w:bCs w:val="1"/>
                <w:color w:val="auto"/>
                <w:w w:val="92"/>
              </w:rPr>
              <w:t>Gains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23,113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23,113</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154,667</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154,583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Municipal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10,237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10,238</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62,233</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62,249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government treasury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23,592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23,606</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Agency discount notes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2,999</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Marketable Securities, Short-Term</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276,841</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276,789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20" w:type="dxa"/>
            <w:vAlign w:val="bottom"/>
            <w:gridSpan w:val="3"/>
            <w:vMerge w:val="restart"/>
          </w:tcPr>
          <w:p>
            <w:pPr>
              <w:ind w:left="220"/>
              <w:spacing w:after="0"/>
              <w:rPr>
                <w:sz w:val="20"/>
                <w:szCs w:val="20"/>
                <w:color w:val="auto"/>
              </w:rPr>
            </w:pPr>
            <w:r>
              <w:rPr>
                <w:rFonts w:ascii="Arial" w:cs="Arial" w:eastAsia="Arial" w:hAnsi="Arial"/>
                <w:sz w:val="18"/>
                <w:szCs w:val="18"/>
                <w:b w:val="1"/>
                <w:bCs w:val="1"/>
                <w:i w:val="1"/>
                <w:iCs w:val="1"/>
                <w:color w:val="auto"/>
              </w:rPr>
              <w:t>Long-term</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51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080" w:type="dxa"/>
            <w:vAlign w:val="bottom"/>
          </w:tcPr>
          <w:p>
            <w:pPr>
              <w:jc w:val="center"/>
              <w:ind w:left="321"/>
              <w:spacing w:after="0"/>
              <w:rPr>
                <w:sz w:val="20"/>
                <w:szCs w:val="20"/>
                <w:color w:val="auto"/>
              </w:rPr>
            </w:pPr>
            <w:r>
              <w:rPr>
                <w:rFonts w:ascii="Arial" w:cs="Arial" w:eastAsia="Arial" w:hAnsi="Arial"/>
                <w:sz w:val="14"/>
                <w:szCs w:val="14"/>
                <w:b w:val="1"/>
                <w:bCs w:val="1"/>
                <w:color w:val="auto"/>
                <w:w w:val="88"/>
              </w:rPr>
              <w:t>Gross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June 30, 2015</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80" w:type="dxa"/>
            <w:vAlign w:val="bottom"/>
          </w:tcPr>
          <w:p>
            <w:pPr>
              <w:jc w:val="center"/>
              <w:ind w:left="321"/>
              <w:spacing w:after="0" w:line="149" w:lineRule="exact"/>
              <w:rPr>
                <w:sz w:val="20"/>
                <w:szCs w:val="20"/>
                <w:color w:val="auto"/>
              </w:rPr>
            </w:pPr>
            <w:r>
              <w:rPr>
                <w:rFonts w:ascii="Arial" w:cs="Arial" w:eastAsia="Arial" w:hAnsi="Arial"/>
                <w:sz w:val="14"/>
                <w:szCs w:val="14"/>
                <w:b w:val="1"/>
                <w:bCs w:val="1"/>
                <w:color w:val="auto"/>
                <w:w w:val="95"/>
              </w:rPr>
              <w:t>Unrealized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0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516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1080" w:type="dxa"/>
            <w:vAlign w:val="bottom"/>
          </w:tcPr>
          <w:p>
            <w:pPr>
              <w:jc w:val="center"/>
              <w:ind w:left="321"/>
              <w:spacing w:after="0" w:line="158" w:lineRule="exact"/>
              <w:rPr>
                <w:sz w:val="20"/>
                <w:szCs w:val="20"/>
                <w:color w:val="auto"/>
              </w:rPr>
            </w:pPr>
            <w:r>
              <w:rPr>
                <w:rFonts w:ascii="Arial" w:cs="Arial" w:eastAsia="Arial" w:hAnsi="Arial"/>
                <w:sz w:val="14"/>
                <w:szCs w:val="14"/>
                <w:b w:val="1"/>
                <w:bCs w:val="1"/>
                <w:color w:val="auto"/>
                <w:w w:val="92"/>
              </w:rPr>
              <w:t>Gains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39,489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39,523</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65,988</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65,911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U.S. government treasury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35,746</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35,811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Municipal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7,161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7,159</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9,240</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9,240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Marketable Securities, Long-Term</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158,141</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158,161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20" w:type="dxa"/>
            <w:vAlign w:val="bottom"/>
            <w:gridSpan w:val="3"/>
            <w:vMerge w:val="restart"/>
          </w:tcPr>
          <w:p>
            <w:pPr>
              <w:ind w:left="220"/>
              <w:spacing w:after="0"/>
              <w:rPr>
                <w:sz w:val="20"/>
                <w:szCs w:val="20"/>
                <w:color w:val="auto"/>
              </w:rPr>
            </w:pPr>
            <w:r>
              <w:rPr>
                <w:rFonts w:ascii="Arial" w:cs="Arial" w:eastAsia="Arial" w:hAnsi="Arial"/>
                <w:sz w:val="18"/>
                <w:szCs w:val="18"/>
                <w:b w:val="1"/>
                <w:bCs w:val="1"/>
                <w:i w:val="1"/>
                <w:iCs w:val="1"/>
                <w:color w:val="auto"/>
              </w:rPr>
              <w:t>Short-term</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51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080" w:type="dxa"/>
            <w:vAlign w:val="bottom"/>
          </w:tcPr>
          <w:p>
            <w:pPr>
              <w:jc w:val="center"/>
              <w:ind w:left="321"/>
              <w:spacing w:after="0"/>
              <w:rPr>
                <w:sz w:val="20"/>
                <w:szCs w:val="20"/>
                <w:color w:val="auto"/>
              </w:rPr>
            </w:pPr>
            <w:r>
              <w:rPr>
                <w:rFonts w:ascii="Arial" w:cs="Arial" w:eastAsia="Arial" w:hAnsi="Arial"/>
                <w:sz w:val="14"/>
                <w:szCs w:val="14"/>
                <w:b w:val="1"/>
                <w:bCs w:val="1"/>
                <w:color w:val="auto"/>
                <w:w w:val="88"/>
              </w:rPr>
              <w:t>Gross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December 31, 2014</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80" w:type="dxa"/>
            <w:vAlign w:val="bottom"/>
          </w:tcPr>
          <w:p>
            <w:pPr>
              <w:jc w:val="center"/>
              <w:ind w:left="321"/>
              <w:spacing w:after="0" w:line="149" w:lineRule="exact"/>
              <w:rPr>
                <w:sz w:val="20"/>
                <w:szCs w:val="20"/>
                <w:color w:val="auto"/>
              </w:rPr>
            </w:pPr>
            <w:r>
              <w:rPr>
                <w:rFonts w:ascii="Arial" w:cs="Arial" w:eastAsia="Arial" w:hAnsi="Arial"/>
                <w:sz w:val="14"/>
                <w:szCs w:val="14"/>
                <w:b w:val="1"/>
                <w:bCs w:val="1"/>
                <w:color w:val="auto"/>
                <w:w w:val="95"/>
              </w:rPr>
              <w:t>Unrealized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516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1080" w:type="dxa"/>
            <w:vAlign w:val="bottom"/>
          </w:tcPr>
          <w:p>
            <w:pPr>
              <w:jc w:val="center"/>
              <w:ind w:left="321"/>
              <w:spacing w:after="0" w:line="158" w:lineRule="exact"/>
              <w:rPr>
                <w:sz w:val="20"/>
                <w:szCs w:val="20"/>
                <w:color w:val="auto"/>
              </w:rPr>
            </w:pPr>
            <w:r>
              <w:rPr>
                <w:rFonts w:ascii="Arial" w:cs="Arial" w:eastAsia="Arial" w:hAnsi="Arial"/>
                <w:sz w:val="14"/>
                <w:szCs w:val="14"/>
                <w:b w:val="1"/>
                <w:bCs w:val="1"/>
                <w:color w:val="auto"/>
                <w:w w:val="92"/>
              </w:rPr>
              <w:t>Gains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33,998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33,998</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152,055</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151,966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Municipal securities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9,147</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9,160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41,574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41,587</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U.S. government treasury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15,770</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15,777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Certificates of Deposits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1,398</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57"/>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Total Marketable Securities, Short-Term</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254,843</w:t>
            </w:r>
          </w:p>
        </w:tc>
        <w:tc>
          <w:tcPr>
            <w:tcW w:w="12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81"/>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254,787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81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Long-term</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140" w:type="dxa"/>
            <w:vAlign w:val="bottom"/>
          </w:tcPr>
          <w:p>
            <w:pPr>
              <w:jc w:val="center"/>
              <w:ind w:left="261"/>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2014</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1140" w:type="dxa"/>
            <w:vAlign w:val="bottom"/>
          </w:tcPr>
          <w:p>
            <w:pPr>
              <w:jc w:val="center"/>
              <w:ind w:left="261"/>
              <w:spacing w:after="0" w:line="158" w:lineRule="exact"/>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48,233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48,217</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57,195</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57,089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U.S. government treasury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20,814</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20,813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Municipal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9,552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9,551</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11,713</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11,701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Marketable Securities, Long-Term</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148,030</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147,892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87"/>
        <w:spacing w:after="0" w:line="276" w:lineRule="auto"/>
        <w:rPr>
          <w:sz w:val="20"/>
          <w:szCs w:val="20"/>
          <w:color w:val="auto"/>
        </w:rPr>
      </w:pPr>
      <w:r>
        <w:rPr>
          <w:rFonts w:ascii="Arial" w:cs="Arial" w:eastAsia="Arial" w:hAnsi="Arial"/>
          <w:sz w:val="17"/>
          <w:szCs w:val="17"/>
          <w:color w:val="auto"/>
        </w:rPr>
        <w:t>For the three and six months ended June 30, 2015 and 2014, realized gains were immaterial. Unrealized gains and losses for our available for sale securities as of June 30, 2015 and December 31, 2014 were also immaterial. Cash and cash equivalents are not included in the table above as the gross unrealized gains and losses are not material. We have no material short-term or long-term investments that have been in a continuous unrealized loss position for greater than twelve months as of June 30, 2015 and December 31, 2014. Amounts reclassified to earnings from accumulated other comprehensive income related to unrealized gain or losses were immaterial for the three and six months ended June 30, 2015 and 2014.</w:t>
      </w:r>
    </w:p>
    <w:p>
      <w:pPr>
        <w:spacing w:after="0" w:line="17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fixed-income securities investment portfolio consists of corporate bonds, certificates of deposits, U.S. dollar dominated foreign corporate bonds, commercial paper, municipal securities, U.S. government agency bonds, U.S. government treasury bonds, agency discount notes and asset-backed securities that have a maximum maturity of 27 months. The securities that we invest in are generally deemed to be low risk based on their credit ratings from the major rating agencies. The longer the duration of these securities, the more susceptible they are to changes in market interest rates and bond yields. As interest rates increase, those securities purchased at a lower yield show a mark-to-market unrealized loss. The unrealized losses are due primarily to changes in credit spreads and interest rates. We expect to realize the full value of all these investments upon maturity or sale. The weighted average remaining duration of these securities was approximately 10 and 11 months as of June 30, 2015 and December 31, 2014, respectively.</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the carrying value approximates the fair value for our short-term and long-term marketable securities shown in the tables above, the following table summarizes the fair value of our short-term and long-term marketable securities classified by maturity as of June 30, 2015 and December 31, 2014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2015</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December 31, 2014</w:t>
            </w:r>
          </w:p>
        </w:tc>
      </w:tr>
      <w:tr>
        <w:trPr>
          <w:trHeight w:val="250"/>
        </w:trPr>
        <w:tc>
          <w:tcPr>
            <w:tcW w:w="8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276,789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254,787</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Due in greater than one year</w:t>
            </w: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158,161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147,892</w:t>
            </w:r>
          </w:p>
        </w:tc>
      </w:tr>
      <w:tr>
        <w:trPr>
          <w:trHeight w:val="27"/>
        </w:trPr>
        <w:tc>
          <w:tcPr>
            <w:tcW w:w="8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 for sale short-term and long-term marketable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434,950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402,679</w:t>
            </w:r>
          </w:p>
        </w:tc>
      </w:tr>
      <w:tr>
        <w:trPr>
          <w:trHeight w:val="20"/>
        </w:trPr>
        <w:tc>
          <w:tcPr>
            <w:tcW w:w="8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measure the fair value of our cash equivalents and marketable securities as the price that would be received from selling an asset or paid to transfer a liability in an orderly transaction between market participants at the measurement date. We use the GAAP fair value hierarchy that prioritizes the inputs to valuation techniques used to measure fair value. This hierarchy requires an entity to maximize the use of observable inputs and minimize the use of unobservable inputs when measuring fair value. The three levels of inputs that may be used to measure fair value: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(unadjusted) prices in active markets for identical assets or liabilities.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Level 1 assets consist of money market funds and U.S. government treasury bonds. We did not hold any Level 1 liabilities as of June 30, 2015 or December 31, 2014.</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or liabilities in active markets,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or similar assets or liabilities in markets that are not active, or other inputs that are observable or can be corroborated by observable market data for substantially the full term of the asset or liability.</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Level 2 assets consist of commercial paper, corporate bonds, certificates of deposits, U.S. government agency bonds, asset-backed securities, municipal securities, U.S. dollar dominated foreign corporate bonds, agency discount notes and our Israeli</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funds that are mainly invested in insurance policies. We obtain fair values for Level 2 investments from our asset manager for each of our portfolios. Our custody bank and asset managers independently use professional pricing services to gather pricing data which may include quoted market prices for identical or comparable financial instruments, or inputs other than quoted prices that are observable either directly or indirectly, and we are ultimately responsible for these underlying estimates.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hold any Level 2 liabilities as of June 30, 2015 or December 31, 2014.</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Unobservable inputs to the valuation methodology that are supported by little or no market activity and that are significant to the measurement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fair value of the assets or liabilities. Level 3 assets and liabilities include those whose fair value measurements are determined using pricing models, discounted cash flow methodologies or similar valuation techniques, as well as significant management judgment or estimation.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hold any Level 3 assets or liabilities as of June 30, 2015 or December 31, 2014.</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Recurring Fair Value Measurements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summarize our financial assets measured at fair value on a recurring basis as of June 30, 2015 and December 31, 2014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Quoted Prices in</w:t>
            </w:r>
          </w:p>
        </w:tc>
        <w:tc>
          <w:tcPr>
            <w:tcW w:w="180" w:type="dxa"/>
            <w:vAlign w:val="bottom"/>
          </w:tcPr>
          <w:p>
            <w:pPr>
              <w:spacing w:after="0"/>
              <w:rPr>
                <w:sz w:val="14"/>
                <w:szCs w:val="14"/>
                <w:color w:val="auto"/>
              </w:rPr>
            </w:pPr>
          </w:p>
        </w:tc>
        <w:tc>
          <w:tcPr>
            <w:tcW w:w="152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Balance as of</w:t>
            </w: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Active Markets for</w:t>
            </w:r>
          </w:p>
        </w:tc>
        <w:tc>
          <w:tcPr>
            <w:tcW w:w="1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0" w:type="dxa"/>
            <w:vAlign w:val="bottom"/>
          </w:tcPr>
          <w:p>
            <w:pPr>
              <w:spacing w:after="0"/>
              <w:rPr>
                <w:sz w:val="1"/>
                <w:szCs w:val="1"/>
                <w:color w:val="auto"/>
              </w:rPr>
            </w:pPr>
          </w:p>
        </w:tc>
      </w:tr>
      <w:tr>
        <w:trPr>
          <w:trHeight w:val="192"/>
        </w:trPr>
        <w:tc>
          <w:tcPr>
            <w:tcW w:w="4680" w:type="dxa"/>
            <w:vAlign w:val="bottom"/>
            <w:vMerge w:val="continue"/>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2015</w:t>
            </w: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520" w:type="dxa"/>
            <w:vAlign w:val="bottom"/>
          </w:tcPr>
          <w:p>
            <w:pPr>
              <w:jc w:val="center"/>
              <w:ind w:right="93"/>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50"/>
        </w:trPr>
        <w:tc>
          <w:tcPr>
            <w:tcW w:w="46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16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69,376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69,376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32,644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32,644</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23,113</w:t>
            </w: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Corporate bonds</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154,583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154,583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10,238</w:t>
            </w: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U.S. government agency bonds</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62,249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62,249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treasury bonds</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23,606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Agency discount notes</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U.S. government agency bonds</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39,523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39,523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bonds</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65,911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65,911</w:t>
            </w: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U.S. dollar dominated foreign corporate bonds</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treasury bonds</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35,811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35,811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Municipal securities</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7,159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7,159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Asset-backed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9,240</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Israeli funds</w:t>
            </w:r>
          </w:p>
        </w:tc>
        <w:tc>
          <w:tcPr>
            <w:tcW w:w="13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237"/>
        </w:trPr>
        <w:tc>
          <w:tcPr>
            <w:tcW w:w="46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539,366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128,793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410,573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380" w:type="dxa"/>
            <w:vAlign w:val="bottom"/>
            <w:vMerge w:val="restart"/>
          </w:tcPr>
          <w:p>
            <w:pPr>
              <w:jc w:val="right"/>
              <w:ind w:right="170"/>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68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Quoted Prices 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restart"/>
          </w:tcPr>
          <w:p>
            <w:pPr>
              <w:jc w:val="right"/>
              <w:ind w:right="232"/>
              <w:spacing w:after="0"/>
              <w:rPr>
                <w:sz w:val="20"/>
                <w:szCs w:val="20"/>
                <w:color w:val="auto"/>
              </w:rPr>
            </w:pPr>
            <w:r>
              <w:rPr>
                <w:rFonts w:ascii="Arial" w:cs="Arial" w:eastAsia="Arial" w:hAnsi="Arial"/>
                <w:sz w:val="14"/>
                <w:szCs w:val="14"/>
                <w:b w:val="1"/>
                <w:bCs w:val="1"/>
                <w:color w:val="auto"/>
              </w:rPr>
              <w:t>Significant Other</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Balance as of</w:t>
            </w:r>
          </w:p>
        </w:tc>
        <w:tc>
          <w:tcPr>
            <w:tcW w:w="200" w:type="dxa"/>
            <w:vAlign w:val="bottom"/>
          </w:tcPr>
          <w:p>
            <w:pPr>
              <w:spacing w:after="0"/>
              <w:rPr>
                <w:sz w:val="12"/>
                <w:szCs w:val="12"/>
                <w:color w:val="auto"/>
              </w:rPr>
            </w:pPr>
          </w:p>
        </w:tc>
        <w:tc>
          <w:tcPr>
            <w:tcW w:w="16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Active Markets for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Observable Inputs</w:t>
            </w:r>
          </w:p>
        </w:tc>
        <w:tc>
          <w:tcPr>
            <w:tcW w:w="0" w:type="dxa"/>
            <w:vAlign w:val="bottom"/>
          </w:tcPr>
          <w:p>
            <w:pPr>
              <w:spacing w:after="0"/>
              <w:rPr>
                <w:sz w:val="1"/>
                <w:szCs w:val="1"/>
                <w:color w:val="auto"/>
              </w:rPr>
            </w:pPr>
          </w:p>
        </w:tc>
      </w:tr>
      <w:tr>
        <w:trPr>
          <w:trHeight w:val="192"/>
        </w:trPr>
        <w:tc>
          <w:tcPr>
            <w:tcW w:w="6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2014</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492"/>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50"/>
        </w:trPr>
        <w:tc>
          <w:tcPr>
            <w:tcW w:w="60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80,786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80,786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21,997</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33,998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33,998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151,966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151,966</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U.S. dollar denominated foreign corporate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9,160</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U.S. government agency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41,587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41,587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treasury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15,777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Certificates of Deposits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U.S. government agency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48,217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48,217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57,089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57,089</w:t>
            </w:r>
          </w:p>
        </w:tc>
        <w:tc>
          <w:tcPr>
            <w:tcW w:w="0" w:type="dxa"/>
            <w:vAlign w:val="bottom"/>
          </w:tcPr>
          <w:p>
            <w:pPr>
              <w:spacing w:after="0"/>
              <w:rPr>
                <w:sz w:val="1"/>
                <w:szCs w:val="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U.S. dollar denominated foreign corporate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U.S. government treasury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Municipal securities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9,551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9,551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11,701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Israeli funds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2,307</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509,514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117,376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392,138</w:t>
            </w:r>
          </w:p>
        </w:tc>
        <w:tc>
          <w:tcPr>
            <w:tcW w:w="0" w:type="dxa"/>
            <w:vAlign w:val="bottom"/>
          </w:tcPr>
          <w:p>
            <w:pPr>
              <w:spacing w:after="0"/>
              <w:rPr>
                <w:sz w:val="1"/>
                <w:szCs w:val="1"/>
                <w:color w:val="auto"/>
              </w:rPr>
            </w:pPr>
          </w:p>
        </w:tc>
      </w:tr>
      <w:tr>
        <w:trPr>
          <w:trHeight w:val="27"/>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Note 3. Balance Sheet Components</w:t>
            </w: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6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Inventories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060" w:type="dxa"/>
            <w:vAlign w:val="bottom"/>
          </w:tcPr>
          <w:p>
            <w:pPr>
              <w:ind w:left="340"/>
              <w:spacing w:after="0"/>
              <w:rPr>
                <w:sz w:val="20"/>
                <w:szCs w:val="20"/>
                <w:color w:val="auto"/>
              </w:rPr>
            </w:pPr>
            <w:r>
              <w:rPr>
                <w:rFonts w:ascii="Arial" w:cs="Arial" w:eastAsia="Arial" w:hAnsi="Arial"/>
                <w:sz w:val="18"/>
                <w:szCs w:val="18"/>
                <w:color w:val="auto"/>
              </w:rPr>
              <w:t>Inventories consist of the following (in thousands):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7,352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8,143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5,243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2,970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4,815</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16,415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15,928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Work in process includes costs to produce our clear aligner and intra-oral products. Finished goods primarily represent our intra-oral scanners and ancillary products that support our clear aligner products.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and benefits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48,448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44,610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sales rebates</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12,647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11,110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and marketing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5,979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sales tax and value added tax</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5,387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5,456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5,736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warranty</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2,986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3,148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professional fees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income taxes</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1,939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2,027</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8,189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7,320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Accrued Liabilities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91,992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87,880</w:t>
            </w:r>
          </w:p>
        </w:tc>
      </w:tr>
      <w:tr>
        <w:trPr>
          <w:trHeight w:val="27"/>
        </w:trPr>
        <w:tc>
          <w:tcPr>
            <w:tcW w:w="8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Warranty</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regularly review the accrued warranty balances and update these balances based on historical warranty trends. Actual warranty costs incurred have not materially differed from those accrued; however, future actual warranty costs could differ from the estimated amounts.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warrant our Invisalign products against material defects until the Invisalign case is complete. We accrue for warranty costs in cost of net revenues upon shipment of products. The amount of accrued estimated warranty costs is primarily based on historical experience as to product failures as well as current information on replacement costs.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Scanners</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warrant our scanners for a period of one year from the date of training and installation. We accrue for these warranty costs which includes materials and labor based on estimated historical repair costs. Extended service packages may be purchased for additional fees.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Warranty accrual as of June 30, 2015 and 2014 consists of the following activity (in thousands):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Charged to cost of net revenues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1,195</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Actual warranty expenditures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(1,138)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2,986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3,252</w:t>
            </w:r>
          </w:p>
        </w:tc>
      </w:tr>
      <w:tr>
        <w:trPr>
          <w:trHeight w:val="27"/>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Long-lived Assets</w:t>
      </w:r>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29, 2011, we acquired Cadent Holdings, Inc. (“Cadent”). In connection with the acquisition, we allocated approximately $58.0 million of goodwill to our Clear Aligner reporting unit based on the expected relative synergies generated by the acquisition. On April 30, 2013, we acquired ICA Holdings Pty Limited in a purchase business combination of which $3.6 million was recorded to goodwill, which was attributed to our Clear Aligner reporting unit.</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 in the carrying value of goodwill for the six months ended June 30, 2015, all attributable to our Clear Aligner reporting unit, is as follows (in thousands):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Clear Aligner</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61,369</w:t>
            </w:r>
          </w:p>
        </w:tc>
      </w:tr>
      <w:tr>
        <w:trPr>
          <w:trHeight w:val="270"/>
        </w:trPr>
        <w:tc>
          <w:tcPr>
            <w:tcW w:w="91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p>
        </w:tc>
        <w:tc>
          <w:tcPr>
            <w:tcW w:w="42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269"/>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2015</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61,203</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80" w:hanging="72"/>
        <w:spacing w:after="0"/>
        <w:tabs>
          <w:tab w:leader="none" w:pos="80" w:val="left"/>
        </w:tabs>
        <w:numPr>
          <w:ilvl w:val="0"/>
          <w:numId w:val="3"/>
        </w:numPr>
        <w:rPr>
          <w:rFonts w:ascii="Arial" w:cs="Arial" w:eastAsia="Arial" w:hAnsi="Arial"/>
          <w:sz w:val="19"/>
          <w:szCs w:val="19"/>
          <w:color w:val="auto"/>
          <w:vertAlign w:val="superscript"/>
        </w:rPr>
      </w:pPr>
      <w:r>
        <w:rPr>
          <w:rFonts w:ascii="Arial" w:cs="Arial" w:eastAsia="Arial" w:hAnsi="Arial"/>
          <w:sz w:val="15"/>
          <w:szCs w:val="15"/>
          <w:color w:val="auto"/>
        </w:rPr>
        <w:t>The adjustments to goodwill during the six months ended June 30, 2015 were due to foreign currency translation.</w:t>
      </w:r>
    </w:p>
    <w:p>
      <w:pPr>
        <w:spacing w:after="0" w:line="1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fourth quarter of fiscal 2014, we performed the annual goodwill impairment testing and found no impairment events as the fair value of our Clear Aligner reporting unit was significantly in excess of the carrying value.</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Acquired intangible assets, arising either as a direct result from the Cadent acquisition or individually acquired, are being amortized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18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Gross Carrying Amount as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Average</w:t>
            </w:r>
          </w:p>
        </w:tc>
        <w:tc>
          <w:tcPr>
            <w:tcW w:w="18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rPr>
              <w:t>of</w:t>
            </w: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9"/>
              </w:rPr>
              <w:t>Value as of</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Period (in years)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June 30, 2015</w:t>
            </w:r>
          </w:p>
        </w:tc>
        <w:tc>
          <w:tcPr>
            <w:tcW w:w="100" w:type="dxa"/>
            <w:vAlign w:val="bottom"/>
          </w:tcPr>
          <w:p>
            <w:pPr>
              <w:spacing w:after="0"/>
              <w:rPr>
                <w:sz w:val="16"/>
                <w:szCs w:val="16"/>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340" w:type="dxa"/>
            <w:vAlign w:val="bottom"/>
            <w:gridSpan w:val="4"/>
          </w:tcPr>
          <w:p>
            <w:pPr>
              <w:ind w:left="20"/>
              <w:spacing w:after="0"/>
              <w:rPr>
                <w:sz w:val="20"/>
                <w:szCs w:val="20"/>
                <w:color w:val="auto"/>
              </w:rPr>
            </w:pPr>
            <w:r>
              <w:rPr>
                <w:rFonts w:ascii="Arial" w:cs="Arial" w:eastAsia="Arial" w:hAnsi="Arial"/>
                <w:sz w:val="14"/>
                <w:szCs w:val="14"/>
                <w:b w:val="1"/>
                <w:bCs w:val="1"/>
                <w:color w:val="auto"/>
              </w:rPr>
              <w:t>Impairment Loss</w:t>
            </w:r>
          </w:p>
        </w:tc>
        <w:tc>
          <w:tcPr>
            <w:tcW w:w="180" w:type="dxa"/>
            <w:vAlign w:val="bottom"/>
          </w:tcPr>
          <w:p>
            <w:pPr>
              <w:spacing w:after="0"/>
              <w:rPr>
                <w:sz w:val="16"/>
                <w:szCs w:val="16"/>
                <w:color w:val="auto"/>
              </w:rPr>
            </w:pPr>
          </w:p>
        </w:tc>
        <w:tc>
          <w:tcPr>
            <w:tcW w:w="142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June 30, 2015</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12,600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4,976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33,500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12,722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53,485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19,387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000" w:type="dxa"/>
            <w:vAlign w:val="bottom"/>
          </w:tcPr>
          <w:p>
            <w:pPr>
              <w:spacing w:after="0"/>
              <w:rPr>
                <w:sz w:val="24"/>
                <w:szCs w:val="24"/>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Gross Carrying</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24"/>
                <w:szCs w:val="24"/>
                <w:color w:val="auto"/>
              </w:rPr>
            </w:pPr>
          </w:p>
        </w:tc>
        <w:tc>
          <w:tcPr>
            <w:tcW w:w="1420" w:type="dxa"/>
            <w:vAlign w:val="bottom"/>
          </w:tcPr>
          <w:p>
            <w:pPr>
              <w:jc w:val="center"/>
              <w:ind w:right="77"/>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Amount as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9"/>
              </w:rPr>
              <w:t>Value as of</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Period (in years)</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Impairment Loss</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December 31, 2014</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160" w:type="dxa"/>
            <w:vAlign w:val="bottom"/>
            <w:tcBorders>
              <w:bottom w:val="single" w:sz="8" w:color="CCEEFF"/>
            </w:tcBorders>
            <w:shd w:val="clear" w:color="auto" w:fill="CCEEFF"/>
          </w:tcPr>
          <w:p>
            <w:pPr>
              <w:jc w:val="center"/>
              <w:ind w:left="18"/>
              <w:spacing w:after="0"/>
              <w:rPr>
                <w:sz w:val="20"/>
                <w:szCs w:val="20"/>
                <w:color w:val="auto"/>
              </w:rPr>
            </w:pPr>
            <w:r>
              <w:rPr>
                <w:rFonts w:ascii="Arial" w:cs="Arial" w:eastAsia="Arial" w:hAnsi="Arial"/>
                <w:sz w:val="18"/>
                <w:szCs w:val="18"/>
                <w:color w:val="auto"/>
                <w:w w:val="89"/>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7,100</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160" w:type="dxa"/>
            <w:vAlign w:val="bottom"/>
          </w:tcPr>
          <w:p>
            <w:pPr>
              <w:jc w:val="center"/>
              <w:ind w:left="18"/>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12,600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(3,015)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5,257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bottom w:val="single" w:sz="8" w:color="CCEEFF"/>
            </w:tcBorders>
            <w:shd w:val="clear" w:color="auto" w:fill="CCEEFF"/>
          </w:tcPr>
          <w:p>
            <w:pPr>
              <w:jc w:val="center"/>
              <w:ind w:left="18"/>
              <w:spacing w:after="0"/>
              <w:rPr>
                <w:sz w:val="20"/>
                <w:szCs w:val="20"/>
                <w:color w:val="auto"/>
              </w:rPr>
            </w:pPr>
            <w:r>
              <w:rPr>
                <w:rFonts w:ascii="Arial" w:cs="Arial" w:eastAsia="Arial" w:hAnsi="Arial"/>
                <w:sz w:val="18"/>
                <w:szCs w:val="18"/>
                <w:color w:val="auto"/>
                <w:w w:val="8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(9,095)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13,654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Pr>
          <w:p>
            <w:pPr>
              <w:jc w:val="center"/>
              <w:ind w:left="18"/>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53,485</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(13,540)</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20,687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total estimated annual future amortization expense for these acquired intangible assets as of June 30, 2015 is as follows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 Ending December 31,</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Remainder of 2015</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w:t>
            </w:r>
          </w:p>
        </w:tc>
      </w:tr>
      <w:tr>
        <w:trPr>
          <w:trHeight w:val="243"/>
        </w:trPr>
        <w:tc>
          <w:tcPr>
            <w:tcW w:w="2080" w:type="dxa"/>
            <w:vAlign w:val="bottom"/>
            <w:gridSpan w:val="2"/>
          </w:tcPr>
          <w:p>
            <w:pPr>
              <w:jc w:val="right"/>
              <w:ind w:right="1270"/>
              <w:spacing w:after="0"/>
              <w:rPr>
                <w:sz w:val="20"/>
                <w:szCs w:val="20"/>
                <w:color w:val="auto"/>
              </w:rPr>
            </w:pPr>
            <w:r>
              <w:rPr>
                <w:rFonts w:ascii="Arial" w:cs="Arial" w:eastAsia="Arial" w:hAnsi="Arial"/>
                <w:sz w:val="18"/>
                <w:szCs w:val="18"/>
                <w:color w:val="auto"/>
              </w:rPr>
              <w:t>2016</w:t>
            </w:r>
          </w:p>
        </w:tc>
        <w:tc>
          <w:tcPr>
            <w:tcW w:w="7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2,600</w:t>
            </w: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jc w:val="right"/>
              <w:ind w:right="1270"/>
              <w:spacing w:after="0"/>
              <w:rPr>
                <w:sz w:val="20"/>
                <w:szCs w:val="20"/>
                <w:color w:val="auto"/>
              </w:rPr>
            </w:pPr>
            <w:r>
              <w:rPr>
                <w:rFonts w:ascii="Arial" w:cs="Arial" w:eastAsia="Arial" w:hAnsi="Arial"/>
                <w:sz w:val="18"/>
                <w:szCs w:val="18"/>
                <w:color w:val="auto"/>
              </w:rPr>
              <w:t>2017</w:t>
            </w:r>
          </w:p>
        </w:tc>
        <w:tc>
          <w:tcPr>
            <w:tcW w:w="7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w:t>
            </w:r>
          </w:p>
        </w:tc>
      </w:tr>
      <w:tr>
        <w:trPr>
          <w:trHeight w:val="243"/>
        </w:trPr>
        <w:tc>
          <w:tcPr>
            <w:tcW w:w="2080" w:type="dxa"/>
            <w:vAlign w:val="bottom"/>
            <w:gridSpan w:val="2"/>
          </w:tcPr>
          <w:p>
            <w:pPr>
              <w:jc w:val="right"/>
              <w:ind w:right="1270"/>
              <w:spacing w:after="0"/>
              <w:rPr>
                <w:sz w:val="20"/>
                <w:szCs w:val="20"/>
                <w:color w:val="auto"/>
              </w:rPr>
            </w:pPr>
            <w:r>
              <w:rPr>
                <w:rFonts w:ascii="Arial" w:cs="Arial" w:eastAsia="Arial" w:hAnsi="Arial"/>
                <w:sz w:val="18"/>
                <w:szCs w:val="18"/>
                <w:color w:val="auto"/>
              </w:rPr>
              <w:t>2018</w:t>
            </w:r>
          </w:p>
        </w:tc>
        <w:tc>
          <w:tcPr>
            <w:tcW w:w="7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2,600</w:t>
            </w: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jc w:val="right"/>
              <w:ind w:right="1270"/>
              <w:spacing w:after="0"/>
              <w:rPr>
                <w:sz w:val="20"/>
                <w:szCs w:val="20"/>
                <w:color w:val="auto"/>
              </w:rPr>
            </w:pPr>
            <w:r>
              <w:rPr>
                <w:rFonts w:ascii="Arial" w:cs="Arial" w:eastAsia="Arial" w:hAnsi="Arial"/>
                <w:sz w:val="18"/>
                <w:szCs w:val="18"/>
                <w:color w:val="auto"/>
              </w:rPr>
              <w:t>2019</w:t>
            </w:r>
          </w:p>
        </w:tc>
        <w:tc>
          <w:tcPr>
            <w:tcW w:w="7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2,592</w:t>
            </w:r>
          </w:p>
        </w:tc>
      </w:tr>
      <w:tr>
        <w:trPr>
          <w:trHeight w:val="243"/>
        </w:trPr>
        <w:tc>
          <w:tcPr>
            <w:tcW w:w="40" w:type="dxa"/>
            <w:vAlign w:val="bottom"/>
          </w:tcPr>
          <w:p>
            <w:pPr>
              <w:spacing w:after="0"/>
              <w:rPr>
                <w:sz w:val="21"/>
                <w:szCs w:val="21"/>
                <w:color w:val="auto"/>
              </w:rPr>
            </w:pPr>
          </w:p>
        </w:tc>
        <w:tc>
          <w:tcPr>
            <w:tcW w:w="9320" w:type="dxa"/>
            <w:vAlign w:val="bottom"/>
            <w:gridSpan w:val="2"/>
          </w:tcPr>
          <w:p>
            <w:pPr>
              <w:ind w:left="340"/>
              <w:spacing w:after="0"/>
              <w:rPr>
                <w:sz w:val="20"/>
                <w:szCs w:val="20"/>
                <w:color w:val="auto"/>
              </w:rPr>
            </w:pPr>
            <w:r>
              <w:rPr>
                <w:rFonts w:ascii="Arial" w:cs="Arial" w:eastAsia="Arial" w:hAnsi="Arial"/>
                <w:sz w:val="18"/>
                <w:szCs w:val="18"/>
                <w:color w:val="auto"/>
              </w:rPr>
              <w:t>Thereafter</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7,695</w:t>
            </w:r>
          </w:p>
        </w:tc>
      </w:tr>
      <w:tr>
        <w:trPr>
          <w:trHeight w:val="27"/>
        </w:trPr>
        <w:tc>
          <w:tcPr>
            <w:tcW w:w="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72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9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19,387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7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Credit Facilities</w:t>
      </w:r>
    </w:p>
    <w:p>
      <w:pPr>
        <w:spacing w:after="0" w:line="1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22, 2013, we entered into a credit facility, which provides for a $50.0 million revolving line of credit, with a $10.0 million letter of credit sublimit, and has a maturity date on March 22, 2016. The credit facility also requires us to maintain a minimum unrestricted cash balance of $50.0 million and comply with specific financial conditions and performance requirements. The loan bears interest, at our option, at a fluctuating rate per annum equal to the daily one-month adjusted LIBOR rate plus a spread of 1.75% or an adjusted LIBOR rate (based on one, three, six or twelve-month interest periods) plus a spread of 1.75%. As of June 30, 2015, we had no outstanding borrowings under this credit facility and were in compliance with the conditions and performance requirements.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Legal Proceedings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Securities Class Action Lawsuit</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November 28, 2012, plaintiff City of Dearborn Heights Act 345 Police &amp; Fire Retirement System filed a lawsuit against Align, Thomas M. Prescott (“Mr. Prescott”), Align’s former President and Chief Executive Officer, and Kenneth B. Arola (“Mr. Arola”), Align’s former Vice President, Finance and Chief Financial Officer, in the United States District Court for the Northern District of California on behalf of a purported class of purchasers of our common stock (the “Securities Action”). On July 11, 2013, an amended complaint was filed, which named the same defendants, on behalf of a purported class of purchasers of our common stock between January 31, 2012 and October 17, 2012. The amended complaint alleged that Align, Mr. Prescott and Mr. Arola violated Section 10(b) of the Securities Exchange Act of 1934 and Rule 10b-5 promulgated thereunder, and that Mr. Prescott and Mr. Arola violated Section 20(a) of the Securities Exchange Act of 1934. Specifically, the amended complaint alleged that during the purported class period defendants failed to take an appropriate goodwill impairment charge related to the April 29, 2011 acquisition of Cadent Holdings, Inc. in the fourth quarter of 2011, the first quarter of 2012 or the second quarter of 2012, which rendered our financial statements and projections of future earnings materially false and misleading and in violation of U.S. GAAP. The amended complaint sought monetary damages in an unspecified amount, costs and attorneys’ fees. On December 9, 2013, the court granted defendants’ motion to dismiss with leave for plaintiff to file a second amended complaint. Plaintiff filed a second amended complaint on January 8, 2014 on behalf of the same purported class. The second amended complaint states the same claims as the amended complaint. On August 22, 2014, the court granted our motion to dismiss without leave to amend. On September 22, 2014, Plaintiff filed a notice of appeal to the Ninth Circuit Court of Appeals. Align intends to vigorously defend itself against these allegations. Align is currently unable to predict the outcome of this amended complaint and therefore cannot determine the likelihood of loss nor estimate a range of possible loss, if any.</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Shareholder Derivative Lawsuit</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February 1, 2013, plaintiff Gary Udis filed a shareholder derivative lawsuit against several of Align’s current and former officers and directors in the Superior Court of California, County of Santa Clara. The complaint alleges that our reported income and earnings were materially overstated because of a failure to timely write down goodwill related to the April 29, 2011 acquisition of Cadent Holdings, Inc., and that defendants made allegedly false statements concerning our forecasts.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On July 8, 2013, an Order was entered staying this derivative lawsuit until an initial ruling on our first motion to dismiss the Securities Action. On January 15, 2014, an Order was entered staying this derivative lawsuit until an initial ruling on our second motion to dismiss the Securities Action. On October 14, 2014, an Order was entered staying this derivative lawsuit until a ruling by the Ninth Circuit in the Securities Action discussed above. Align is currently unable to predict the outcome of this complaint and therefore cannot determine the likelihood of loss nor estimate a range of possible losses.</w:t>
      </w:r>
    </w:p>
    <w:p>
      <w:pPr>
        <w:spacing w:after="0" w:line="1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2015, minimum future lease payments for non-cancelable operating leases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 Ending December 31,</w:t>
            </w:r>
          </w:p>
        </w:tc>
        <w:tc>
          <w:tcPr>
            <w:tcW w:w="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Operating leases</w:t>
            </w:r>
          </w:p>
        </w:tc>
      </w:tr>
      <w:tr>
        <w:trPr>
          <w:trHeight w:val="250"/>
        </w:trPr>
        <w:tc>
          <w:tcPr>
            <w:tcW w:w="96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Remainder of 2015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5,090</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9,831</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5,885</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2,345</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529</w:t>
            </w:r>
          </w:p>
        </w:tc>
      </w:tr>
      <w:tr>
        <w:trPr>
          <w:trHeight w:val="243"/>
        </w:trPr>
        <w:tc>
          <w:tcPr>
            <w:tcW w:w="9600" w:type="dxa"/>
            <w:vAlign w:val="bottom"/>
            <w:gridSpan w:val="2"/>
          </w:tcPr>
          <w:p>
            <w:pPr>
              <w:ind w:left="38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438</w:t>
            </w:r>
          </w:p>
        </w:tc>
      </w:tr>
      <w:tr>
        <w:trPr>
          <w:trHeight w:val="27"/>
        </w:trPr>
        <w:tc>
          <w:tcPr>
            <w:tcW w:w="93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96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minimum future lease payments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24,118</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2015, we had no off-balance sheet arrangements that have, or are reasonably likely to have, a current or future material effect on our consolidated financial condition, results of operations, liquidity, capital expenditures or capital resources.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our executive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13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June 30, 2015, we did not have any material indemnification claims that were probable or reasonably possible.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Stock-based Compensation</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Summary of stock-based compensation expense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2015, we had a total reserve of 23,283,379 shares for issuance.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Stock-based compensation is based on the estimated fair value of awards, net of estimated forfeitures, and recognized over the requisite service period. Estimated forfeitures are based on historical experience at the time of grant and may be revised, if necessary, in subsequent periods if actual forfeitures differ from those estimates. The stock-based compensation related to all of our stock-based awards and employee stock purchases for the three and six months ended June 30, 2015 and 2014 is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967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1,945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9,771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7,650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18,542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14,367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2,088</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3,987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3,290</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stock-based compensation</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12,826</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10,306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24,474</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19,438</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7"/>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Options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Activity for the six months ended June 30, 2015 under the stock option plans is set forth below (in thousands, except years and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Stock Options</w:t>
            </w:r>
          </w:p>
        </w:tc>
        <w:tc>
          <w:tcPr>
            <w:tcW w:w="18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Weighted Average</w:t>
            </w:r>
          </w:p>
        </w:tc>
        <w:tc>
          <w:tcPr>
            <w:tcW w:w="280" w:type="dxa"/>
            <w:vAlign w:val="bottom"/>
          </w:tcPr>
          <w:p>
            <w:pPr>
              <w:spacing w:after="0"/>
              <w:rPr>
                <w:sz w:val="14"/>
                <w:szCs w:val="14"/>
                <w:color w:val="auto"/>
              </w:rPr>
            </w:pPr>
          </w:p>
        </w:tc>
        <w:tc>
          <w:tcPr>
            <w:tcW w:w="120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Number of Shares</w:t>
            </w: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Options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Price per Share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Contractual Term</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 years )</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2014</w:t>
            </w:r>
          </w:p>
        </w:tc>
        <w:tc>
          <w:tcPr>
            <w:tcW w:w="17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Granted</w:t>
            </w: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16.05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Cancelled or expired</w:t>
            </w: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June 30, 2015</w:t>
            </w:r>
          </w:p>
        </w:tc>
        <w:tc>
          <w:tcPr>
            <w:tcW w:w="17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15.47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26,247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Vested and expected to vest at June 30, 2015</w:t>
            </w: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1740" w:type="dxa"/>
            <w:vAlign w:val="bottom"/>
          </w:tcPr>
          <w:p>
            <w:pPr>
              <w:jc w:val="right"/>
              <w:ind w:right="37"/>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26,247</w:t>
            </w:r>
          </w:p>
        </w:tc>
        <w:tc>
          <w:tcPr>
            <w:tcW w:w="0" w:type="dxa"/>
            <w:vAlign w:val="bottom"/>
          </w:tcPr>
          <w:p>
            <w:pPr>
              <w:spacing w:after="0"/>
              <w:rPr>
                <w:sz w:val="1"/>
                <w:szCs w:val="1"/>
                <w:color w:val="auto"/>
              </w:rPr>
            </w:pPr>
          </w:p>
        </w:tc>
      </w:tr>
      <w:tr>
        <w:trPr>
          <w:trHeight w:val="67"/>
        </w:trPr>
        <w:tc>
          <w:tcPr>
            <w:tcW w:w="4920" w:type="dxa"/>
            <w:vAlign w:val="bottom"/>
            <w:tcBorders>
              <w:bottom w:val="single" w:sz="8" w:color="CCEEFF"/>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Exercisable at June 30, 2015</w:t>
            </w:r>
          </w:p>
        </w:tc>
        <w:tc>
          <w:tcPr>
            <w:tcW w:w="17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15.47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26,247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firstLine="324"/>
        <w:spacing w:after="0" w:line="277" w:lineRule="auto"/>
        <w:rPr>
          <w:sz w:val="20"/>
          <w:szCs w:val="20"/>
          <w:color w:val="auto"/>
        </w:rPr>
      </w:pPr>
      <w:r>
        <w:rPr>
          <w:rFonts w:ascii="Arial" w:cs="Arial" w:eastAsia="Arial" w:hAnsi="Arial"/>
          <w:sz w:val="18"/>
          <w:szCs w:val="18"/>
          <w:color w:val="auto"/>
        </w:rPr>
        <w:t>There were no stock options granted during the six months ended June 30, 2015 and 2014. All compensation costs relating to stock options have been recognized as of June 30, 2015.</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 Units (“RSU”)</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RSU activity for the six months ended June 30, 2015 is as follows (in thousands, except years):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4"/>
                <w:szCs w:val="14"/>
                <w:color w:val="auto"/>
              </w:rPr>
            </w:pPr>
          </w:p>
        </w:tc>
        <w:tc>
          <w:tcPr>
            <w:tcW w:w="1280" w:type="dxa"/>
            <w:vAlign w:val="bottom"/>
            <w:vMerge w:val="restart"/>
          </w:tcPr>
          <w:p>
            <w:pPr>
              <w:jc w:val="center"/>
              <w:ind w:right="20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8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Number of Shares</w:t>
            </w:r>
          </w:p>
        </w:tc>
        <w:tc>
          <w:tcPr>
            <w:tcW w:w="1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 Average Grant</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00" w:type="dxa"/>
            <w:vAlign w:val="bottom"/>
          </w:tcPr>
          <w:p>
            <w:pPr>
              <w:spacing w:after="0"/>
              <w:rPr>
                <w:sz w:val="12"/>
                <w:szCs w:val="12"/>
                <w:color w:val="auto"/>
              </w:rPr>
            </w:pPr>
          </w:p>
        </w:tc>
        <w:tc>
          <w:tcPr>
            <w:tcW w:w="128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17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Underlying RSU</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Date Fair Value</w:t>
            </w: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Period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64"/>
        </w:trPr>
        <w:tc>
          <w:tcPr>
            <w:tcW w:w="45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2014</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2,124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42.08</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57.62</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36.15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45.32</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June 30, 2015</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2,301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48.98</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144,297</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2015, the total unamortized compensation cost related to RSU, net of estimated forfeitures, was $84.8 million, which we expect to recognize over a weighted average period of 2.5 years.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granted market-performance based restricted stock units (“MSU”) to our executive officers. Each MSU represents the right to one share of Align’s common stock and will be issued through our amended 2005 Incentive Plan. The actual number of MSU which will be eligible to vest will be based on the performance of Align’s stock price relative to the performance of the NASDAQ Composite Index over the vesting period, generally two to three years, up to 150% of the MSU initially granted.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MSU activity for the six months ended June 30, 2015 (in thousands, except years):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8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Number of Shares</w:t>
            </w:r>
          </w:p>
        </w:tc>
        <w:tc>
          <w:tcPr>
            <w:tcW w:w="1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 Average Grant</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Weighted Average</w:t>
            </w:r>
          </w:p>
        </w:tc>
        <w:tc>
          <w:tcPr>
            <w:tcW w:w="300" w:type="dxa"/>
            <w:vAlign w:val="bottom"/>
          </w:tcPr>
          <w:p>
            <w:pPr>
              <w:spacing w:after="0"/>
              <w:rPr>
                <w:sz w:val="14"/>
                <w:szCs w:val="14"/>
                <w:color w:val="auto"/>
              </w:rPr>
            </w:pPr>
          </w:p>
        </w:tc>
        <w:tc>
          <w:tcPr>
            <w:tcW w:w="1280" w:type="dxa"/>
            <w:vAlign w:val="bottom"/>
          </w:tcPr>
          <w:p>
            <w:pPr>
              <w:jc w:val="center"/>
              <w:ind w:right="20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280" w:type="dxa"/>
            <w:vAlign w:val="bottom"/>
          </w:tcPr>
          <w:p>
            <w:pPr>
              <w:jc w:val="center"/>
              <w:ind w:right="24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1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Underlying MSU</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Date Fair Value</w:t>
            </w: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Contractual Period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64"/>
        </w:trPr>
        <w:tc>
          <w:tcPr>
            <w:tcW w:w="45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 )</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2014</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42.00</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61.73</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29.45</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color w:val="auto"/>
              </w:rPr>
              <w:t>Nonvested as of June 30, 2015</w:t>
            </w:r>
          </w:p>
        </w:tc>
        <w:tc>
          <w:tcPr>
            <w:tcW w:w="17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45.31</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24"/>
              <w:spacing w:after="0"/>
              <w:rPr>
                <w:sz w:val="20"/>
                <w:szCs w:val="20"/>
                <w:color w:val="auto"/>
              </w:rPr>
            </w:pPr>
            <w:r>
              <w:rPr>
                <w:rFonts w:ascii="Arial" w:cs="Arial" w:eastAsia="Arial" w:hAnsi="Arial"/>
                <w:sz w:val="18"/>
                <w:szCs w:val="18"/>
                <w:color w:val="auto"/>
              </w:rPr>
              <w:t>39,526</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560" w:type="dxa"/>
            <w:vAlign w:val="bottom"/>
          </w:tcPr>
          <w:p>
            <w:pPr>
              <w:spacing w:after="0"/>
              <w:rPr>
                <w:sz w:val="24"/>
                <w:szCs w:val="24"/>
                <w:color w:val="auto"/>
              </w:rPr>
            </w:pPr>
          </w:p>
        </w:tc>
        <w:tc>
          <w:tcPr>
            <w:tcW w:w="1720" w:type="dxa"/>
            <w:vAlign w:val="bottom"/>
          </w:tcPr>
          <w:p>
            <w:pPr>
              <w:jc w:val="right"/>
              <w:ind w:right="395"/>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2015, the total unamortized compensation costs related to the MSU, net of estimated forfeitures, was $19.0 million, which we expect to recognize over a weighted average period of 1.8 years.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May 2010, our stockholders approved the 2010 Employee Stock Purchase Plan ("2010 Purchase Plan") which will continue until terminated by either the Board of Directors or its administrator. The maximum number of shares available for purchase under the 2010 Purchase Plan is 2,400,000 shares. As of June 30, 2015, there remains 1,226,899 shares available for purchase under the 2010 Purchase Plan.</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the option component of the 2010 Purchase Plan shares was estimated at the grant date using the Black-Scholes option pricing model with the following weighted average assumptions:</w:t>
      </w:r>
    </w:p>
    <w:p>
      <w:pPr>
        <w:spacing w:after="0" w:line="108" w:lineRule="exact"/>
        <w:rPr>
          <w:sz w:val="20"/>
          <w:szCs w:val="20"/>
          <w:color w:val="auto"/>
        </w:rPr>
      </w:pPr>
    </w:p>
    <w:p>
      <w:pPr>
        <w:jc w:val="center"/>
        <w:ind w:left="80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0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13335</wp:posOffset>
            </wp:positionV>
            <wp:extent cx="21780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2014</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42.3%</w:t>
            </w:r>
          </w:p>
        </w:tc>
      </w:tr>
      <w:tr>
        <w:trPr>
          <w:trHeight w:val="27"/>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Expected dividends</w:t>
            </w:r>
          </w:p>
        </w:tc>
        <w:tc>
          <w:tcPr>
            <w:tcW w:w="1040" w:type="dxa"/>
            <w:vAlign w:val="bottom"/>
          </w:tcPr>
          <w:p>
            <w:pPr>
              <w:spacing w:after="0"/>
              <w:rPr>
                <w:sz w:val="21"/>
                <w:szCs w:val="21"/>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fair value at grant date</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3"/>
              </w:rPr>
              <w:t>15.98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17.97</w:t>
            </w:r>
          </w:p>
        </w:tc>
      </w:tr>
      <w:tr>
        <w:trPr>
          <w:trHeight w:val="27"/>
        </w:trPr>
        <w:tc>
          <w:tcPr>
            <w:tcW w:w="79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new ESPP cycles that started during the three months ended June 30, 2015 or June 30, 2014.</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June 30, 2015, the total unamortized compensation cost related to employee purchases was $2.6 million, which we expect to recognize over a weighted average period of 0.7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Common Stock Repurchase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23, 2014, we announced that our Board of Directors had authorized a stock repurchase program pursuant to which we may purchase up to $300.0 million of our common stock over the next three years, with $100.0 million authorized over the first 12 months.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52525"/>
        </w:rPr>
        <w:t xml:space="preserve">As part of our $300.0 million stock repurchase program, on April 28, 2014, we </w:t>
      </w:r>
      <w:r>
        <w:rPr>
          <w:rFonts w:ascii="Arial" w:cs="Arial" w:eastAsia="Arial" w:hAnsi="Arial"/>
          <w:sz w:val="18"/>
          <w:szCs w:val="18"/>
          <w:color w:val="000000"/>
        </w:rPr>
        <w:t>entered into an accelerated share repurchase agreement ("2014 ASR") to</w:t>
      </w:r>
      <w:r>
        <w:rPr>
          <w:rFonts w:ascii="Arial" w:cs="Arial" w:eastAsia="Arial" w:hAnsi="Arial"/>
          <w:sz w:val="18"/>
          <w:szCs w:val="18"/>
          <w:color w:val="252525"/>
        </w:rPr>
        <w:t xml:space="preserve"> </w:t>
      </w:r>
      <w:r>
        <w:rPr>
          <w:rFonts w:ascii="Arial" w:cs="Arial" w:eastAsia="Arial" w:hAnsi="Arial"/>
          <w:sz w:val="18"/>
          <w:szCs w:val="18"/>
          <w:color w:val="000000"/>
        </w:rPr>
        <w:t>repurchase $70.0 million of our common stock which was completed in July 2014. We received a total of approximately 1.4 million shares under the 2014 ASR for an average purchase price per share of $51.46, which all shares were retired. The final number of shares repurchased was based on our volume-weighted average stock price during the term of the transaction, less an agreed upon discount.</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2014, we repurchased on the open market approximately 0.6 million shares of our common stock at an average price of $50.93 per share, including commissions, for an aggregate purchase price of approximately $28.2 million. In the first quarter of 2015, we repurchased on the open market approximately 0.03 million shares of our common stock at an average price of $57.49 per share, including commission for an aggregate purchase price of approximately $1.8 million. All repurchased shares were retired.</w:t>
      </w:r>
    </w:p>
    <w:p>
      <w:pPr>
        <w:spacing w:after="0" w:line="18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In January 2015, our Board of Directors authorized the repurchase of the next $100.0 million under the repurchase program which we anticipate completing within twelve months. On April 28, 2015, </w:t>
      </w:r>
      <w:r>
        <w:rPr>
          <w:rFonts w:ascii="Arial" w:cs="Arial" w:eastAsia="Arial" w:hAnsi="Arial"/>
          <w:sz w:val="16"/>
          <w:szCs w:val="16"/>
          <w:color w:val="252525"/>
        </w:rPr>
        <w:t>we</w:t>
      </w:r>
      <w:r>
        <w:rPr>
          <w:rFonts w:ascii="Arial" w:cs="Arial" w:eastAsia="Arial" w:hAnsi="Arial"/>
          <w:sz w:val="16"/>
          <w:szCs w:val="16"/>
          <w:color w:val="auto"/>
        </w:rPr>
        <w:t xml:space="preserve"> entered into an accelerated share purchase agreement ("2015 ASR") to repurchase $70.0 million of our common stock. Under the terms of the 2015 ASR, we paid $70.0 million on April 29, 2015 and received an initial delivery of approximately 0.8 million shares based on the current market price of $59.45, which we retired. The remaining $21.0 million was recorded as an equity forward contract and was included in Additional paid-in capital in stockholders' equity in the Condensed balance sheet as of June 30, 2015. As of June 30, 2015, we have $130.0 million remaining under the April 2014 stock repurchase program. The 2015 ASR was completed on July 23, 2015 with a final delivery of approximately 0.3 million shares. Under the 2015 ASR, we received a total of approximately 1.2 million shares for an average share price of $60.52. The final number of shares repurchased was based on our volume-weighted average stock price during the term of the transaction, less an agreed upon discount.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Accounting for Income Taxes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provision for income taxes was $11.1 million and $13.0 million for the three months ended June 30, 2015 and 2014, respectively. This represents effective tax rates of 26.2% and 26.8%, respectively. Our effective tax rates differ from the statutory federal income tax rate of 35% due to certain foreign earnings, primarily from Costa Rica, which are subject to a lower tax rate, state income tax expense, the tax impact of certain stock-based compensation charges and unrecognized tax benefits. The provision for income taxes was higher in the prior year due to a negative impact from a $2.1 million adjustment which related to prior periods.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provision for income taxes was $22.4 million and $23.0 million for the six months ended June 30, 2015 and 2014, respectively. This represents effective tax rates of 24.9% and 25.3%, respectively. The provision for income taxes was higher in the prior year due to a negative impact from a $1.8 million adjustment which related to prior periods.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exercise significant judgment in regards to estimates of future market growth, forecasted earnings and projected taxable income in determining the provision for income taxes, and for purposes of assessing our ability to utilize any future benefit from deferred tax assets.</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June 30, 2015, we maintained a valuation allowance of $32.8 million against deferred tax assets primarily related to Israel and California operating loss carryforwards and Australia capital loss carryforwards. These net operating and capital loss carryforwards would result in an income tax benefit if we were to conclude it is more likely than not that the related deferred tax assets will be realized.</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total gross unrecognized tax benefits was $36.3 million and $33.1 million as of June 30, 2015 and December 31, 2014, respectively, all of which would impact our effective tax rate if recognized. We have elected to recognize interest and penalties related to unrecognized tax benefits as a component of income taxes. The change in accrued interest and penalties during the three and six months ended June 30, 2015 was not material. We do not expect any significant changes to the amount of unrecognized tax benefit within the next twelve months.</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file U.S. federal, U.S. state, and non-U.S. income tax returns. Our major tax jurisdictions are U.S. federal and the State of California. For U.S. federal and state tax returns, we are no longer subject to tax examinations for years before 2000. With few exceptions, we are no longer subject to examination by foreign tax authorities for years before 2007. We are currently under audit by the California Franchise Tax Board for fiscal year 2011, 2012 and 2013.</w:t>
      </w:r>
    </w:p>
    <w:p>
      <w:pPr>
        <w:spacing w:after="0" w:line="14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June 2009, the Costa Rica Ministry of Foreign Trade, an agency of the Government of Costa Rica, granted a twelve year extension of certain income tax incentives, which were previously granted in 2002. The incentive tax rates will expire in various years beginning in 2017. Under these incentives, all of the income in Costa Rica during these twelve year incentive periods is subject to reduced rate of Costa Rica income tax.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2015. Income taxes were reduced by $8.2 million and $7.5 million for the three months ended June 30, 2015 and 2014, respectively, representing a benefit to diluted net income per share of $0.10 and $0.09 in 2015 and 2014, respectively. As a result of these incentives, our income taxes were reduced by $16.4 million and $15.1 million for the six months ended June 30, 2015 and 2014, respectively, representing a benefit to diluted net income per share of $0.20 and $0.18 in 2015 and 2014,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Net Income Per Share</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Basic net income per share is computed using the weighted average number of shares of common stock outstanding during the period. Diluted net income per share is computed using the weighted average number of shares of common stock, adjusted for any dilutive effect of potential common stock. Potential common stock, computed using the treasury stock method, includes stock options, RSU, MSU and ESPP.</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 (in thousands, except per share amounts):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80" w:type="dxa"/>
            <w:vAlign w:val="bottom"/>
          </w:tcPr>
          <w:p>
            <w:pPr>
              <w:spacing w:after="0"/>
              <w:rPr>
                <w:sz w:val="14"/>
                <w:szCs w:val="14"/>
                <w:color w:val="auto"/>
              </w:rPr>
            </w:pPr>
          </w:p>
        </w:tc>
      </w:tr>
      <w:tr>
        <w:trPr>
          <w:trHeight w:val="192"/>
        </w:trPr>
        <w:tc>
          <w:tcPr>
            <w:tcW w:w="42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r>
      <w:tr>
        <w:trPr>
          <w:trHeight w:val="264"/>
        </w:trPr>
        <w:tc>
          <w:tcPr>
            <w:tcW w:w="424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2014</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w w:val="98"/>
              </w:rPr>
              <w:t>31,350</w:t>
            </w:r>
          </w:p>
        </w:tc>
        <w:tc>
          <w:tcPr>
            <w:tcW w:w="12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35,600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67,527</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68,044</w:t>
            </w:r>
          </w:p>
        </w:tc>
      </w:tr>
      <w:tr>
        <w:trPr>
          <w:trHeight w:val="67"/>
        </w:trPr>
        <w:tc>
          <w:tcPr>
            <w:tcW w:w="424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31"/>
        </w:trPr>
        <w:tc>
          <w:tcPr>
            <w:tcW w:w="42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10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w w:val="89"/>
              </w:rPr>
              <w:t>Weighted-average common shares outstanding, basic</w:t>
            </w:r>
          </w:p>
        </w:tc>
        <w:tc>
          <w:tcPr>
            <w:tcW w:w="106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w w:val="98"/>
              </w:rPr>
              <w:t>80,257</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81,027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80,358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81,073</w:t>
            </w:r>
          </w:p>
        </w:tc>
      </w:tr>
      <w:tr>
        <w:trPr>
          <w:trHeight w:val="27"/>
        </w:trPr>
        <w:tc>
          <w:tcPr>
            <w:tcW w:w="4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effect of potential common stock</w:t>
            </w: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1,137</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1,578</w:t>
            </w:r>
          </w:p>
        </w:tc>
      </w:tr>
      <w:tr>
        <w:trPr>
          <w:trHeight w:val="237"/>
        </w:trPr>
        <w:tc>
          <w:tcPr>
            <w:tcW w:w="4240" w:type="dxa"/>
            <w:vAlign w:val="bottom"/>
          </w:tcPr>
          <w:p>
            <w:pPr>
              <w:ind w:left="720"/>
              <w:spacing w:after="0"/>
              <w:rPr>
                <w:sz w:val="20"/>
                <w:szCs w:val="20"/>
                <w:color w:val="auto"/>
              </w:rPr>
            </w:pPr>
            <w:r>
              <w:rPr>
                <w:rFonts w:ascii="Arial" w:cs="Arial" w:eastAsia="Arial" w:hAnsi="Arial"/>
                <w:sz w:val="18"/>
                <w:szCs w:val="18"/>
                <w:color w:val="auto"/>
              </w:rPr>
              <w:t>Total shares, diluted</w:t>
            </w:r>
          </w:p>
        </w:tc>
        <w:tc>
          <w:tcPr>
            <w:tcW w:w="10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8"/>
              </w:rPr>
              <w:t>81,394</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82,341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81,729</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82,651</w:t>
            </w:r>
          </w:p>
        </w:tc>
      </w:tr>
      <w:tr>
        <w:trPr>
          <w:trHeight w:val="67"/>
        </w:trPr>
        <w:tc>
          <w:tcPr>
            <w:tcW w:w="424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305"/>
        </w:trPr>
        <w:tc>
          <w:tcPr>
            <w:tcW w:w="42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4240" w:type="dxa"/>
            <w:vAlign w:val="bottom"/>
          </w:tcPr>
          <w:p>
            <w:pPr>
              <w:ind w:left="720"/>
              <w:spacing w:after="0"/>
              <w:rPr>
                <w:sz w:val="20"/>
                <w:szCs w:val="20"/>
                <w:color w:val="auto"/>
              </w:rPr>
            </w:pPr>
            <w:r>
              <w:rPr>
                <w:rFonts w:ascii="Arial" w:cs="Arial" w:eastAsia="Arial" w:hAnsi="Arial"/>
                <w:sz w:val="18"/>
                <w:szCs w:val="18"/>
                <w:color w:val="auto"/>
              </w:rPr>
              <w:t>Net income per share, basic</w:t>
            </w: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0.84</w:t>
            </w:r>
          </w:p>
        </w:tc>
      </w:tr>
      <w:tr>
        <w:trPr>
          <w:trHeight w:val="67"/>
        </w:trPr>
        <w:tc>
          <w:tcPr>
            <w:tcW w:w="424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56"/>
        </w:trPr>
        <w:tc>
          <w:tcPr>
            <w:tcW w:w="4240" w:type="dxa"/>
            <w:vAlign w:val="bottom"/>
            <w:tcBorders>
              <w:bottom w:val="single" w:sz="8" w:color="CCEEFF"/>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Net income per share, diluted</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0.82</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three and six months ended June 30, 2015 and 2014, the anti-dilutive effect from stock options, RSU, MSU and ESPP was not material.</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Segments and Geographical Information</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that is evaluated regularly by the Chief Operating Decision Maker (“CODM”), or decision-making group, in deciding how to allocate resources and in assessing performance. Our CODM is our Chief Executive Officer. We report segment information based on the management approach. The management approach designates the internal reporting used by CODM for decision making and performance assessment as the basis for determining our reportable segments. The performance measures of our reportable segments include net revenues and gross profit.</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grouped our operations into two reportable segments which are also our reporting units: Clear Aligner segment and Scanner and Services segment.</w:t>
      </w:r>
    </w:p>
    <w:p>
      <w:pPr>
        <w:spacing w:after="0" w:line="170" w:lineRule="exact"/>
        <w:rPr>
          <w:sz w:val="20"/>
          <w:szCs w:val="20"/>
          <w:color w:val="auto"/>
        </w:rPr>
      </w:pPr>
    </w:p>
    <w:p>
      <w:pPr>
        <w:ind w:left="980" w:right="20" w:hanging="486"/>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Clear Aligner segment consists of our Invisalign system which includes Invisalign Full, Express/Lite, Teen, Assist, Vivera retainers, along with our training and ancillary products for treating malocclusion.</w:t>
      </w:r>
    </w:p>
    <w:p>
      <w:pPr>
        <w:spacing w:after="0" w:line="116" w:lineRule="exact"/>
        <w:rPr>
          <w:rFonts w:ascii="Arial" w:cs="Arial" w:eastAsia="Arial" w:hAnsi="Arial"/>
          <w:sz w:val="18"/>
          <w:szCs w:val="18"/>
          <w:color w:val="auto"/>
        </w:rPr>
      </w:pPr>
    </w:p>
    <w:p>
      <w:pPr>
        <w:ind w:left="980" w:hanging="486"/>
        <w:spacing w:after="0" w:line="30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Scanner and Services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9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These reportable operating segments are based on how our CODM views and evaluates our operations as well as allocation of resources. The following information relates to these segments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Three Months Ended June 30,</w:t>
            </w:r>
          </w:p>
        </w:tc>
        <w:tc>
          <w:tcPr>
            <w:tcW w:w="120" w:type="dxa"/>
            <w:vAlign w:val="bottom"/>
          </w:tcPr>
          <w:p>
            <w:pPr>
              <w:spacing w:after="0"/>
              <w:rPr>
                <w:sz w:val="16"/>
                <w:szCs w:val="16"/>
                <w:color w:val="auto"/>
              </w:rPr>
            </w:pPr>
          </w:p>
        </w:tc>
        <w:tc>
          <w:tcPr>
            <w:tcW w:w="2280" w:type="dxa"/>
            <w:vAlign w:val="bottom"/>
            <w:gridSpan w:val="4"/>
          </w:tcPr>
          <w:p>
            <w:pPr>
              <w:jc w:val="right"/>
              <w:ind w:right="13"/>
              <w:spacing w:after="0"/>
              <w:rPr>
                <w:sz w:val="20"/>
                <w:szCs w:val="20"/>
                <w:color w:val="auto"/>
              </w:rPr>
            </w:pPr>
            <w:r>
              <w:rPr>
                <w:rFonts w:ascii="Arial" w:cs="Arial" w:eastAsia="Arial" w:hAnsi="Arial"/>
                <w:sz w:val="14"/>
                <w:szCs w:val="14"/>
                <w:b w:val="1"/>
                <w:bCs w:val="1"/>
                <w:color w:val="auto"/>
                <w:w w:val="92"/>
              </w:rPr>
              <w:t>For the Six Months Ended June 30,</w:t>
            </w:r>
          </w:p>
        </w:tc>
        <w:tc>
          <w:tcPr>
            <w:tcW w:w="0" w:type="dxa"/>
            <w:vAlign w:val="bottom"/>
          </w:tcPr>
          <w:p>
            <w:pPr>
              <w:spacing w:after="0"/>
              <w:rPr>
                <w:sz w:val="1"/>
                <w:szCs w:val="1"/>
                <w:color w:val="auto"/>
              </w:rPr>
            </w:pPr>
          </w:p>
        </w:tc>
      </w:tr>
      <w:tr>
        <w:trPr>
          <w:trHeight w:val="264"/>
        </w:trPr>
        <w:tc>
          <w:tcPr>
            <w:tcW w:w="35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Revenues</w:t>
            </w:r>
          </w:p>
        </w:tc>
        <w:tc>
          <w:tcPr>
            <w:tcW w:w="27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Clear Aligner</w:t>
            </w:r>
          </w:p>
        </w:tc>
        <w:tc>
          <w:tcPr>
            <w:tcW w:w="2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200,817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179,735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387,846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347,974</w:t>
            </w:r>
          </w:p>
        </w:tc>
        <w:tc>
          <w:tcPr>
            <w:tcW w:w="0" w:type="dxa"/>
            <w:vAlign w:val="bottom"/>
          </w:tcPr>
          <w:p>
            <w:pPr>
              <w:spacing w:after="0"/>
              <w:rPr>
                <w:sz w:val="1"/>
                <w:szCs w:val="1"/>
                <w:color w:val="auto"/>
              </w:rPr>
            </w:pPr>
          </w:p>
        </w:tc>
      </w:tr>
      <w:tr>
        <w:trPr>
          <w:trHeight w:val="243"/>
        </w:trPr>
        <w:tc>
          <w:tcPr>
            <w:tcW w:w="3500" w:type="dxa"/>
            <w:vAlign w:val="bottom"/>
          </w:tcPr>
          <w:p>
            <w:pPr>
              <w:ind w:left="360"/>
              <w:spacing w:after="0"/>
              <w:rPr>
                <w:sz w:val="20"/>
                <w:szCs w:val="20"/>
                <w:color w:val="auto"/>
              </w:rPr>
            </w:pPr>
            <w:r>
              <w:rPr>
                <w:rFonts w:ascii="Arial" w:cs="Arial" w:eastAsia="Arial" w:hAnsi="Arial"/>
                <w:sz w:val="18"/>
                <w:szCs w:val="18"/>
                <w:color w:val="auto"/>
              </w:rPr>
              <w:t>Scanner</w:t>
            </w:r>
          </w:p>
        </w:tc>
        <w:tc>
          <w:tcPr>
            <w:tcW w:w="2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8,671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12,796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19,728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25,203</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2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209,488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192,531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407,574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373,177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5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420"/>
              <w:spacing w:after="0"/>
              <w:rPr>
                <w:sz w:val="20"/>
                <w:szCs w:val="20"/>
                <w:color w:val="auto"/>
              </w:rPr>
            </w:pPr>
            <w:r>
              <w:rPr>
                <w:rFonts w:ascii="Arial" w:cs="Arial" w:eastAsia="Arial" w:hAnsi="Arial"/>
                <w:sz w:val="18"/>
                <w:szCs w:val="18"/>
                <w:color w:val="auto"/>
              </w:rPr>
              <w:t>Clear Aligner</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157,337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141,703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305,297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274,786</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Scanner</w:t>
            </w:r>
          </w:p>
        </w:tc>
        <w:tc>
          <w:tcPr>
            <w:tcW w:w="27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3,773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4,427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7,941</w:t>
            </w:r>
          </w:p>
        </w:tc>
        <w:tc>
          <w:tcPr>
            <w:tcW w:w="0" w:type="dxa"/>
            <w:vAlign w:val="bottom"/>
          </w:tcPr>
          <w:p>
            <w:pPr>
              <w:spacing w:after="0"/>
              <w:rPr>
                <w:sz w:val="1"/>
                <w:szCs w:val="1"/>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8"/>
                <w:szCs w:val="18"/>
                <w:color w:val="auto"/>
              </w:rPr>
              <w:t>Total gross profit</w:t>
            </w:r>
          </w:p>
        </w:tc>
        <w:tc>
          <w:tcPr>
            <w:tcW w:w="27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158,634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145,476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309,724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282,727</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780" w:type="dxa"/>
            <w:vAlign w:val="bottom"/>
            <w:vMerge w:val="restart"/>
          </w:tcPr>
          <w:p>
            <w:pPr>
              <w:jc w:val="right"/>
              <w:ind w:right="390"/>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78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50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Geographical Information</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revenues are presented below by geographic area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Three Months Ended June 30,</w:t>
            </w:r>
          </w:p>
        </w:tc>
        <w:tc>
          <w:tcPr>
            <w:tcW w:w="120" w:type="dxa"/>
            <w:vAlign w:val="bottom"/>
          </w:tcPr>
          <w:p>
            <w:pPr>
              <w:spacing w:after="0"/>
              <w:rPr>
                <w:sz w:val="16"/>
                <w:szCs w:val="16"/>
                <w:color w:val="auto"/>
              </w:rPr>
            </w:pPr>
          </w:p>
        </w:tc>
        <w:tc>
          <w:tcPr>
            <w:tcW w:w="226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For the Six Months Ended June 30,</w:t>
            </w:r>
          </w:p>
        </w:tc>
      </w:tr>
      <w:tr>
        <w:trPr>
          <w:trHeight w:val="264"/>
        </w:trPr>
        <w:tc>
          <w:tcPr>
            <w:tcW w:w="62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r>
      <w:tr>
        <w:trPr>
          <w:trHeight w:val="270"/>
        </w:trPr>
        <w:tc>
          <w:tcPr>
            <w:tcW w:w="62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revenues: </w:t>
            </w:r>
            <w:r>
              <w:rPr>
                <w:rFonts w:ascii="Arial" w:cs="Arial" w:eastAsia="Arial" w:hAnsi="Arial"/>
                <w:sz w:val="25"/>
                <w:szCs w:val="25"/>
                <w:b w:val="1"/>
                <w:bCs w:val="1"/>
                <w:color w:val="auto"/>
                <w:vertAlign w:val="superscript"/>
              </w:rPr>
              <w:t>(1)</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U.S.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145,368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133,954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285,072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262,593</w:t>
            </w: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the Netherlands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42,223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41,899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80,868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79,290</w:t>
            </w: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Other international</w:t>
            </w:r>
          </w:p>
        </w:tc>
        <w:tc>
          <w:tcPr>
            <w:tcW w:w="14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21,897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16,678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41,634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31,294</w:t>
            </w:r>
          </w:p>
        </w:tc>
      </w:tr>
      <w:tr>
        <w:trPr>
          <w:trHeight w:val="27"/>
        </w:trPr>
        <w:tc>
          <w:tcPr>
            <w:tcW w:w="6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209,488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192,531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407,574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373,177</w:t>
            </w:r>
          </w:p>
        </w:tc>
      </w:tr>
      <w:tr>
        <w:trPr>
          <w:trHeight w:val="20"/>
        </w:trPr>
        <w:tc>
          <w:tcPr>
            <w:tcW w:w="6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ind w:left="520" w:hanging="188"/>
        <w:spacing w:after="0" w:line="197" w:lineRule="auto"/>
        <w:tabs>
          <w:tab w:leader="none" w:pos="520" w:val="left"/>
        </w:tabs>
        <w:numPr>
          <w:ilvl w:val="0"/>
          <w:numId w:val="5"/>
        </w:numPr>
        <w:rPr>
          <w:rFonts w:ascii="Arial" w:cs="Arial" w:eastAsia="Arial" w:hAnsi="Arial"/>
          <w:sz w:val="23"/>
          <w:szCs w:val="23"/>
          <w:b w:val="1"/>
          <w:bCs w:val="1"/>
          <w:color w:val="auto"/>
          <w:vertAlign w:val="superscript"/>
        </w:rPr>
      </w:pPr>
      <w:r>
        <w:rPr>
          <w:rFonts w:ascii="Arial" w:cs="Arial" w:eastAsia="Arial" w:hAnsi="Arial"/>
          <w:sz w:val="13"/>
          <w:szCs w:val="13"/>
          <w:color w:val="auto"/>
        </w:rPr>
        <w:t>Net revenues are attributed to countries based on location of where revenue is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-128905</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Tangible long-lived assets are presented below by geographic area (in thousands):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2015</w:t>
            </w:r>
          </w:p>
        </w:tc>
        <w:tc>
          <w:tcPr>
            <w:tcW w:w="140" w:type="dxa"/>
            <w:vAlign w:val="bottom"/>
          </w:tcPr>
          <w:p>
            <w:pPr>
              <w:spacing w:after="0"/>
              <w:rPr>
                <w:sz w:val="14"/>
                <w:szCs w:val="14"/>
                <w:color w:val="auto"/>
              </w:rPr>
            </w:pPr>
          </w:p>
        </w:tc>
        <w:tc>
          <w:tcPr>
            <w:tcW w:w="1000" w:type="dxa"/>
            <w:vAlign w:val="bottom"/>
          </w:tcPr>
          <w:p>
            <w:pPr>
              <w:jc w:val="right"/>
              <w:ind w:right="5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9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36"/>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75"/>
        </w:trPr>
        <w:tc>
          <w:tcPr>
            <w:tcW w:w="90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9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Long-lived assets:</w:t>
            </w:r>
            <w:r>
              <w:rPr>
                <w:rFonts w:ascii="Arial" w:cs="Arial" w:eastAsia="Arial" w:hAnsi="Arial"/>
                <w:sz w:val="25"/>
                <w:szCs w:val="25"/>
                <w:b w:val="1"/>
                <w:bCs w:val="1"/>
                <w:color w:val="auto"/>
                <w:vertAlign w:val="superscript"/>
              </w:rPr>
              <w:t>(2)</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86,989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76,511</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Mexico</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6,229</w:t>
            </w:r>
          </w:p>
        </w:tc>
        <w:tc>
          <w:tcPr>
            <w:tcW w:w="0" w:type="dxa"/>
            <w:vAlign w:val="bottom"/>
          </w:tcPr>
          <w:p>
            <w:pPr>
              <w:spacing w:after="0"/>
              <w:rPr>
                <w:sz w:val="1"/>
                <w:szCs w:val="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Other International</w:t>
            </w:r>
          </w:p>
        </w:tc>
        <w:tc>
          <w:tcPr>
            <w:tcW w:w="1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7,992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7,385</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long-lived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108,029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90,125</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520" w:hanging="188"/>
        <w:spacing w:after="0"/>
        <w:tabs>
          <w:tab w:leader="none" w:pos="520" w:val="left"/>
        </w:tabs>
        <w:numPr>
          <w:ilvl w:val="0"/>
          <w:numId w:val="6"/>
        </w:numPr>
        <w:rPr>
          <w:rFonts w:ascii="Arial" w:cs="Arial" w:eastAsia="Arial" w:hAnsi="Arial"/>
          <w:sz w:val="23"/>
          <w:szCs w:val="23"/>
          <w:b w:val="1"/>
          <w:bCs w:val="1"/>
          <w:color w:val="auto"/>
          <w:vertAlign w:val="superscript"/>
        </w:rPr>
      </w:pPr>
      <w:r>
        <w:rPr>
          <w:rFonts w:ascii="Arial" w:cs="Arial" w:eastAsia="Arial" w:hAnsi="Arial"/>
          <w:sz w:val="13"/>
          <w:szCs w:val="13"/>
          <w:color w:val="auto"/>
        </w:rPr>
        <w:t>Long-lived assets are attributed to countries based on entity that owns the asset</w:t>
      </w:r>
      <w:r>
        <w:rPr>
          <w:rFonts w:ascii="Arial" w:cs="Arial" w:eastAsia="Arial" w:hAnsi="Arial"/>
          <w:sz w:val="17"/>
          <w:szCs w:val="17"/>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43"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i w:val="1"/>
          <w:iCs w:val="1"/>
          <w:color w:val="auto"/>
        </w:rPr>
        <w:t>In addition to historical information, this quarterly report on Form 10-Q contains forward-looking statements within the meaning of Section 27A of the Securities Act of 1933 and Section 21E of the Securities Exchange Act of 1934. These statements include, among other things, our expectations regarding the anticipated impact that our new products and product enhancements will have on doctor utilization and our market share, our expectation that the policy simplification “Additional Aligners At No Charge" will help increase Invisalign utilization and volume as well as the expected impact this policy change will have on Invisalign Clear Aligner net revenues in the third and fourth quarter of 2015 and beyond, our expectations regarding product mix and product adoption, our expectations regarding the existence and impact of seasonality, our expectations regarding the financial and strategic benefits of the Scanner and Services ("Scanner") business, our expectations to increase our investment in manufacturing capacity, our expectations regarding the continued expansion of our international markets, the anticipated number of new doctors trained, the expected date our iTero Element Intraoral Scanner will be available, the effectiveness of our new training course and its impact on volumes, our expectations regarding our stock repurchase program, the level of our operating expenses and gross margins, and other factors beyond our control, as well as other statements regarding our future operations, financial condition and prospects and business strategies. These statements may contain words such as “expects,” “anticipates,” “intends,” “plans,” “believes,” “estimates,” or other words indicating future results. These forward-looking statements are subject to certain risks and uncertainties that could cause actual results to differ materially from those reflected in the forward-looking statements. Factors that could cause or contribute to such differences include, but are not limited to, those discussed in Item 2 “Management’s Discussion and Analysis of Financial Condition and Results of Operations”, and in particular, the risks discussed below in Part II, Item 1A “Risk Factors”. We undertake no obligation to revise or update these forward-looking statements. Given these risks and uncertainties, readers are cautioned not to place undue reliance on such forward-looking statements.</w:t>
      </w:r>
    </w:p>
    <w:p>
      <w:pPr>
        <w:spacing w:after="0" w:line="17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together with our Condensed Consolidated Financial Statements and related notes included elsewhere in this Quarterly Report on Form 10-Q.</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Align Technology, Inc. is a global medical device company that advanced the invisible orthodontics market with the introduction of the Invisalign System in 1999. Today, we are focused on designing, manufacturing and marketing innovative technology-rich products to help dental professionals achieve the clinical results they expect and deliver effective, convenient cutting-edge dental treatment options to their patients. Align Technology was founded in March 1997 and is headquartered in San Jose, California with offices worldwide. Our international headquarters are located in Amsterdam, the Netherlands. We have two operating segments: (1) Clear Aligner, known as the Invisalign System; and (2) Scanner and Services ("Scanner"), known as the iTero intraoral scanners and OrthoCAD services.</w:t>
      </w:r>
    </w:p>
    <w:p>
      <w:pPr>
        <w:spacing w:after="0" w:line="22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received FDA clearance in 1998 and began our first commercial sales of Invisalign to U.S. orthodontists in 1999 followed by U.S. General Practitioner Dentists ("GPs") in 2002. Over the next decade, we introduced Invisalign to the European market and Japan, added distribution partners in Asia Pacific, Latin America, and Europe Middle East and Africa ("EMEA"), and introduced a full range of treatment options including Invisalign Express 10, Invisalign Teen, Invisalign Assist, and Vivera Retainers. By 2011, we launched significant new aligner and software features across all Invisalign products that make it easier for doctors to use Invisalign on more complex cases, and introduced Invisalign to the People’s Republic of China. In 2013, we launched SmartTrack, the next generation of Invisalign clear aligner material, which became the new standard aligner material for Invisalign products in North America, Europe and other international markets where we have obtained regulatory approval. Over the last several years’ we have continued to build upon our technology and expertise to deliver enhanced clinical innovations aimed at helping our customers treat some of the most challenging cases. These innovations, both launched in early 2014, include Invisalign G5, specifically designed for treatment of deep bite malocclusion, as well as ClinCheck Pro, the next generation Invisalign treatment software tool designed to help Invisalign providers achieve their treatment goals. Most recently, we began the initial commercialization of Invisalign G6 clinical innovations for first premolar extraction during the first quarter of 2015.</w:t>
      </w:r>
    </w:p>
    <w:p>
      <w:pPr>
        <w:spacing w:after="0" w:line="21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also sell iTero intra-oral scanners and provide computer-aided design and computer-aided manufacturing ("CAD/CAM") services. Intra-oral scanners provide a dental “chair-side” platform for accessing valuable digital diagnosis and treatment tools, with potential for enhancing accuracy of records, treatment efficiency, and the overall patient experience. We believe there are numerous benefits for customers and the opportunity to accelerate the adoption of Invisalign through interoperability with our intra-oral scanners. The use of digital technologies such as CAD/CAM for restorative dentistry or in-office restorations has been growing rapidly and intra-oral scanning is a critical part of enabling these new digital technologies and procedures in dental practices. In late 2012, we commercially launched the Invisalign Outcome Simulator, the first Invisalign chair-side application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powered by the iTero scanner. The interactive application provides dentists and orthodontists an enhanced platform for patient education and is designed to increase treatment acceptance by helping patients visualize the benefits possible with Invisalign treatment. In March 2015, we announced our next generation iTero Element Intraoral Scanner which features a more compact footprint, enhanced wand and multi-touch display and is engineered to enable faster scan speeds for more efficient, real-time clinical evaluation.</w:t>
      </w:r>
    </w:p>
    <w:p>
      <w:pPr>
        <w:spacing w:after="0" w:line="2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in an open systems approach to our technologies and are committed to working with other intra-oral scanning companies interested in developing interoperability for use with Invisalign treatment. In January 2014, we announced that the 3M™ True Definition scanner was qualified for use with Invisalign case submissions. This qualification enables Invisalign providers with a True Definition scanner to submit a digital impression in place of a traditional PVS impression as part of the Invisalign case submission process. In March 2015, we announced that the Sirona CEREC Omnicam with the new CEREC Ortho software 1.1 was qualified for use with Invisalign case submissions. The new CEREC Ortho software is expected to be rolled out in the summer of 2015. The 3M True Definition scanner and Sirona CEREC Omnicam scanner are the only third-party scanners that have been qualified for use with Invisalign treatment.</w:t>
      </w:r>
    </w:p>
    <w:p>
      <w:pPr>
        <w:spacing w:after="0" w:line="216"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Invisalign System is offered in more than 80 countries and has been used to treat more than 3.25 million patients. Our iTero intraoral scanner, which is primarily sold in North America, provides dental professionals with an open choice to send digital impressions to any laboratory-based CAD/CAM system or to any of the more than 3,160 dental labs worldwide.</w:t>
      </w:r>
    </w:p>
    <w:p>
      <w:pPr>
        <w:spacing w:after="0" w:line="20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Our goal is to establish Invisalign clear aligners as the standard method for treating malocclusion and to establish the iTero intraoral scanner as the preferred scanning device for 3D digital scans, ultimately driving increased product adoption by dental professionals. We intend to achieve this by continued focus and execution of our strategic growth drivers set forth in the </w:t>
      </w:r>
      <w:r>
        <w:rPr>
          <w:rFonts w:ascii="Arial" w:cs="Arial" w:eastAsia="Arial" w:hAnsi="Arial"/>
          <w:sz w:val="17"/>
          <w:szCs w:val="17"/>
          <w:i w:val="1"/>
          <w:iCs w:val="1"/>
          <w:color w:val="auto"/>
        </w:rPr>
        <w:t>Business Strategy</w:t>
      </w:r>
      <w:r>
        <w:rPr>
          <w:rFonts w:ascii="Arial" w:cs="Arial" w:eastAsia="Arial" w:hAnsi="Arial"/>
          <w:sz w:val="17"/>
          <w:szCs w:val="17"/>
          <w:color w:val="auto"/>
        </w:rPr>
        <w:t xml:space="preserve"> section in our Annual Report on Form 10-K.</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successful execution of our business strategy and our results in 2015 and beyond may be affected by a number of other factors including:</w:t>
      </w:r>
    </w:p>
    <w:p>
      <w:pPr>
        <w:spacing w:after="0" w:line="264" w:lineRule="exact"/>
        <w:rPr>
          <w:sz w:val="20"/>
          <w:szCs w:val="20"/>
          <w:color w:val="auto"/>
        </w:rPr>
      </w:pPr>
    </w:p>
    <w:p>
      <w:pPr>
        <w:jc w:val="both"/>
        <w:ind w:left="980" w:hanging="486"/>
        <w:spacing w:after="0" w:line="279"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Retirement of our CEO. </w:t>
      </w:r>
      <w:r>
        <w:rPr>
          <w:rFonts w:ascii="Arial" w:cs="Arial" w:eastAsia="Arial" w:hAnsi="Arial"/>
          <w:sz w:val="17"/>
          <w:szCs w:val="17"/>
          <w:color w:val="auto"/>
        </w:rPr>
        <w:t>Thomas M. Prescott, our former President and Chief Executive Officer ("CEO"), retired effective June 1, 2015.</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the same date, Joseph M. Hogan joined us as President and CEO, and also as a Director on our Board. Mr. Prescott will continue to serve on our Board. While we expect to engage in an orderly transition with Mr. Hogan as our new CEO, our ability to execute our business strategies and retain key personnel may be adversely affected by the uncertainty associated with this transition.</w:t>
      </w:r>
    </w:p>
    <w:p>
      <w:pPr>
        <w:spacing w:after="0" w:line="360" w:lineRule="exact"/>
        <w:rPr>
          <w:rFonts w:ascii="Arial" w:cs="Arial" w:eastAsia="Arial" w:hAnsi="Arial"/>
          <w:sz w:val="17"/>
          <w:szCs w:val="17"/>
          <w:color w:val="auto"/>
        </w:rPr>
      </w:pPr>
    </w:p>
    <w:p>
      <w:pPr>
        <w:jc w:val="both"/>
        <w:ind w:left="980" w:hanging="486"/>
        <w:spacing w:after="0" w:line="255" w:lineRule="auto"/>
        <w:tabs>
          <w:tab w:leader="none" w:pos="9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Additional Aligners at No Charge. </w:t>
      </w:r>
      <w:r>
        <w:rPr>
          <w:rFonts w:ascii="Arial" w:cs="Arial" w:eastAsia="Arial" w:hAnsi="Arial"/>
          <w:sz w:val="18"/>
          <w:szCs w:val="18"/>
          <w:color w:val="auto"/>
        </w:rPr>
        <w:t>In July 2015, we launched a new product policy called "Additional Aligners at No Charge" that addresses one</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customers' top complaints. Previously, we charged customers for additional aligners ordered beyond those covered by the initial treatment plan. With this new policy, we will no longer distinguish between mid-course corrections and case refinements and allow doctors to order additional aligners to address either treatment need at no charge. These changes will be effective for all new Invisalign Full, Teen, and Assist treatments shipped worldwide after July 18, 2015 as well as any open Invisalign Full, Teen and Assist cases as of this date. We expect this product policy change will result in a significant improvement in customer satisfaction and loyalty, which we believe will help increase Invisalign utilization and volume over time.</w:t>
      </w:r>
    </w:p>
    <w:p>
      <w:pPr>
        <w:spacing w:after="0" w:line="378" w:lineRule="exact"/>
        <w:rPr>
          <w:rFonts w:ascii="Arial" w:cs="Arial" w:eastAsia="Arial" w:hAnsi="Arial"/>
          <w:sz w:val="18"/>
          <w:szCs w:val="18"/>
          <w:i w:val="1"/>
          <w:iCs w:val="1"/>
          <w:color w:val="auto"/>
        </w:rPr>
      </w:pPr>
    </w:p>
    <w:p>
      <w:pPr>
        <w:jc w:val="both"/>
        <w:ind w:left="980"/>
        <w:spacing w:after="0" w:line="276" w:lineRule="auto"/>
        <w:rPr>
          <w:rFonts w:ascii="Arial" w:cs="Arial" w:eastAsia="Arial" w:hAnsi="Arial"/>
          <w:sz w:val="18"/>
          <w:szCs w:val="18"/>
          <w:i w:val="1"/>
          <w:iCs w:val="1"/>
          <w:color w:val="auto"/>
        </w:rPr>
      </w:pPr>
      <w:r>
        <w:rPr>
          <w:rFonts w:ascii="Arial" w:cs="Arial" w:eastAsia="Arial" w:hAnsi="Arial"/>
          <w:sz w:val="17"/>
          <w:szCs w:val="17"/>
          <w:color w:val="auto"/>
        </w:rPr>
        <w:t>Based on this new product policy, beginning in the third quarter of 2015, we will now defer more revenue as a result of providing free additional aligners for eligible treatments. Additionally, since we are “grandfathering” over 1 million open cases, we will recognize lower revenue when additional aligners are shipped for at least the next two years until these cases complete. Therefore, we expect this new product policy will decrease Clear Aligner net revenues by approximately $6.0 million to $7.0 million in the third quarter of 2015 and $7.0 million to $8.0 million in the fourth quarter of 2015. These revenues will be recognized in the future as the additional aligners are shipped.</w:t>
      </w:r>
    </w:p>
    <w:p>
      <w:pPr>
        <w:spacing w:after="0" w:line="361" w:lineRule="exact"/>
        <w:rPr>
          <w:rFonts w:ascii="Arial" w:cs="Arial" w:eastAsia="Arial" w:hAnsi="Arial"/>
          <w:sz w:val="18"/>
          <w:szCs w:val="18"/>
          <w:i w:val="1"/>
          <w:iCs w:val="1"/>
          <w:color w:val="auto"/>
        </w:rPr>
      </w:pPr>
    </w:p>
    <w:p>
      <w:pPr>
        <w:jc w:val="both"/>
        <w:ind w:left="980" w:hanging="486"/>
        <w:spacing w:after="0" w:line="272" w:lineRule="auto"/>
        <w:tabs>
          <w:tab w:leader="none" w:pos="98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New Products, Feature Enhancements and Technology Innovation</w:t>
      </w:r>
      <w:r>
        <w:rPr>
          <w:rFonts w:ascii="Arial" w:cs="Arial" w:eastAsia="Arial" w:hAnsi="Arial"/>
          <w:sz w:val="17"/>
          <w:szCs w:val="17"/>
          <w:color w:val="auto"/>
        </w:rPr>
        <w:t>. Product innovation drives greater treatment predictability and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applicability, and ease of use for our customers, which supports adoption of Invisalign in their practices. Increasing applicability and treating more complex cases requires that we move away from individual features to more comprehensive solutions so that Invisalign providers can more predictably treat the whole case, such as with Invisalign G5 for deep bite treatment. Launched in February 2014, Invisalign G5 was engineered to help doctors achieve even better clinical outcomes when treating patients with deep bites - a prevalent orthodontic problem. In North America, in February 2014 and Internationally in the first quarter of 2015, we launched ClinCheck Pro, the next generation Invisalign treatment software tool, designed to provide more precise control over final tooth</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11" w:right="239" w:bottom="1440" w:gutter="0" w:footer="0" w:header="0"/>
        </w:sectPr>
      </w:pPr>
    </w:p>
    <w:bookmarkStart w:id="22" w:name="page23"/>
    <w:bookmarkEnd w:id="22"/>
    <w:p>
      <w:pPr>
        <w:jc w:val="both"/>
        <w:ind w:left="486"/>
        <w:spacing w:after="0" w:line="300" w:lineRule="auto"/>
        <w:rPr>
          <w:sz w:val="20"/>
          <w:szCs w:val="20"/>
          <w:color w:val="auto"/>
        </w:rPr>
      </w:pPr>
      <w:r>
        <w:rPr>
          <w:rFonts w:ascii="Arial" w:cs="Arial" w:eastAsia="Arial" w:hAnsi="Arial"/>
          <w:sz w:val="18"/>
          <w:szCs w:val="18"/>
          <w:color w:val="auto"/>
        </w:rPr>
        <w:t>position and to help Invisalign providers achieve their treatment goals. Invisalign G6 clinical innovations for premolar extraction became available to Invisalign-trained providers beginning in the first quarter of 2015 with limited commercialization. Full commercialization of Invisalign G6 in Europe, Middle East and Africa ("EMEA"), Asia Pacific, and Latin America geographies will occur throughout 2015 and in North America in early 2016. Invisalign G6 is engineered to improve clinical outcomes for orthodontic treatment of severe crowding and bimaxillary protrusion. Most recently, in March 2015, we announced the next generation iTero Element Intraoral Scanner with improved imaging technology that is designed to enable significantly faster scan speed, accuracy, intuitive operation, and visualization capabilities. Availability for the iTero Element Intraoral Scanner is expected in the second half of 2015. We believe that over the long-term, clinical solutions and treatment tools will increase adoption of Invisalign and increase sales of our intraoral scanners; however, it is difficult to predict the rate of adoption which may vary by region and channel.</w:t>
      </w:r>
    </w:p>
    <w:p>
      <w:pPr>
        <w:spacing w:after="0" w:line="116" w:lineRule="exact"/>
        <w:rPr>
          <w:sz w:val="20"/>
          <w:szCs w:val="20"/>
          <w:color w:val="auto"/>
        </w:rPr>
      </w:pPr>
    </w:p>
    <w:p>
      <w:pPr>
        <w:jc w:val="both"/>
        <w:ind w:left="486" w:hanging="486"/>
        <w:spacing w:after="0" w:line="264" w:lineRule="auto"/>
        <w:tabs>
          <w:tab w:leader="none" w:pos="486"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Invisalign Utilization rates. </w:t>
      </w:r>
      <w:r>
        <w:rPr>
          <w:rFonts w:ascii="Arial" w:cs="Arial" w:eastAsia="Arial" w:hAnsi="Arial"/>
          <w:sz w:val="18"/>
          <w:szCs w:val="18"/>
          <w:color w:val="auto"/>
        </w:rPr>
        <w:t>Our goal is to establish Invisalign as the treatment of choice for treating malocclusion ultimately driving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adoption and frequency of use by dental professionals, also known as "utilization rates." Our quarterly utilization rates for the previous 9 quarters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90170</wp:posOffset>
            </wp:positionV>
            <wp:extent cx="5196840" cy="33020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96840" cy="330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06" w:hanging="133"/>
        <w:spacing w:after="0"/>
        <w:tabs>
          <w:tab w:leader="none" w:pos="1106" w:val="left"/>
        </w:tabs>
        <w:numPr>
          <w:ilvl w:val="0"/>
          <w:numId w:val="9"/>
        </w:numPr>
        <w:rPr>
          <w:rFonts w:ascii="Arial" w:cs="Arial" w:eastAsia="Arial" w:hAnsi="Arial"/>
          <w:sz w:val="9"/>
          <w:szCs w:val="9"/>
          <w:b w:val="1"/>
          <w:bCs w:val="1"/>
          <w:color w:val="auto"/>
        </w:rPr>
      </w:pPr>
      <w:r>
        <w:rPr>
          <w:rFonts w:ascii="Arial" w:cs="Arial" w:eastAsia="Arial" w:hAnsi="Arial"/>
          <w:sz w:val="14"/>
          <w:szCs w:val="14"/>
          <w:color w:val="auto"/>
        </w:rPr>
        <w:t>Invisalign Utilization rates = # of cases shipped divided by # of doctors cases were shipped to</w:t>
      </w:r>
    </w:p>
    <w:p>
      <w:pPr>
        <w:spacing w:after="0" w:line="222" w:lineRule="exact"/>
        <w:rPr>
          <w:sz w:val="20"/>
          <w:szCs w:val="20"/>
          <w:color w:val="auto"/>
        </w:rPr>
      </w:pPr>
    </w:p>
    <w:p>
      <w:pPr>
        <w:jc w:val="both"/>
        <w:ind w:left="486"/>
        <w:spacing w:after="0" w:line="269" w:lineRule="auto"/>
        <w:rPr>
          <w:sz w:val="20"/>
          <w:szCs w:val="20"/>
          <w:color w:val="auto"/>
        </w:rPr>
      </w:pPr>
      <w:r>
        <w:rPr>
          <w:rFonts w:ascii="Arial" w:cs="Arial" w:eastAsia="Arial" w:hAnsi="Arial"/>
          <w:sz w:val="17"/>
          <w:szCs w:val="17"/>
          <w:color w:val="auto"/>
        </w:rPr>
        <w:t>Total utilization in the second quarter of 2015 was 4.6 cases per doctor compared to 4.4 in the second quarter of 2014. Utilization among our North American orthodontist customers reached an all time high of 9.5 cases per doctor in the second quarter of 2015 compared to 8.4 in the second quarter of 2014. International doctor utilization increased slightly to 4.6 in the second quarter of 2015 from 4.5 in the second quarter of 2014. North American GP doctor utilization increased slightly to 3.0 in the second quarter of 2015 from 2.9 in the second quarter of 2014. The increase in North America orthodontist utilization reflects improvements in product and technology, which continues to strengthen our doctors’ clinical confidence in the use of Invisalign such that they now utilize Invisalign more often and on more complex cases, including their teenage patients. Increased International utilization reflects growth in both the EMEA and Asia Pacific regions driven by go-to-market and sales coverage investments, improving clinical education and support as well as ongoing technology innovation. We expect that over the long-term our utilization rates will gradually improve as a result of advancements in product and technology, which continue to strengthen our doctors’ clinical confidence in the use of Invisalign, along with the implementation of our Go-To-Market strategy (as discussed below); however, we expect that our utilization rates may fluctuate from period to period due to a variety of factors, including seasonal trends in our business along with adoption rates of new products and features.</w:t>
      </w:r>
    </w:p>
    <w:p>
      <w:pPr>
        <w:spacing w:after="0" w:line="200" w:lineRule="exact"/>
        <w:rPr>
          <w:sz w:val="20"/>
          <w:szCs w:val="20"/>
          <w:color w:val="auto"/>
        </w:rPr>
      </w:pPr>
    </w:p>
    <w:p>
      <w:pPr>
        <w:spacing w:after="0" w:line="223"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6"/>
          </w:cols>
          <w:pgMar w:left="734" w:top="638" w:right="239" w:bottom="1440" w:gutter="0" w:footer="0" w:header="0"/>
        </w:sectPr>
      </w:pPr>
    </w:p>
    <w:bookmarkStart w:id="23" w:name="page24"/>
    <w:bookmarkEnd w:id="23"/>
    <w:p>
      <w:pPr>
        <w:jc w:val="both"/>
        <w:ind w:left="486" w:hanging="486"/>
        <w:spacing w:after="0" w:line="276" w:lineRule="auto"/>
        <w:tabs>
          <w:tab w:leader="none" w:pos="486"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Seasonal Trends. </w:t>
      </w:r>
      <w:r>
        <w:rPr>
          <w:rFonts w:ascii="Arial" w:cs="Arial" w:eastAsia="Arial" w:hAnsi="Arial"/>
          <w:sz w:val="17"/>
          <w:szCs w:val="17"/>
          <w:color w:val="auto"/>
        </w:rPr>
        <w:t>In North America, summer is typically the busiest season for orthodontists with practices that have a high percentage of</w:t>
      </w:r>
      <w:r>
        <w:rPr>
          <w:rFonts w:ascii="Arial" w:cs="Arial" w:eastAsia="Arial" w:hAnsi="Arial"/>
          <w:sz w:val="17"/>
          <w:szCs w:val="17"/>
          <w:i w:val="1"/>
          <w:iCs w:val="1"/>
          <w:color w:val="auto"/>
        </w:rPr>
        <w:t xml:space="preserve"> </w:t>
      </w:r>
      <w:r>
        <w:rPr>
          <w:rFonts w:ascii="Arial" w:cs="Arial" w:eastAsia="Arial" w:hAnsi="Arial"/>
          <w:sz w:val="17"/>
          <w:szCs w:val="17"/>
          <w:color w:val="auto"/>
        </w:rPr>
        <w:t>adolescent and teenage patients as many parents want to get their teenagers started in treatment before the start of the school year; however, many GPs are on vacation during this time and, therefore, tend to start fewer cases. Internationally, sales of Invisalign treatment are often weaker in the summer months due to customers and their patients being on holiday. Consequently, we expect that our Invisalign volume will be relatively flat to slightly down in the third quarter of 2015 compared to the second quarter.</w:t>
      </w:r>
    </w:p>
    <w:p>
      <w:pPr>
        <w:spacing w:after="0" w:line="172" w:lineRule="exact"/>
        <w:rPr>
          <w:rFonts w:ascii="Arial" w:cs="Arial" w:eastAsia="Arial" w:hAnsi="Arial"/>
          <w:sz w:val="17"/>
          <w:szCs w:val="17"/>
          <w:i w:val="1"/>
          <w:iCs w:val="1"/>
          <w:color w:val="auto"/>
        </w:rPr>
      </w:pPr>
    </w:p>
    <w:p>
      <w:pPr>
        <w:jc w:val="both"/>
        <w:ind w:left="486" w:hanging="486"/>
        <w:spacing w:after="0" w:line="253" w:lineRule="auto"/>
        <w:tabs>
          <w:tab w:leader="none" w:pos="486"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Number of new Invisalign doctors trained. </w:t>
      </w:r>
      <w:r>
        <w:rPr>
          <w:rFonts w:ascii="Arial" w:cs="Arial" w:eastAsia="Arial" w:hAnsi="Arial"/>
          <w:sz w:val="18"/>
          <w:szCs w:val="18"/>
          <w:color w:val="auto"/>
        </w:rPr>
        <w:t>We continue to expand our Invisalign customer base through the training of new doctors. In 2014,</w:t>
      </w:r>
      <w:r>
        <w:rPr>
          <w:rFonts w:ascii="Arial" w:cs="Arial" w:eastAsia="Arial" w:hAnsi="Arial"/>
          <w:sz w:val="18"/>
          <w:szCs w:val="18"/>
          <w:i w:val="1"/>
          <w:iCs w:val="1"/>
          <w:color w:val="auto"/>
        </w:rPr>
        <w:t xml:space="preserve"> </w:t>
      </w:r>
      <w:r>
        <w:rPr>
          <w:rFonts w:ascii="Arial" w:cs="Arial" w:eastAsia="Arial" w:hAnsi="Arial"/>
          <w:sz w:val="18"/>
          <w:szCs w:val="18"/>
          <w:color w:val="auto"/>
        </w:rPr>
        <w:t>Invisalign growth was driven primarily by increased utilization by our North American orthodontist doctors and International doctors as well as by the continued expansion of our customer base as we trained a total of 9,440 new Invisalign doctors, of which 56% were trained internationally. GPs are one of the keys to driving growth in the adult segment, and, in 2014, we launched Invisalign Fundamentals, a new training course, designed to improve practice integration and increase utilization for newly trained doctors. The Invisalign Fundamentals program has been implemented across North America, and we will look for opportunities to adjust our international training programs as we work to help our GP practices worldwide more successfully adopt Invisalign into their practices. We believe that this new training approach, together with our go-to market strategy which includes dedicated focus, pre-and post training, has the potential to increase the number of doctors submitting cases 90-days post-training, as well as the number of cases submitted per doctor. During the second quarter of 2015, we trained 2,460 new Invisalign doctors.</w:t>
      </w:r>
    </w:p>
    <w:p>
      <w:pPr>
        <w:spacing w:after="0" w:line="194" w:lineRule="exact"/>
        <w:rPr>
          <w:rFonts w:ascii="Arial" w:cs="Arial" w:eastAsia="Arial" w:hAnsi="Arial"/>
          <w:sz w:val="18"/>
          <w:szCs w:val="18"/>
          <w:i w:val="1"/>
          <w:iCs w:val="1"/>
          <w:color w:val="auto"/>
        </w:rPr>
      </w:pPr>
    </w:p>
    <w:p>
      <w:pPr>
        <w:jc w:val="both"/>
        <w:ind w:left="486" w:hanging="486"/>
        <w:spacing w:after="0" w:line="293" w:lineRule="auto"/>
        <w:tabs>
          <w:tab w:leader="none" w:pos="486"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International Clear Aligner. </w:t>
      </w:r>
      <w:r>
        <w:rPr>
          <w:rFonts w:ascii="Arial" w:cs="Arial" w:eastAsia="Arial" w:hAnsi="Arial"/>
          <w:sz w:val="16"/>
          <w:szCs w:val="16"/>
          <w:color w:val="auto"/>
        </w:rPr>
        <w:t>We will continue to focus our efforts towards increasing adoption of our products by dental professionals in our</w:t>
      </w:r>
      <w:r>
        <w:rPr>
          <w:rFonts w:ascii="Arial" w:cs="Arial" w:eastAsia="Arial" w:hAnsi="Arial"/>
          <w:sz w:val="16"/>
          <w:szCs w:val="16"/>
          <w:i w:val="1"/>
          <w:iCs w:val="1"/>
          <w:color w:val="auto"/>
        </w:rPr>
        <w:t xml:space="preserve"> </w:t>
      </w:r>
      <w:r>
        <w:rPr>
          <w:rFonts w:ascii="Arial" w:cs="Arial" w:eastAsia="Arial" w:hAnsi="Arial"/>
          <w:sz w:val="16"/>
          <w:szCs w:val="16"/>
          <w:color w:val="auto"/>
        </w:rPr>
        <w:t>direct international markets. On a year over year basis, international volume increased 30.5% driven primarily by growth in Europe as well as by strong performance in the Asia Pacific region. In 2015, we are continuing to expand in our existing markets through targeted investments in sales coverage and professional marketing and education programs, along with consumer marketing in selected country markets. We expect international revenues to continue to grow at a faster rate than North America for the foreseeable future due to our continued investment in international market expansion, the size of the market opportunity, and our relatively low market penetration in this region.</w:t>
      </w:r>
    </w:p>
    <w:p>
      <w:pPr>
        <w:spacing w:after="0" w:line="110" w:lineRule="exact"/>
        <w:rPr>
          <w:rFonts w:ascii="Arial" w:cs="Arial" w:eastAsia="Arial" w:hAnsi="Arial"/>
          <w:sz w:val="16"/>
          <w:szCs w:val="16"/>
          <w:color w:val="auto"/>
        </w:rPr>
      </w:pPr>
    </w:p>
    <w:p>
      <w:pPr>
        <w:jc w:val="both"/>
        <w:ind w:left="486" w:hanging="486"/>
        <w:spacing w:after="0" w:line="276" w:lineRule="auto"/>
        <w:tabs>
          <w:tab w:leader="none" w:pos="486"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Go-To-Market Evolution. </w:t>
      </w:r>
      <w:r>
        <w:rPr>
          <w:rFonts w:ascii="Arial" w:cs="Arial" w:eastAsia="Arial" w:hAnsi="Arial"/>
          <w:sz w:val="17"/>
          <w:szCs w:val="17"/>
          <w:color w:val="auto"/>
        </w:rPr>
        <w:t>In order to provide more comprehensive sales and service coverage, in 2015, we implemented an updated go-to-market strategy with an expanded team and new structure in North America. In order to ensure our North America sales and marketing team can increase time in-office and help each practice become more successful, we have added approximately 50 sales team members in 2015, the majority of which were in place as of the end of the first quarter. We believe that these investments in a refined go-to-market strategy and the strategic deployment of more people will improve adoption and utilization of Invisalign by our customers.</w:t>
      </w:r>
    </w:p>
    <w:p>
      <w:pPr>
        <w:spacing w:after="0" w:line="118" w:lineRule="exact"/>
        <w:rPr>
          <w:rFonts w:ascii="Arial" w:cs="Arial" w:eastAsia="Arial" w:hAnsi="Arial"/>
          <w:sz w:val="17"/>
          <w:szCs w:val="17"/>
          <w:color w:val="auto"/>
        </w:rPr>
      </w:pPr>
    </w:p>
    <w:p>
      <w:pPr>
        <w:jc w:val="both"/>
        <w:ind w:left="486" w:hanging="486"/>
        <w:spacing w:after="0" w:line="257" w:lineRule="auto"/>
        <w:tabs>
          <w:tab w:leader="none" w:pos="486"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Increase in Invisalign Selling Price. </w:t>
      </w:r>
      <w:r>
        <w:rPr>
          <w:rFonts w:ascii="Arial" w:cs="Arial" w:eastAsia="Arial" w:hAnsi="Arial"/>
          <w:sz w:val="18"/>
          <w:szCs w:val="18"/>
          <w:color w:val="auto"/>
        </w:rPr>
        <w:t>We have historically invested in research and development and continuous product innovation. In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and even accelerate this product innovation cycle, we recently announced a price increase of approximately 3% on Invisalign Full and Invisalign Teen products. In North America, the increase of $50 per treatment was effective April 1, 2015, and internationally, the price increase of €50 (per treatment was effective July 1, 2015. The prices for Invisalign Assist, Invisalign Express 10 and Invisalign Express 5/Lite products remained unchanged.</w:t>
      </w:r>
    </w:p>
    <w:p>
      <w:pPr>
        <w:spacing w:after="0" w:line="134" w:lineRule="exact"/>
        <w:rPr>
          <w:rFonts w:ascii="Arial" w:cs="Arial" w:eastAsia="Arial" w:hAnsi="Arial"/>
          <w:sz w:val="18"/>
          <w:szCs w:val="18"/>
          <w:color w:val="auto"/>
        </w:rPr>
      </w:pPr>
    </w:p>
    <w:p>
      <w:pPr>
        <w:ind w:left="486" w:hanging="486"/>
        <w:spacing w:after="0"/>
        <w:tabs>
          <w:tab w:leader="none" w:pos="486"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We expect operating expenses to increase in 2015 compared to 2014 due in part to:</w:t>
      </w:r>
    </w:p>
    <w:p>
      <w:pPr>
        <w:spacing w:after="0" w:line="171" w:lineRule="exact"/>
        <w:rPr>
          <w:rFonts w:ascii="Arial" w:cs="Arial" w:eastAsia="Arial" w:hAnsi="Arial"/>
          <w:sz w:val="18"/>
          <w:szCs w:val="18"/>
          <w:i w:val="1"/>
          <w:iCs w:val="1"/>
          <w:color w:val="auto"/>
        </w:rPr>
      </w:pPr>
    </w:p>
    <w:p>
      <w:pPr>
        <w:ind w:left="966" w:right="20" w:hanging="236"/>
        <w:spacing w:after="0" w:line="277" w:lineRule="auto"/>
        <w:tabs>
          <w:tab w:leader="none" w:pos="966"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increase in North American sales force coverage discussed above, as well as additions to our sales force in EMEA and Asia Pacific regions,</w:t>
      </w:r>
    </w:p>
    <w:p>
      <w:pPr>
        <w:spacing w:after="0" w:line="116" w:lineRule="exact"/>
        <w:rPr>
          <w:rFonts w:ascii="Arial" w:cs="Arial" w:eastAsia="Arial" w:hAnsi="Arial"/>
          <w:sz w:val="18"/>
          <w:szCs w:val="18"/>
          <w:color w:val="auto"/>
        </w:rPr>
      </w:pPr>
    </w:p>
    <w:p>
      <w:pPr>
        <w:ind w:left="966" w:hanging="236"/>
        <w:spacing w:after="0" w:line="277" w:lineRule="auto"/>
        <w:tabs>
          <w:tab w:leader="none" w:pos="966"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infrastructure investments, including a project to implement a new enterprise resource planning system which we started in late 2014 with expected "go-live" for various modules and subsidiaries throughout 2016; and</w:t>
      </w:r>
    </w:p>
    <w:p>
      <w:pPr>
        <w:spacing w:after="0" w:line="116" w:lineRule="exact"/>
        <w:rPr>
          <w:rFonts w:ascii="Arial" w:cs="Arial" w:eastAsia="Arial" w:hAnsi="Arial"/>
          <w:sz w:val="18"/>
          <w:szCs w:val="18"/>
          <w:color w:val="auto"/>
        </w:rPr>
      </w:pPr>
    </w:p>
    <w:p>
      <w:pPr>
        <w:ind w:left="966" w:hanging="236"/>
        <w:spacing w:after="0"/>
        <w:tabs>
          <w:tab w:leader="none" w:pos="966"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investments in new products and markets.</w:t>
      </w:r>
    </w:p>
    <w:p>
      <w:pPr>
        <w:spacing w:after="0" w:line="171" w:lineRule="exact"/>
        <w:rPr>
          <w:sz w:val="20"/>
          <w:szCs w:val="20"/>
          <w:color w:val="auto"/>
        </w:rPr>
      </w:pPr>
    </w:p>
    <w:p>
      <w:pPr>
        <w:ind w:left="486"/>
        <w:spacing w:after="0"/>
        <w:rPr>
          <w:sz w:val="20"/>
          <w:szCs w:val="20"/>
          <w:color w:val="auto"/>
        </w:rPr>
      </w:pPr>
      <w:r>
        <w:rPr>
          <w:rFonts w:ascii="Arial" w:cs="Arial" w:eastAsia="Arial" w:hAnsi="Arial"/>
          <w:sz w:val="18"/>
          <w:szCs w:val="18"/>
          <w:color w:val="auto"/>
        </w:rPr>
        <w:t>We believe that these investments will position us to increase our revenue and continue to grow our market share.</w:t>
      </w:r>
    </w:p>
    <w:p>
      <w:pPr>
        <w:spacing w:after="0" w:line="171" w:lineRule="exact"/>
        <w:rPr>
          <w:sz w:val="20"/>
          <w:szCs w:val="20"/>
          <w:color w:val="auto"/>
        </w:rPr>
      </w:pPr>
    </w:p>
    <w:p>
      <w:pPr>
        <w:jc w:val="both"/>
        <w:ind w:left="486" w:hanging="486"/>
        <w:spacing w:after="0" w:line="276" w:lineRule="auto"/>
        <w:tabs>
          <w:tab w:leader="none" w:pos="486"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Investments to Increase Manufacturing Capacity. </w:t>
      </w:r>
      <w:r>
        <w:rPr>
          <w:rFonts w:ascii="Arial" w:cs="Arial" w:eastAsia="Arial" w:hAnsi="Arial"/>
          <w:sz w:val="17"/>
          <w:szCs w:val="17"/>
          <w:color w:val="auto"/>
        </w:rPr>
        <w:t>In February 2015, in order to expand our manufacturing capacity to support additional growth,</w:t>
      </w:r>
      <w:r>
        <w:rPr>
          <w:rFonts w:ascii="Arial" w:cs="Arial" w:eastAsia="Arial" w:hAnsi="Arial"/>
          <w:sz w:val="17"/>
          <w:szCs w:val="17"/>
          <w:i w:val="1"/>
          <w:iCs w:val="1"/>
          <w:color w:val="auto"/>
        </w:rPr>
        <w:t xml:space="preserve"> </w:t>
      </w:r>
      <w:r>
        <w:rPr>
          <w:rFonts w:ascii="Arial" w:cs="Arial" w:eastAsia="Arial" w:hAnsi="Arial"/>
          <w:sz w:val="17"/>
          <w:szCs w:val="17"/>
          <w:color w:val="auto"/>
        </w:rPr>
        <w:t>we purchased another facility in Juarez, Mexico. We expect to begin manufacturing aligners in this second facility in the third quarter of 2015. We will also continue to manufacture Aligners at our existing facility in Juarez. Our ability to plan, construct and equip manufacturing facilities is subject to significant risk and uncertainty, including delays and cost overruns. If demand for our product in 2015 exceeds our current expectations, or if the timing of receipt of case product orders during a given quarter is different from our expectations,</w:t>
      </w:r>
    </w:p>
    <w:p>
      <w:pPr>
        <w:spacing w:after="0" w:line="362"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6"/>
          </w:cols>
          <w:pgMar w:left="734" w:top="368" w:right="239" w:bottom="1440" w:gutter="0" w:footer="0" w:header="0"/>
        </w:sectPr>
      </w:pPr>
    </w:p>
    <w:bookmarkStart w:id="24" w:name="page25"/>
    <w:bookmarkEnd w:id="24"/>
    <w:p>
      <w:pPr>
        <w:jc w:val="both"/>
        <w:ind w:left="980"/>
        <w:spacing w:after="0" w:line="311" w:lineRule="auto"/>
        <w:rPr>
          <w:sz w:val="20"/>
          <w:szCs w:val="20"/>
          <w:color w:val="auto"/>
        </w:rPr>
      </w:pPr>
      <w:r>
        <w:rPr>
          <w:rFonts w:ascii="Arial" w:cs="Arial" w:eastAsia="Arial" w:hAnsi="Arial"/>
          <w:sz w:val="18"/>
          <w:szCs w:val="18"/>
          <w:color w:val="auto"/>
        </w:rPr>
        <w:t>we may not be able to fulfill orders in a timely manner, which may negatively impact our financial results and overall business. Conversely, if demand decreases or if we fail to forecast demand accurately, we could be required to record excess capacity charges, which would lower our gross margin.</w:t>
      </w:r>
    </w:p>
    <w:p>
      <w:pPr>
        <w:spacing w:after="0" w:line="100" w:lineRule="exact"/>
        <w:rPr>
          <w:sz w:val="20"/>
          <w:szCs w:val="20"/>
          <w:color w:val="auto"/>
        </w:rPr>
      </w:pPr>
    </w:p>
    <w:p>
      <w:pPr>
        <w:jc w:val="both"/>
        <w:ind w:left="980" w:hanging="486"/>
        <w:spacing w:after="0" w:line="253" w:lineRule="auto"/>
        <w:tabs>
          <w:tab w:leader="none" w:pos="98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Foreign exchange rates. </w:t>
      </w:r>
      <w:r>
        <w:rPr>
          <w:rFonts w:ascii="Arial" w:cs="Arial" w:eastAsia="Arial" w:hAnsi="Arial"/>
          <w:sz w:val="18"/>
          <w:szCs w:val="18"/>
          <w:color w:val="auto"/>
        </w:rPr>
        <w:t>Although the U.S. dollar is our reporting currency, a portion of our net revenues and income are generated in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currencies. Net revenues and income generated by subsidiaries operating outside of the U.S. are translated into U.S. dollars using exchange rates effective during the respective period and as a result are affected by changes in exchange rates. We have generally accepted the exposure to exchange rate movements without using derivative financial instruments to manage this risk; therefore, both positive and negative movements in currency exchange rates against the U.S. dollar will continue to affect the reported amount of net revenues and income in our consolidated financial statements. In the second quarter of 2015, we continued to experience a negative impact from the weakening of the Euro and other foreign currencies relative to the U.S. Dollar, which slowed from its decline in prior quarters. In the second quarter of 2015, our net revenues were negatively impacted by $1.2 million in comparison to the first quarter of 2015. If the U.S. Dollar continues to strengthen compared to other foreign currencies, including the Euro, our reported amount of net revenues and income will be negatively impacted compared to the same period last year.</w:t>
      </w:r>
    </w:p>
    <w:p>
      <w:pPr>
        <w:spacing w:after="0" w:line="140" w:lineRule="exact"/>
        <w:rPr>
          <w:rFonts w:ascii="Arial" w:cs="Arial" w:eastAsia="Arial" w:hAnsi="Arial"/>
          <w:sz w:val="18"/>
          <w:szCs w:val="18"/>
          <w:i w:val="1"/>
          <w:iCs w:val="1"/>
          <w:color w:val="auto"/>
        </w:rPr>
      </w:pPr>
    </w:p>
    <w:p>
      <w:pPr>
        <w:jc w:val="both"/>
        <w:ind w:left="980" w:hanging="486"/>
        <w:spacing w:after="0" w:line="269" w:lineRule="auto"/>
        <w:tabs>
          <w:tab w:leader="none" w:pos="980" w:val="left"/>
        </w:tabs>
        <w:numPr>
          <w:ilvl w:val="0"/>
          <w:numId w:val="12"/>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Stock Repurchase Authorization. </w:t>
      </w:r>
      <w:r>
        <w:rPr>
          <w:rFonts w:ascii="Arial" w:cs="Arial" w:eastAsia="Arial" w:hAnsi="Arial"/>
          <w:sz w:val="17"/>
          <w:szCs w:val="17"/>
          <w:color w:val="auto"/>
        </w:rPr>
        <w:t>On April 23, 2014, we announced that our Board of Directors had authorized a stock repurchase program</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pursuant to which we may purchase up to $300.0 million of our common stock over the next three years, with $100.0 million authorized to be purchased over the first twelve months.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 The program does not obligate Align to acquire any particular amount of common stock and depending on market conditions or other factors these purchases may be commenced or suspended at any time, or from time-to-time without prior notice. The </w:t>
      </w:r>
      <w:r>
        <w:rPr>
          <w:rFonts w:ascii="Arial" w:cs="Arial" w:eastAsia="Arial" w:hAnsi="Arial"/>
          <w:sz w:val="17"/>
          <w:szCs w:val="17"/>
          <w:color w:val="252525"/>
        </w:rPr>
        <w:t>authorization or</w:t>
      </w:r>
      <w:r>
        <w:rPr>
          <w:rFonts w:ascii="Arial" w:cs="Arial" w:eastAsia="Arial" w:hAnsi="Arial"/>
          <w:sz w:val="17"/>
          <w:szCs w:val="17"/>
          <w:color w:val="auto"/>
        </w:rPr>
        <w:t xml:space="preserve"> </w:t>
      </w:r>
      <w:r>
        <w:rPr>
          <w:rFonts w:ascii="Arial" w:cs="Arial" w:eastAsia="Arial" w:hAnsi="Arial"/>
          <w:sz w:val="17"/>
          <w:szCs w:val="17"/>
          <w:color w:val="252525"/>
        </w:rPr>
        <w:t>continuance of any repurchases under stock repurchase programs is contingent on a variety of factors, including our financial condition, results of operations, business requirements, and our Board of Directors' continuing determination that such stock repurchases are in the best interests of our stockholders and in compliance with all laws and applicable agreements. Additionally, there can be no assurance that our stock repurchase program will have a beneficial impact on our stock price.</w:t>
      </w:r>
    </w:p>
    <w:p>
      <w:pPr>
        <w:spacing w:after="0" w:line="128" w:lineRule="exact"/>
        <w:rPr>
          <w:rFonts w:ascii="Arial" w:cs="Arial" w:eastAsia="Arial" w:hAnsi="Arial"/>
          <w:sz w:val="17"/>
          <w:szCs w:val="17"/>
          <w:b w:val="1"/>
          <w:bCs w:val="1"/>
          <w:color w:val="auto"/>
        </w:rPr>
      </w:pPr>
    </w:p>
    <w:p>
      <w:pPr>
        <w:jc w:val="both"/>
        <w:ind w:left="98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In January 2015, we completed the first $100.0 million under the program, and our Board of Directors authorized the repurchase of the next $100.0 million under the repurchase program, which we anticipate completing within twelve months. On April 28, 2015, we entered into an accelerated share repurchase agreement ("2015 ASR") to repurchase $70.0 million of our common stock. Under the terms of the 2015 ASR, we paid $70.0 million on April 29, 2015 and received an initial delivery of approximately 0.8 million shares based on the then current market price, which were retired. As of June 30, 2015, there remains approximately $130.0 million available under our existing stock repurchase authorization. The 2015 ASR was completed on July 23, 2015. Under the 2015 ASR, we received a total of approximately 1.2 million shares of our common stock for an average share price of $60.52. The final number of shares repurchased was based on our volume-weighted average stock price during the term of the transaction, less an agreed upon discount.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revenues by Reportable Segment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group our operations into two reportable segments: Clear Aligner segment and Scanner and Services segment.</w:t>
      </w:r>
    </w:p>
    <w:p>
      <w:pPr>
        <w:spacing w:after="0" w:line="225" w:lineRule="exact"/>
        <w:rPr>
          <w:sz w:val="20"/>
          <w:szCs w:val="20"/>
          <w:color w:val="auto"/>
        </w:rPr>
      </w:pPr>
    </w:p>
    <w:p>
      <w:pPr>
        <w:ind w:left="980" w:hanging="486"/>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Clear Aligner segment consists of our Invisalign system which includes Invisalign Full, Teen and Assist ("Full Products"), Express/Lite ("Express Products"),Vivera retainers, along with our training and ancillary products for treating malocclusion.</w:t>
      </w:r>
    </w:p>
    <w:p>
      <w:pPr>
        <w:spacing w:after="0" w:line="170" w:lineRule="exact"/>
        <w:rPr>
          <w:rFonts w:ascii="Arial" w:cs="Arial" w:eastAsia="Arial" w:hAnsi="Arial"/>
          <w:sz w:val="18"/>
          <w:szCs w:val="18"/>
          <w:color w:val="auto"/>
        </w:rPr>
      </w:pPr>
    </w:p>
    <w:p>
      <w:pPr>
        <w:ind w:left="980" w:hanging="486"/>
        <w:spacing w:after="0" w:line="308"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Scanner and Services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9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revenues for our Clear Aligner segment by region and product and our Scanner segment by region for the three and six months ended June 30, 2015 and 2014 is as follows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3"/>
              </w:rPr>
              <w:t>For the Three Months Ended,</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6"/>
          </w:tcPr>
          <w:p>
            <w:pPr>
              <w:ind w:left="100"/>
              <w:spacing w:after="0"/>
              <w:rPr>
                <w:sz w:val="20"/>
                <w:szCs w:val="20"/>
                <w:color w:val="auto"/>
              </w:rPr>
            </w:pPr>
            <w:r>
              <w:rPr>
                <w:rFonts w:ascii="Arial" w:cs="Arial" w:eastAsia="Arial" w:hAnsi="Arial"/>
                <w:sz w:val="14"/>
                <w:szCs w:val="14"/>
                <w:b w:val="1"/>
                <w:bCs w:val="1"/>
                <w:color w:val="auto"/>
                <w:w w:val="95"/>
              </w:rPr>
              <w:t>For the Six Months Ended,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6"/>
          </w:tcPr>
          <w:p>
            <w:pPr>
              <w:jc w:val="center"/>
              <w:ind w:right="760"/>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June 30,</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Revenues</w:t>
            </w:r>
          </w:p>
        </w:tc>
        <w:tc>
          <w:tcPr>
            <w:tcW w:w="180" w:type="dxa"/>
            <w:vAlign w:val="bottom"/>
          </w:tcPr>
          <w:p>
            <w:pPr>
              <w:spacing w:after="0"/>
              <w:rPr>
                <w:sz w:val="13"/>
                <w:szCs w:val="13"/>
                <w:color w:val="auto"/>
              </w:rPr>
            </w:pPr>
          </w:p>
        </w:tc>
        <w:tc>
          <w:tcPr>
            <w:tcW w:w="6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center"/>
              <w:ind w:right="440"/>
              <w:spacing w:after="0" w:line="153" w:lineRule="exact"/>
              <w:rPr>
                <w:sz w:val="20"/>
                <w:szCs w:val="20"/>
                <w:color w:val="auto"/>
              </w:rPr>
            </w:pPr>
            <w:r>
              <w:rPr>
                <w:rFonts w:ascii="Arial" w:cs="Arial" w:eastAsia="Arial" w:hAnsi="Arial"/>
                <w:sz w:val="14"/>
                <w:szCs w:val="14"/>
                <w:b w:val="1"/>
                <w:bCs w:val="1"/>
                <w:color w:val="auto"/>
                <w:w w:val="97"/>
              </w:rPr>
              <w:t>Net</w:t>
            </w:r>
          </w:p>
        </w:tc>
        <w:tc>
          <w:tcPr>
            <w:tcW w:w="920" w:type="dxa"/>
            <w:vAlign w:val="bottom"/>
          </w:tcPr>
          <w:p>
            <w:pPr>
              <w:jc w:val="right"/>
              <w:ind w:right="394"/>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Net</w:t>
            </w:r>
          </w:p>
        </w:tc>
        <w:tc>
          <w:tcPr>
            <w:tcW w:w="1140" w:type="dxa"/>
            <w:vAlign w:val="bottom"/>
          </w:tcPr>
          <w:p>
            <w:pPr>
              <w:jc w:val="right"/>
              <w:ind w:right="414"/>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3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Change</w:t>
            </w: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Change</w:t>
            </w:r>
          </w:p>
        </w:tc>
        <w:tc>
          <w:tcPr>
            <w:tcW w:w="1140" w:type="dxa"/>
            <w:vAlign w:val="bottom"/>
          </w:tcPr>
          <w:p>
            <w:pPr>
              <w:jc w:val="right"/>
              <w:ind w:right="2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 Aligner 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111.6</w:t>
            </w:r>
          </w:p>
        </w:tc>
        <w:tc>
          <w:tcPr>
            <w:tcW w:w="320" w:type="dxa"/>
            <w:vAlign w:val="bottom"/>
            <w:gridSpan w:val="3"/>
          </w:tcPr>
          <w:p>
            <w:pPr>
              <w:jc w:val="center"/>
              <w:ind w:left="114"/>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13.0 %</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245.0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219.6</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Invisalign non-case</w:t>
            </w:r>
          </w:p>
        </w:tc>
        <w:tc>
          <w:tcPr>
            <w:tcW w:w="18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Clear Aligner net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320" w:type="dxa"/>
            <w:vAlign w:val="bottom"/>
            <w:tcBorders>
              <w:bottom w:val="single" w:sz="8" w:color="CCEEFF"/>
            </w:tcBorders>
            <w:gridSpan w:val="3"/>
            <w:shd w:val="clear" w:color="auto" w:fill="CCEEFF"/>
          </w:tcPr>
          <w:p>
            <w:pPr>
              <w:jc w:val="center"/>
              <w:ind w:left="114"/>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Scanner net revenues</w:t>
            </w:r>
          </w:p>
        </w:tc>
        <w:tc>
          <w:tcPr>
            <w:tcW w:w="18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209.5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320" w:type="dxa"/>
            <w:vAlign w:val="bottom"/>
            <w:gridSpan w:val="3"/>
            <w:shd w:val="clear" w:color="auto" w:fill="CCEEFF"/>
          </w:tcPr>
          <w:p>
            <w:pPr>
              <w:jc w:val="center"/>
              <w:ind w:left="114"/>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407.6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20"/>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Clear Aligner Case Volume by Region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Case volume data which represents Invisalign case shipments by region, for the three and six months ended June 30, 2015 and 2014 is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For the 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center"/>
              <w:ind w:left="157"/>
              <w:spacing w:after="0"/>
              <w:rPr>
                <w:sz w:val="20"/>
                <w:szCs w:val="20"/>
                <w:color w:val="auto"/>
              </w:rPr>
            </w:pPr>
            <w:r>
              <w:rPr>
                <w:rFonts w:ascii="Arial" w:cs="Arial" w:eastAsia="Arial" w:hAnsi="Arial"/>
                <w:sz w:val="14"/>
                <w:szCs w:val="14"/>
                <w:b w:val="1"/>
                <w:bCs w:val="1"/>
                <w:color w:val="auto"/>
                <w:w w:val="93"/>
              </w:rPr>
              <w:t>For the Six Months Ended,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5"/>
          </w:tcPr>
          <w:p>
            <w:pPr>
              <w:jc w:val="center"/>
              <w:ind w:right="760"/>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jc w:val="center"/>
              <w:ind w:right="600"/>
              <w:spacing w:after="0"/>
              <w:rPr>
                <w:sz w:val="20"/>
                <w:szCs w:val="20"/>
                <w:color w:val="auto"/>
              </w:rPr>
            </w:pPr>
            <w:r>
              <w:rPr>
                <w:rFonts w:ascii="Arial" w:cs="Arial" w:eastAsia="Arial" w:hAnsi="Arial"/>
                <w:sz w:val="14"/>
                <w:szCs w:val="14"/>
                <w:b w:val="1"/>
                <w:bCs w:val="1"/>
                <w:color w:val="auto"/>
                <w:w w:val="89"/>
              </w:rPr>
              <w:t>June 30,</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Region</w:t>
            </w:r>
          </w:p>
        </w:tc>
        <w:tc>
          <w:tcPr>
            <w:tcW w:w="7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80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tcPr>
          <w:p>
            <w:pPr>
              <w:ind w:left="280"/>
              <w:spacing w:after="0" w:line="153" w:lineRule="exact"/>
              <w:rPr>
                <w:sz w:val="20"/>
                <w:szCs w:val="20"/>
                <w:color w:val="auto"/>
              </w:rPr>
            </w:pPr>
            <w:r>
              <w:rPr>
                <w:rFonts w:ascii="Arial" w:cs="Arial" w:eastAsia="Arial" w:hAnsi="Arial"/>
                <w:sz w:val="14"/>
                <w:szCs w:val="14"/>
                <w:b w:val="1"/>
                <w:bCs w:val="1"/>
                <w:color w:val="auto"/>
              </w:rPr>
              <w:t>Net</w:t>
            </w:r>
          </w:p>
        </w:tc>
        <w:tc>
          <w:tcPr>
            <w:tcW w:w="900" w:type="dxa"/>
            <w:vAlign w:val="bottom"/>
          </w:tcPr>
          <w:p>
            <w:pPr>
              <w:jc w:val="right"/>
              <w:ind w:right="397"/>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8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84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Net</w:t>
            </w:r>
          </w:p>
        </w:tc>
        <w:tc>
          <w:tcPr>
            <w:tcW w:w="1100" w:type="dxa"/>
            <w:vAlign w:val="bottom"/>
          </w:tcPr>
          <w:p>
            <w:pPr>
              <w:jc w:val="right"/>
              <w:ind w:right="397"/>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North American Invisalign</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08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43"/>
        </w:trPr>
        <w:tc>
          <w:tcPr>
            <w:tcW w:w="3420" w:type="dxa"/>
            <w:vAlign w:val="bottom"/>
          </w:tcPr>
          <w:p>
            <w:pPr>
              <w:ind w:left="380"/>
              <w:spacing w:after="0"/>
              <w:rPr>
                <w:sz w:val="20"/>
                <w:szCs w:val="20"/>
                <w:color w:val="auto"/>
              </w:rPr>
            </w:pPr>
            <w:r>
              <w:rPr>
                <w:rFonts w:ascii="Arial" w:cs="Arial" w:eastAsia="Arial" w:hAnsi="Arial"/>
                <w:sz w:val="18"/>
                <w:szCs w:val="18"/>
                <w:color w:val="auto"/>
              </w:rPr>
              <w:t>International Invisalign</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34.5</w:t>
            </w:r>
          </w:p>
        </w:tc>
        <w:tc>
          <w:tcPr>
            <w:tcW w:w="1000" w:type="dxa"/>
            <w:vAlign w:val="bottom"/>
            <w:gridSpan w:val="3"/>
          </w:tcPr>
          <w:p>
            <w:pPr>
              <w:jc w:val="right"/>
              <w:ind w:right="28"/>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65.2</w:t>
            </w:r>
          </w:p>
        </w:tc>
        <w:tc>
          <w:tcPr>
            <w:tcW w:w="1080" w:type="dxa"/>
            <w:vAlign w:val="bottom"/>
            <w:gridSpan w:val="3"/>
          </w:tcPr>
          <w:p>
            <w:pPr>
              <w:jc w:val="right"/>
              <w:ind w:right="28"/>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Invisalign case volume</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144.5</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00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275.3</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108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net revenues increased by $16.9 million and $34.4 million for the three and six months ended June 30, 2015, respectively, as compared to the same period in 2014, primarily as a result of Invisalign case volume growth across all regions and most products.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 - North America</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three months ended June 30, 2015, Clear Aligner North America net revenues increased by $14.5 million or 13.0% compared to the same period in 2014 primarily due to Invisalign case volume growth of approximately $19.4 million across all channels and products. In addition net revenues increased due to a price increase on Full products effective April 1, 2015. These increases were offset in part by lower average selling prices ("ASP") which decreased net revenues by approximately $4.8 million. The decrease in ASP was primarily a result of higher promotional discounts in the current period compared to the same period in the prior year.</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six months ended June 30, 2015, Clear Aligner North America net revenues increased by $25.4 million or 11.6% compared to the same period in 2014 primarily due to Invisalign case volume growth of approximately $32.3 million across all channels and products. In addition net revenues increased due to a price increase on Full products effective April 1, 2015. These increases were offset in part by lower ASP, which contributed approximately $6.9 million to the decrease in net revenues. The decrease in ASP was primarily a result of higher promotional discounts as well as higher deferrals primarily in mid-course correction revenues as primary shipments increased in 2015 compared to 2014.</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 - International</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three months ended June 30, 2015, Clear Aligner international net revenues increased by $5.9 million or 10.5% compared to the same period in 2014 primarily driven by Invisalign case volume growth of $17.0 million across all products. This was offset in part by lower ASP which decreased net revenues by approximately $11.1 million. The decrease in ASP was primarily a result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the unfavorable impact from foreign exchange rates due to the weakening of the Euro compared to the U.S. dollar in the current period compared to the same period in the prior year.</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six months ended June 30, 2015, Clear Aligner International net revenues increased by $12.0 million or 11.3% compared to the same period in 2014 primarily driven by Invisalign case volume growth of $31.5 million across all products. This was offset by lower ASP which decreased net revenues by approximately $19.5 million. The decrease in ASP was primarily a result of the unfavorable impact from foreign exchange rates due to the weakening of the Euro compared to the U.S. dollar in the current period compared to the same period in the prior year.</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 - Invisalign Non-Case</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the three months ended June 30, 2015, Invisalign non-case net revenues, consisting of training fees and ancillary product revenues, increased by $0.7 million or 5.8% compared to the same period in 2014 primarily due to increased Vivera volume both in North America and International.</w:t>
      </w:r>
    </w:p>
    <w:p>
      <w:pPr>
        <w:spacing w:after="0" w:line="14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Invisalign non-case net revenues increased by $2.4 million or 10.6% for the six months ended June 30, 2015 compared to the same period in 2014 primarily due to increased Vivera volume both in North America and International.</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Scanner and Services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Scanner and Services net revenues decreased $4.1 million or 32.0% and $5.5 million or 21.8% for the three and six months ended June 30, 2015, respectively, compared to the same periods in 2014. Since we announced the upcoming availability of our next generation scanner in the third quarter of 2015, our net revenues declined due to fewer scanners recognized and a permanent price reduction on our existing scanner. The decreases were partially offset by an increase in service revenues as a result of a larger install base.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net revenues and gross profit (in millions):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7"/>
          </w:tcPr>
          <w:p>
            <w:pPr>
              <w:jc w:val="right"/>
              <w:ind w:right="513"/>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70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25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22"/>
                <w:szCs w:val="22"/>
                <w:color w:val="auto"/>
              </w:rPr>
            </w:pPr>
          </w:p>
        </w:tc>
        <w:tc>
          <w:tcPr>
            <w:tcW w:w="740" w:type="dxa"/>
            <w:vAlign w:val="bottom"/>
          </w:tcPr>
          <w:p>
            <w:pPr>
              <w:jc w:val="right"/>
              <w:ind w:right="25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25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133"/>
              <w:spacing w:after="0"/>
              <w:rPr>
                <w:sz w:val="20"/>
                <w:szCs w:val="20"/>
                <w:color w:val="auto"/>
              </w:rPr>
            </w:pPr>
            <w:r>
              <w:rPr>
                <w:rFonts w:ascii="Arial" w:cs="Arial" w:eastAsia="Arial" w:hAnsi="Arial"/>
                <w:sz w:val="14"/>
                <w:szCs w:val="14"/>
                <w:b w:val="1"/>
                <w:bCs w:val="1"/>
                <w:color w:val="auto"/>
                <w:w w:val="89"/>
              </w:rPr>
              <w:t>Change</w:t>
            </w:r>
          </w:p>
        </w:tc>
      </w:tr>
      <w:tr>
        <w:trPr>
          <w:trHeight w:val="189"/>
        </w:trPr>
        <w:tc>
          <w:tcPr>
            <w:tcW w:w="5000" w:type="dxa"/>
            <w:vAlign w:val="bottom"/>
            <w:tcBorders>
              <w:top w:val="single" w:sz="8" w:color="CCEEFF"/>
            </w:tcBorders>
            <w:gridSpan w:val="5"/>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Clear Aligner</w:t>
            </w:r>
          </w:p>
        </w:tc>
        <w:tc>
          <w:tcPr>
            <w:tcW w:w="2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0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r>
      <w:tr>
        <w:trPr>
          <w:trHeight w:val="243"/>
        </w:trPr>
        <w:tc>
          <w:tcPr>
            <w:tcW w:w="5000" w:type="dxa"/>
            <w:vAlign w:val="bottom"/>
            <w:gridSpan w:val="5"/>
          </w:tcPr>
          <w:p>
            <w:pPr>
              <w:ind w:left="40"/>
              <w:spacing w:after="0"/>
              <w:rPr>
                <w:sz w:val="20"/>
                <w:szCs w:val="20"/>
                <w:color w:val="auto"/>
              </w:rPr>
            </w:pPr>
            <w:r>
              <w:rPr>
                <w:rFonts w:ascii="Arial" w:cs="Arial" w:eastAsia="Arial" w:hAnsi="Arial"/>
                <w:sz w:val="18"/>
                <w:szCs w:val="18"/>
                <w:color w:val="auto"/>
              </w:rPr>
              <w:t>Cost of net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9.3</w:t>
            </w: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 of net 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gridSpan w:val="5"/>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141.7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305.3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274.8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30.5</w:t>
            </w: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Gross margin %</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03"/>
        </w:trPr>
        <w:tc>
          <w:tcPr>
            <w:tcW w:w="500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Scanner and Services</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3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50"/>
        </w:trPr>
        <w:tc>
          <w:tcPr>
            <w:tcW w:w="50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5000" w:type="dxa"/>
            <w:vAlign w:val="bottom"/>
            <w:gridSpan w:val="5"/>
          </w:tcPr>
          <w:p>
            <w:pPr>
              <w:ind w:left="40"/>
              <w:spacing w:after="0"/>
              <w:rPr>
                <w:sz w:val="20"/>
                <w:szCs w:val="20"/>
                <w:color w:val="auto"/>
              </w:rPr>
            </w:pPr>
            <w:r>
              <w:rPr>
                <w:rFonts w:ascii="Arial" w:cs="Arial" w:eastAsia="Arial" w:hAnsi="Arial"/>
                <w:sz w:val="18"/>
                <w:szCs w:val="18"/>
                <w:i w:val="1"/>
                <w:iCs w:val="1"/>
                <w:color w:val="auto"/>
              </w:rPr>
              <w:t>% of net segment revenues</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85.0%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70.5%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77.6%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68.5%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5000" w:type="dxa"/>
            <w:vAlign w:val="bottom"/>
            <w:gridSpan w:val="5"/>
          </w:tcPr>
          <w:p>
            <w:pPr>
              <w:ind w:left="40"/>
              <w:spacing w:after="0"/>
              <w:rPr>
                <w:sz w:val="20"/>
                <w:szCs w:val="20"/>
                <w:color w:val="auto"/>
              </w:rPr>
            </w:pPr>
            <w:r>
              <w:rPr>
                <w:rFonts w:ascii="Arial" w:cs="Arial" w:eastAsia="Arial" w:hAnsi="Arial"/>
                <w:sz w:val="18"/>
                <w:szCs w:val="18"/>
                <w:i w:val="1"/>
                <w:iCs w:val="1"/>
                <w:color w:val="auto"/>
              </w:rPr>
              <w:t>Gross margin %</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15.0%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29.5%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22.4%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31.5%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3"/>
        </w:trPr>
        <w:tc>
          <w:tcPr>
            <w:tcW w:w="500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Total cost of net revenues</w:t>
            </w:r>
          </w:p>
        </w:tc>
        <w:tc>
          <w:tcPr>
            <w:tcW w:w="2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97.9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90.5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7.4</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r>
      <w:tr>
        <w:trPr>
          <w:trHeight w:val="243"/>
        </w:trPr>
        <w:tc>
          <w:tcPr>
            <w:tcW w:w="5000" w:type="dxa"/>
            <w:vAlign w:val="bottom"/>
            <w:gridSpan w:val="5"/>
          </w:tcPr>
          <w:p>
            <w:pPr>
              <w:ind w:left="40"/>
              <w:spacing w:after="0"/>
              <w:rPr>
                <w:sz w:val="20"/>
                <w:szCs w:val="20"/>
                <w:color w:val="auto"/>
              </w:rPr>
            </w:pPr>
            <w:r>
              <w:rPr>
                <w:rFonts w:ascii="Arial" w:cs="Arial" w:eastAsia="Arial" w:hAnsi="Arial"/>
                <w:sz w:val="18"/>
                <w:szCs w:val="18"/>
                <w:i w:val="1"/>
                <w:iCs w:val="1"/>
                <w:color w:val="auto"/>
              </w:rPr>
              <w:t>% of net revenues</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24.3%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24.4%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24.0%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24.2%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w:t>
            </w:r>
          </w:p>
        </w:tc>
      </w:tr>
      <w:tr>
        <w:trPr>
          <w:trHeight w:val="243"/>
        </w:trPr>
        <w:tc>
          <w:tcPr>
            <w:tcW w:w="5000" w:type="dxa"/>
            <w:vAlign w:val="bottom"/>
            <w:gridSpan w:val="5"/>
          </w:tcPr>
          <w:p>
            <w:pPr>
              <w:ind w:left="40"/>
              <w:spacing w:after="0"/>
              <w:rPr>
                <w:sz w:val="20"/>
                <w:szCs w:val="20"/>
                <w:color w:val="auto"/>
              </w:rPr>
            </w:pPr>
            <w:r>
              <w:rPr>
                <w:rFonts w:ascii="Arial" w:cs="Arial" w:eastAsia="Arial" w:hAnsi="Arial"/>
                <w:sz w:val="18"/>
                <w:szCs w:val="18"/>
                <w:i w:val="1"/>
                <w:iCs w:val="1"/>
                <w:color w:val="auto"/>
              </w:rPr>
              <w:t>Gross margin %</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75.7%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75.6%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76.0%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75.8%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r>
    </w:tbl>
    <w:p>
      <w:pPr>
        <w:spacing w:after="0" w:line="224"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net revenues for our Clear Aligner and Scanner segments includes salaries for staff involved in the production process, the cost of materials, packaging, shipping costs, depreciation on capital equipment used in the production process, amortization of acquired intangible assets from Cadent, training costs and stock-based compensation.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Gross margin declined slightly for the three and six months ended June 30, 2015 compared to the same periods in 2014 due to lower ASP which was partially offset by lower manufacturing costs.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Scanner</w:t>
      </w:r>
    </w:p>
    <w:p>
      <w:pPr>
        <w:spacing w:after="0" w:line="15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Gross margin decreased for the three months ended June 30, 2015 compared to the same period in 2014 due to lower ASP from permanent price reductions, lower absorption of manufacturing spend on lower production volume and higher inventory reserves.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gross margin percentage decreased for the six months ended June 30, 2015 compared to the same period in 2014 due to lower ASP from permanent price reductions.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 (in millions):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Effective for the first quarter of 2015, we combined Sales and Marketing and General and Administrative together to report as Selling, General and Administrative.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800" w:type="dxa"/>
            <w:vAlign w:val="bottom"/>
            <w:tcBorders>
              <w:bottom w:val="single" w:sz="8" w:color="auto"/>
            </w:tcBorders>
          </w:tcPr>
          <w:p>
            <w:pPr>
              <w:spacing w:after="0"/>
              <w:rPr>
                <w:sz w:val="16"/>
                <w:szCs w:val="16"/>
                <w:color w:val="auto"/>
              </w:rPr>
            </w:pPr>
          </w:p>
        </w:tc>
      </w:tr>
      <w:tr>
        <w:trPr>
          <w:trHeight w:val="264"/>
        </w:trPr>
        <w:tc>
          <w:tcPr>
            <w:tcW w:w="4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22"/>
                <w:szCs w:val="22"/>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9"/>
              <w:spacing w:after="0"/>
              <w:rPr>
                <w:sz w:val="20"/>
                <w:szCs w:val="20"/>
                <w:color w:val="auto"/>
              </w:rPr>
            </w:pPr>
            <w:r>
              <w:rPr>
                <w:rFonts w:ascii="Arial" w:cs="Arial" w:eastAsia="Arial" w:hAnsi="Arial"/>
                <w:sz w:val="14"/>
                <w:szCs w:val="14"/>
                <w:b w:val="1"/>
                <w:bCs w:val="1"/>
                <w:color w:val="auto"/>
                <w:w w:val="97"/>
              </w:rPr>
              <w:t>Change</w:t>
            </w:r>
          </w:p>
        </w:tc>
      </w:tr>
      <w:tr>
        <w:trPr>
          <w:trHeight w:val="250"/>
        </w:trPr>
        <w:tc>
          <w:tcPr>
            <w:tcW w:w="4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100.6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83.5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188.9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165.5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23.4</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i w:val="1"/>
                <w:iCs w:val="1"/>
                <w:color w:val="auto"/>
              </w:rPr>
              <w:t>% of net revenues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48.0%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8"/>
                <w:szCs w:val="18"/>
                <w:i w:val="1"/>
                <w:iCs w:val="1"/>
                <w:color w:val="auto"/>
                <w:w w:val="93"/>
              </w:rPr>
              <w:t>43.3%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46.3%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44.4%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bl>
    <w:p>
      <w:pPr>
        <w:spacing w:after="0" w:line="197"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Selling, general and administrative expense includes personnel-related costs including payroll, commissions and stock-based compensation for our sales force, marketing and administration in addition to media and advertising expenses, clinical education, trade shows and industry events, product marketing, outside consulting services, legal expenses, depreciation and amortization expense, the medical device excise tax ("MDET") and allocations of corporate overhead expenses including facilities and IT.</w:t>
      </w:r>
    </w:p>
    <w:p>
      <w:pPr>
        <w:spacing w:after="0" w:line="1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Selling, general and administrative expense for the three months ended June 30, 2015 increased compared to the same period in 2014 primarily due to higher compensation related costs of $9.7 million as a result of increased headcount, which led to higher salaries, stock based compensation and commissions. In addition, we incurred increased consulting expense of $3.1 million primarily as a result of our enterprise resource planning “ERP” project, higher clinical education and public relations costs of $2.1 million due to launch events and consumer campaigns, and additional recruiting costs of $1.2 million. These increased expenses were partially offset by lower advertising costs by $1.3 million. In addition, as noted in prior periods, in March 2014, the IRS informed us that our aligners are not subject to the MDET, which we had been paying and expensing in Selling, General and Administrative expenses since January 1, 2013; however, our scanners are still subject to the MDET. As a result of these discussions, beginning in March 2014, we ceased expensing and paying the MDET for aligners. In June 2014, we received a $1.2 million refund for MDET paid in 2014 related to our aligners which reduced selling, general and administrative expenses for the three months ended June 30, 2014.</w:t>
      </w:r>
    </w:p>
    <w:p>
      <w:pPr>
        <w:spacing w:after="0" w:line="18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Selling, general and administrative expense for the six months ended June 30, 2015 increased compared to the same period in 2014 primarily due to higher compensation related costs of $17.5 million as a result of increased headcount, which led to higher salaries, stock based compensation and commissions. In addition, consulting costs increased by $5.7 million primarily due to our ERP project, public relations increased by $2.0 million due to launch events along with outside legal expense and recruiting costs. These increased expenses were partially offset by lower advertising costs and trade show costs of $3.6 million. In the first quarter of 2015, the IRS approved our refund claim of $6.8 million MDET paid in 2013 related to our aligners, reducing our expense for the six months ended June 30, 2015 in comparison to the $1.2 million MDET refund received in the six months ended June 30, 2014.</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jc w:val="right"/>
              <w:ind w:right="499"/>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7"/>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25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25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22"/>
                <w:szCs w:val="22"/>
                <w:color w:val="auto"/>
              </w:rPr>
            </w:pPr>
          </w:p>
        </w:tc>
        <w:tc>
          <w:tcPr>
            <w:tcW w:w="740" w:type="dxa"/>
            <w:vAlign w:val="bottom"/>
          </w:tcPr>
          <w:p>
            <w:pPr>
              <w:jc w:val="right"/>
              <w:ind w:right="25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ind w:right="25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39"/>
              <w:spacing w:after="0"/>
              <w:rPr>
                <w:sz w:val="20"/>
                <w:szCs w:val="20"/>
                <w:color w:val="auto"/>
              </w:rPr>
            </w:pPr>
            <w:r>
              <w:rPr>
                <w:rFonts w:ascii="Arial" w:cs="Arial" w:eastAsia="Arial" w:hAnsi="Arial"/>
                <w:sz w:val="14"/>
                <w:szCs w:val="14"/>
                <w:b w:val="1"/>
                <w:bCs w:val="1"/>
                <w:color w:val="auto"/>
                <w:w w:val="97"/>
              </w:rPr>
              <w:t>Change</w:t>
            </w:r>
          </w:p>
        </w:tc>
      </w:tr>
      <w:tr>
        <w:trPr>
          <w:trHeight w:val="250"/>
        </w:trPr>
        <w:tc>
          <w:tcPr>
            <w:tcW w:w="5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2.9</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i w:val="1"/>
                <w:iCs w:val="1"/>
                <w:color w:val="auto"/>
              </w:rPr>
              <w:t>% of net revenues</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bl>
    <w:p>
      <w:pPr>
        <w:spacing w:after="0" w:line="170"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16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Research and development expense includes the personnel-related costs including stock-based compensation and outside consulting expenses associated with the research and development of new products and enhancements to existing products and allocations of corporate overhead expenses including facilities and IT.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Research and development expense for the three months ended June 30, 2015 increased compared to the same period in 2014 due to our continued investment in new products and consulting services.</w:t>
      </w:r>
    </w:p>
    <w:p>
      <w:pPr>
        <w:spacing w:after="0" w:line="170"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Research and development expense for the six months ended June 30, 2015 increased compared to the same period in 2014 due to our continued investment in new products and consulting services offset by lower compensation costs due to lower incentive bonuses during the current period.</w:t>
      </w: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and other income (expense), net (in millions):</w:t>
      </w:r>
    </w:p>
    <w:p>
      <w:pPr>
        <w:sectPr>
          <w:pgSz w:w="11900" w:h="16838" w:orient="portrait"/>
          <w:cols w:equalWidth="0" w:num="1">
            <w:col w:w="11420"/>
          </w:cols>
          <w:pgMar w:left="240" w:top="125" w:right="239" w:bottom="1440" w:gutter="0" w:footer="0" w:header="0"/>
        </w:sectPr>
      </w:pPr>
    </w:p>
    <w:p>
      <w:pPr>
        <w:spacing w:after="0" w:line="230" w:lineRule="exact"/>
        <w:rPr>
          <w:sz w:val="20"/>
          <w:szCs w:val="20"/>
          <w:color w:val="auto"/>
        </w:rPr>
      </w:pPr>
    </w:p>
    <w:p>
      <w:pPr>
        <w:ind w:left="546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21266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103" w:lineRule="exact"/>
        <w:rPr>
          <w:sz w:val="20"/>
          <w:szCs w:val="20"/>
          <w:color w:val="auto"/>
        </w:rPr>
      </w:pPr>
    </w:p>
    <w:p>
      <w:pPr>
        <w:ind w:left="5080"/>
        <w:spacing w:after="0"/>
        <w:tabs>
          <w:tab w:leader="none" w:pos="6240" w:val="left"/>
          <w:tab w:leader="none" w:pos="72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2"/>
          <w:szCs w:val="12"/>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23495</wp:posOffset>
            </wp:positionV>
            <wp:extent cx="20751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100" w:val="left"/>
          <w:tab w:leader="none" w:pos="214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2"/>
          <w:szCs w:val="12"/>
          <w:b w:val="1"/>
          <w:bCs w:val="1"/>
          <w:color w:val="auto"/>
        </w:rPr>
        <w:t>Change</w:t>
      </w:r>
    </w:p>
    <w:p>
      <w:pPr>
        <w:spacing w:after="0" w:line="50" w:lineRule="exact"/>
        <w:rPr>
          <w:sz w:val="20"/>
          <w:szCs w:val="20"/>
          <w:color w:val="auto"/>
        </w:rPr>
      </w:pPr>
    </w:p>
    <w:p>
      <w:pPr>
        <w:sectPr>
          <w:pgSz w:w="11900" w:h="16838" w:orient="portrait"/>
          <w:cols w:equalWidth="0" w:num="2">
            <w:col w:w="7800" w:space="720"/>
            <w:col w:w="2900"/>
          </w:cols>
          <w:pgMar w:left="240" w:top="125" w:right="239" w:bottom="1440" w:gutter="0" w:footer="0" w:header="0"/>
          <w:type w:val="continuous"/>
        </w:sectPr>
      </w:pPr>
    </w:p>
    <w:p>
      <w:pPr>
        <w:ind w:left="40"/>
        <w:spacing w:after="0"/>
        <w:tabs>
          <w:tab w:leader="none" w:pos="4700" w:val="left"/>
          <w:tab w:leader="none" w:pos="5400" w:val="left"/>
          <w:tab w:leader="none" w:pos="5880" w:val="left"/>
          <w:tab w:leader="none" w:pos="6500" w:val="left"/>
          <w:tab w:leader="none" w:pos="7020" w:val="left"/>
          <w:tab w:leader="none" w:pos="7700" w:val="left"/>
          <w:tab w:leader="none" w:pos="8760" w:val="left"/>
          <w:tab w:leader="none" w:pos="9940" w:val="left"/>
          <w:tab w:leader="none" w:pos="10400" w:val="left"/>
          <w:tab w:leader="none" w:pos="11000" w:val="left"/>
        </w:tabs>
        <w:rPr>
          <w:sz w:val="20"/>
          <w:szCs w:val="20"/>
          <w:color w:val="auto"/>
        </w:rPr>
      </w:pPr>
      <w:r>
        <w:rPr>
          <w:rFonts w:ascii="Arial" w:cs="Arial" w:eastAsia="Arial" w:hAnsi="Arial"/>
          <w:sz w:val="18"/>
          <w:szCs w:val="18"/>
          <w:color w:val="auto"/>
        </w:rPr>
        <w:t>Interest and other income (expense),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0.2</w:t>
        <w:tab/>
        <w:t>$</w:t>
      </w:r>
      <w:r>
        <w:rPr>
          <w:sz w:val="20"/>
          <w:szCs w:val="20"/>
          <w:color w:val="auto"/>
        </w:rPr>
        <w:tab/>
      </w:r>
      <w:r>
        <w:rPr>
          <w:rFonts w:ascii="Arial" w:cs="Arial" w:eastAsia="Arial" w:hAnsi="Arial"/>
          <w:sz w:val="18"/>
          <w:szCs w:val="18"/>
          <w:color w:val="auto"/>
        </w:rPr>
        <w:t>(0.1)</w:t>
        <w:tab/>
        <w:t>$</w:t>
      </w:r>
      <w:r>
        <w:rPr>
          <w:sz w:val="20"/>
          <w:szCs w:val="20"/>
          <w:color w:val="auto"/>
        </w:rPr>
        <w:tab/>
      </w:r>
      <w:r>
        <w:rPr>
          <w:rFonts w:ascii="Arial" w:cs="Arial" w:eastAsia="Arial" w:hAnsi="Arial"/>
          <w:sz w:val="18"/>
          <w:szCs w:val="18"/>
          <w:color w:val="auto"/>
        </w:rPr>
        <w:t>0.3</w:t>
      </w:r>
      <w:r>
        <w:rPr>
          <w:sz w:val="20"/>
          <w:szCs w:val="20"/>
          <w:color w:val="auto"/>
        </w:rPr>
        <w:tab/>
      </w: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0.5</w:t>
        <w:tab/>
        <w:t>$</w:t>
      </w:r>
      <w:r>
        <w:rPr>
          <w:sz w:val="20"/>
          <w:szCs w:val="20"/>
          <w:color w:val="auto"/>
        </w:rPr>
        <w:tab/>
      </w:r>
      <w:r>
        <w:rPr>
          <w:rFonts w:ascii="Arial" w:cs="Arial" w:eastAsia="Arial" w:hAnsi="Arial"/>
          <w:sz w:val="17"/>
          <w:szCs w:val="17"/>
          <w:color w:val="auto"/>
        </w:rPr>
        <w:t>(1.8)</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and other income (expense), net, includes foreign currency translation gains and losses, interest income earned on cash, cash equivalents and investment balances and other miscellaneous charges.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Interest and other income (expense), net for the three months ended June 30, 2015 increased slightly compared to the same period in 2014 due to increased interest income on higher balances of cash, cash equivalents and investments.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and other income (expense), net for the six months ended June 30, 2015 decreased compared to the same period in 2014 primarily due to higher foreign exchange losses in the current year period mainly as a result of the strengthening of the U.S. dollar to the Euro offset in part by increased interest income on higher balances of cash, cash equivalents and investments.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7"/>
          </w:tcPr>
          <w:p>
            <w:pPr>
              <w:jc w:val="center"/>
              <w:ind w:right="99"/>
              <w:spacing w:after="0"/>
              <w:rPr>
                <w:sz w:val="20"/>
                <w:szCs w:val="20"/>
                <w:color w:val="auto"/>
              </w:rPr>
            </w:pPr>
            <w:r>
              <w:rPr>
                <w:rFonts w:ascii="Arial" w:cs="Arial" w:eastAsia="Arial" w:hAnsi="Arial"/>
                <w:sz w:val="14"/>
                <w:szCs w:val="14"/>
                <w:b w:val="1"/>
                <w:bCs w:val="1"/>
                <w:color w:val="auto"/>
                <w:w w:val="93"/>
              </w:rPr>
              <w:t>Three Months Ended June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7"/>
          </w:tcPr>
          <w:p>
            <w:pPr>
              <w:ind w:left="54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27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27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22"/>
                <w:szCs w:val="22"/>
                <w:color w:val="auto"/>
              </w:rPr>
            </w:pPr>
          </w:p>
        </w:tc>
        <w:tc>
          <w:tcPr>
            <w:tcW w:w="740" w:type="dxa"/>
            <w:vAlign w:val="bottom"/>
          </w:tcPr>
          <w:p>
            <w:pPr>
              <w:jc w:val="right"/>
              <w:ind w:right="25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25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99"/>
              <w:spacing w:after="0"/>
              <w:rPr>
                <w:sz w:val="20"/>
                <w:szCs w:val="20"/>
                <w:color w:val="auto"/>
              </w:rPr>
            </w:pPr>
            <w:r>
              <w:rPr>
                <w:rFonts w:ascii="Arial" w:cs="Arial" w:eastAsia="Arial" w:hAnsi="Arial"/>
                <w:sz w:val="14"/>
                <w:szCs w:val="14"/>
                <w:b w:val="1"/>
                <w:bCs w:val="1"/>
                <w:color w:val="auto"/>
              </w:rPr>
              <w:t>Change</w:t>
            </w:r>
          </w:p>
        </w:tc>
      </w:tr>
      <w:tr>
        <w:trPr>
          <w:trHeight w:val="250"/>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11.1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13.0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22.4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Effective tax rates</w:t>
            </w:r>
          </w:p>
        </w:tc>
        <w:tc>
          <w:tcPr>
            <w:tcW w:w="220" w:type="dxa"/>
            <w:vAlign w:val="bottom"/>
          </w:tcPr>
          <w:p>
            <w:pPr>
              <w:spacing w:after="0"/>
              <w:rPr>
                <w:sz w:val="21"/>
                <w:szCs w:val="21"/>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w w:val="97"/>
              </w:rPr>
              <w:t>26.2%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w w:val="97"/>
              </w:rPr>
              <w:t>26.8%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w w:val="93"/>
              </w:rPr>
              <w:t>24.9%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ind w:left="260"/>
              <w:spacing w:after="0"/>
              <w:rPr>
                <w:sz w:val="20"/>
                <w:szCs w:val="20"/>
                <w:color w:val="auto"/>
              </w:rPr>
            </w:pPr>
            <w:r>
              <w:rPr>
                <w:rFonts w:ascii="Arial" w:cs="Arial" w:eastAsia="Arial" w:hAnsi="Arial"/>
                <w:sz w:val="18"/>
                <w:szCs w:val="18"/>
                <w:color w:val="auto"/>
                <w:w w:val="93"/>
              </w:rPr>
              <w:t>25.3%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provision for income taxes was $11.1 million and $13.0 million for the three months ended June 30, 2015 and 2014, respectively. This represents effective tax rates of 26.2% and 26.8%, respectively. Our effective tax rates differ from the statutory federal income tax rate of 35% due to certain foreign earnings, primarily from Costa Rica, which are subject to a lower tax rate, state income tax expense, the tax impact of certain stock-based compensation charges and unrecognized tax benefits. The provision for income taxes was higher in the prior year due to a negative impact from a $2.1 million adjustment related to prior periods.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provision for income taxes was $22.4 million and $23.0 million for the six months ended June 30, 2015 and 2014, respectively. This represents effective tax rates of 24.9% and 25.3%, respectively. The provision for income taxes was higher in the prior year due to a negative impact from a $1.8 million adjustment related to prior periods.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exercise significant judgment in regards to estimates of future market growth, forecasted earnings and projected taxable income in determining the provision for income taxes, and for purposes of assessing our ability to utilize any future benefit from deferred tax assets.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June 30, 2015, we maintained a valuation allowance of $32.8 million against deferred tax assets primarily related to Israel and California operating loss carryforwards and Australia capital loss carryforwards. These net operating and capital loss carryforwards would result in an income tax benefit if we were to conclude it is more likely than not that the related deferred tax assets will be realized.</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total gross unrecognized tax benefits was $36.3 million and $33.1 million as of June 30, 2015 and December 31, 2014, respectively, all of which would impact our effective tax rate if recognized. We have elected to recognize interest and penalties related to unrecognized tax benefits as a component of income taxes. The change in accrued interest and penalties during the three and six months ended June 30, 2015 was not material. We do not expect any significant changes to the amount of unrecognized tax benefit within the next twelve months.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file U.S. federal, U.S. state, and non-U.S. income tax returns. Our major tax jurisdictions are U.S. federal and the State of California. For U.S. federal and state tax returns, we are no longer subject to tax examinations for years before 2000. With few exceptions, we are no longer subject to examination by foreign tax authorities for years before 2007. We are currently under audit by the California Franchise Tax Board for fiscal year 2011, 2012 and 2013.</w:t>
      </w:r>
    </w:p>
    <w:p>
      <w:pPr>
        <w:spacing w:after="0" w:line="14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June 2009, the Costa Rica Ministry of Foreign Trade, an agency of the Government of Costa Rica, granted a twelve year extension of certain income tax incentives, which were previously granted in 2002. The incentive tax rates will expire in various years beginning in 2017. Under these incentives, all of the income in Costa Rica during these twelve year incentive periods is subject to reduced rate of Costa Rica income tax.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2015. Income taxes were reduced by $8.2 million and $7.5 million for the three months ended June 30, 2015 and 2014, respectively, representing a benefit to diluted net income per share of $0.10 and $0.09 in 2015 and 2014, respectively. As a result of these incentives, our income taxes were reduced by $16.4 million and $15.1 million for the six months ended June 30, 2015 and 2014, respectively, representing a benefit to diluted net income per share of $0.20 and $0.18 in 2015 and 2014,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fund our operations from product sales and the proceeds from the sale of our common stock. As of June 30, 2015 and December 31, 2014, we had the following cash, cash equivalents, and short-term and long-term marketable securities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ind w:left="12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2"/>
            <w:vMerge w:val="restart"/>
          </w:tcPr>
          <w:p>
            <w:pPr>
              <w:jc w:val="right"/>
              <w:ind w:right="12"/>
              <w:spacing w:after="0"/>
              <w:rPr>
                <w:sz w:val="20"/>
                <w:szCs w:val="20"/>
                <w:color w:val="auto"/>
              </w:rPr>
            </w:pPr>
            <w:r>
              <w:rPr>
                <w:rFonts w:ascii="Arial" w:cs="Arial" w:eastAsia="Arial" w:hAnsi="Arial"/>
                <w:sz w:val="14"/>
                <w:szCs w:val="14"/>
                <w:b w:val="1"/>
                <w:bCs w:val="1"/>
                <w:color w:val="auto"/>
                <w:w w:val="96"/>
              </w:rPr>
              <w:t>December 31, 2014</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161,753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199,871</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Marketable securities, short-term</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276,789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254,787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long-term</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158,161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147,892</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cash, cash equivalents and short-term and long-term marketable securities</w:t>
            </w:r>
          </w:p>
        </w:tc>
        <w:tc>
          <w:tcPr>
            <w:tcW w:w="2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596,703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602,550</w:t>
            </w:r>
          </w:p>
        </w:tc>
        <w:tc>
          <w:tcPr>
            <w:tcW w:w="0" w:type="dxa"/>
            <w:vAlign w:val="bottom"/>
          </w:tcPr>
          <w:p>
            <w:pPr>
              <w:spacing w:after="0"/>
              <w:rPr>
                <w:sz w:val="1"/>
                <w:szCs w:val="1"/>
                <w:color w:val="auto"/>
              </w:rPr>
            </w:pPr>
          </w:p>
        </w:tc>
      </w:tr>
      <w:tr>
        <w:trPr>
          <w:trHeight w:val="27"/>
        </w:trPr>
        <w:tc>
          <w:tcPr>
            <w:tcW w:w="8360" w:type="dxa"/>
            <w:vAlign w:val="bottom"/>
            <w:vMerge w:val="restart"/>
          </w:tcPr>
          <w:p>
            <w:pPr>
              <w:ind w:left="260"/>
              <w:spacing w:after="0"/>
              <w:rPr>
                <w:sz w:val="20"/>
                <w:szCs w:val="20"/>
                <w:color w:val="auto"/>
              </w:rPr>
            </w:pPr>
            <w:r>
              <w:rPr>
                <w:rFonts w:ascii="Arial" w:cs="Arial" w:eastAsia="Arial" w:hAnsi="Arial"/>
                <w:sz w:val="18"/>
                <w:szCs w:val="18"/>
                <w:i w:val="1"/>
                <w:iCs w:val="1"/>
                <w:color w:val="auto"/>
              </w:rPr>
              <w:t xml:space="preserve">Cash flows </w:t>
            </w:r>
            <w:r>
              <w:rPr>
                <w:rFonts w:ascii="Arial" w:cs="Arial" w:eastAsia="Arial" w:hAnsi="Arial"/>
                <w:sz w:val="18"/>
                <w:szCs w:val="18"/>
                <w:color w:val="auto"/>
              </w:rPr>
              <w:t>(in thousands):</w:t>
            </w: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 provided by (used in):</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98,585</w:t>
            </w: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87,723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(117,583)</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(74,927)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(45,867)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(38,118)</w:t>
            </w:r>
          </w:p>
        </w:tc>
        <w:tc>
          <w:tcPr>
            <w:tcW w:w="100" w:type="dxa"/>
            <w:vAlign w:val="bottom"/>
          </w:tcPr>
          <w:p>
            <w:pPr>
              <w:spacing w:after="0"/>
              <w:rPr>
                <w:sz w:val="20"/>
                <w:szCs w:val="20"/>
                <w:color w:val="auto"/>
              </w:rPr>
            </w:pPr>
          </w:p>
        </w:tc>
        <w:tc>
          <w:tcPr>
            <w:tcW w:w="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(75,482)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June 30, 2015, we had $596.7 million of cash, cash equivalents and short-term and long-term marketable securities. Cash equivalents and marketable securities are comprised of money market funds and debt instruments which include corporate bonds, U.S. dollar dominated foreign corporate bonds, certificates of deposits, commercial paper, municipal securities, U.S. government agency bonds, U.S. government treasury bonds, agency discount notes and asset-backed securities.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June 30, 2015, approximately $389.2 million of cash, cash equivalents and short-term and long-term marketable securities was held by our foreign subsidiaries. Amounts held by foreign subsidiaries are generally subject to U.S. income taxation on repatriation to the U.S. The costs to repatriate our foreign earnings to the U.S. would likely be material; however, our intent is to permanently reinvest our earnings from foreign operations, and our current plans do not require us to repatriate them to fund our U.S. operations as we generate sufficient domestic operating cash flow and have access to external funding under our current revolving line of credit.</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23, 2014, we announced that our Board of Directors had authorized a stock repurchase program pursuant to which we may purchase up to $300.0 million of our common stock over the next three years, with $100.0 million authorized over the first twelve months.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52525"/>
        </w:rPr>
        <w:t xml:space="preserve">As part of our $300.0 million stock repurchase program, on April 28, 2014, we </w:t>
      </w:r>
      <w:r>
        <w:rPr>
          <w:rFonts w:ascii="Arial" w:cs="Arial" w:eastAsia="Arial" w:hAnsi="Arial"/>
          <w:sz w:val="18"/>
          <w:szCs w:val="18"/>
          <w:color w:val="000000"/>
        </w:rPr>
        <w:t>entered into an accelerated share repurchase agreement ("2014 ASR") to</w:t>
      </w:r>
      <w:r>
        <w:rPr>
          <w:rFonts w:ascii="Arial" w:cs="Arial" w:eastAsia="Arial" w:hAnsi="Arial"/>
          <w:sz w:val="18"/>
          <w:szCs w:val="18"/>
          <w:color w:val="252525"/>
        </w:rPr>
        <w:t xml:space="preserve"> </w:t>
      </w:r>
      <w:r>
        <w:rPr>
          <w:rFonts w:ascii="Arial" w:cs="Arial" w:eastAsia="Arial" w:hAnsi="Arial"/>
          <w:sz w:val="18"/>
          <w:szCs w:val="18"/>
          <w:color w:val="000000"/>
        </w:rPr>
        <w:t>repurchase $70.0 million of our common stock which was completed on July 2014. We received a total of approximately 1.4 million shares under the 2014 ASR for an average purchase price per share of $51.46, which all shares were retired. The final number of shares repurchased was based on our volume-weighted average stock price during the term of the transaction, less an agreed upon discount.</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2014, we repurchased on the open market approximately 0.6 million shares of our common stock at an average price of $50.93 per share, including commissions, for an aggregate purchase price of approximately $28.2 million. In the first quarter of 2015, we repurchased on the open market approximately 0.03 million shares of our common stock at an average price of $57.49 per share, including commission for an aggregate purchase price of approximately $1.8 million. All repurchased shares were retired.</w:t>
      </w:r>
    </w:p>
    <w:p>
      <w:pPr>
        <w:spacing w:after="0" w:line="18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In January 2015, our Board of Directors authorized the repurchase of the next $100.0 million under the repurchase program which we anticipate completing within twelve months. </w:t>
      </w:r>
      <w:r>
        <w:rPr>
          <w:rFonts w:ascii="Arial" w:cs="Arial" w:eastAsia="Arial" w:hAnsi="Arial"/>
          <w:sz w:val="16"/>
          <w:szCs w:val="16"/>
          <w:color w:val="252525"/>
        </w:rPr>
        <w:t>On April 28, 2015, we</w:t>
      </w:r>
      <w:r>
        <w:rPr>
          <w:rFonts w:ascii="Arial" w:cs="Arial" w:eastAsia="Arial" w:hAnsi="Arial"/>
          <w:sz w:val="16"/>
          <w:szCs w:val="16"/>
          <w:color w:val="auto"/>
        </w:rPr>
        <w:t xml:space="preserve"> entered into an accelerated stock repurchase agreement ("2015 ASR") to repurchase $70.0 million of our common stock. Under the terms of the 2015 ASR, we paid $70.0 million on April 29, 2015 and received an initial delivery of approximately 0.8 million shares based on the current market price of $59.45, which we retired. The remaining $21.0 million was recorded as an equity forward contract and was included in Additional paid-in capital in stockholders' equity in the Condensed balance sheet as of June 30, 2015. As of June 30, 2015, we have $130.0 million remaining under the April 2014 stock repurchase program. The 2015 ASR was completed on July 23, 2015 with a final delivery of approximately 0.3 million shares. Under the 2015 ASR, we received a total of approximately 1.2 million shares for an average share price of $60.52. The final number of shares repurchased was based on our volume-weighted average stock price during the term of the transaction, less an agreed upon discount.</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22, 2013, we entered into a credit facility for a $50.0 million revolving line of credit, with a $10.0 million letter of credit sublimit, and has a maturity date on March 22, 2016. The credit facility also requires us to maintain a minimum unrestricted cash balance of $50.0 million and comply with specific financial conditions and performance requirements. The loan bears interest, at our option, at a fluctuating rate per annum equal to the daily one-month adjusted LIBOR rate plus a spread of 1.75% or an adjusted LIBOR rate (based on one, three, six or twelve-month interest periods) plus a spread of 1.75%. As of June 30, 2015, we had no outstanding borrowings under this credit facility and were in compliance with the conditions and performance requirements.</w:t>
      </w:r>
    </w:p>
    <w:p>
      <w:pPr>
        <w:spacing w:after="0" w:line="19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believe that our current cash and cash equivalents and marketable securities combined with our positive cash flows from operations will be sufficient to fund our operations and stock repurchases for at least the next 12 months. If we are unable to generate adequate operating cash flows, we may need to suspend our stock repurchase program or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may need to make business decisions that could adversely affect our operating results such as modifications to our pricing policy, business structure or operations. Accordingly, the failure to obtain sufficient funds on acceptable terms when needed could have a material adverse effect on our business, results of operations and financial condition.</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Operating Activities</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six months ended June 30, 2015, cash flows from operations of $98.6 million resulted primarily from our net income of approximately $67.5 million as well as the following:</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Significant non-cash activities:</w:t>
      </w:r>
    </w:p>
    <w:p>
      <w:pPr>
        <w:spacing w:after="0" w:line="225" w:lineRule="exact"/>
        <w:rPr>
          <w:sz w:val="20"/>
          <w:szCs w:val="20"/>
          <w:color w:val="auto"/>
        </w:rPr>
      </w:pPr>
    </w:p>
    <w:p>
      <w:pPr>
        <w:ind w:left="820" w:hanging="245"/>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stock-based compensation of $24.5 million related to equity incentive compensation awards granted to our employees, and</w:t>
      </w:r>
    </w:p>
    <w:p>
      <w:pPr>
        <w:spacing w:after="0" w:line="23" w:lineRule="exact"/>
        <w:rPr>
          <w:rFonts w:ascii="Arial" w:cs="Arial" w:eastAsia="Arial" w:hAnsi="Arial"/>
          <w:sz w:val="18"/>
          <w:szCs w:val="18"/>
          <w:color w:val="auto"/>
        </w:rPr>
      </w:pPr>
    </w:p>
    <w:p>
      <w:pPr>
        <w:ind w:left="820" w:hanging="245"/>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depreciation and amortization of $8.6 million related to our fixed assets and acquired intangible assets, offset in part by</w:t>
      </w:r>
    </w:p>
    <w:p>
      <w:pPr>
        <w:spacing w:after="0" w:line="9" w:lineRule="exact"/>
        <w:rPr>
          <w:rFonts w:ascii="Arial" w:cs="Arial" w:eastAsia="Arial" w:hAnsi="Arial"/>
          <w:sz w:val="18"/>
          <w:szCs w:val="18"/>
          <w:color w:val="auto"/>
        </w:rPr>
      </w:pPr>
    </w:p>
    <w:p>
      <w:pPr>
        <w:ind w:left="820" w:hanging="245"/>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excess tax benefits from our share-based compensation arrangements of $6.2 million.</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Significant changes in working capital:</w:t>
      </w:r>
    </w:p>
    <w:p>
      <w:pPr>
        <w:spacing w:after="0" w:line="225" w:lineRule="exact"/>
        <w:rPr>
          <w:sz w:val="20"/>
          <w:szCs w:val="20"/>
          <w:color w:val="auto"/>
        </w:rPr>
      </w:pPr>
    </w:p>
    <w:p>
      <w:pPr>
        <w:ind w:left="820" w:hanging="245"/>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$22.9 million in accounts receivable which is a result of the increase in net revenues, and</w:t>
      </w:r>
    </w:p>
    <w:p>
      <w:pPr>
        <w:spacing w:after="0" w:line="23" w:lineRule="exact"/>
        <w:rPr>
          <w:rFonts w:ascii="Arial" w:cs="Arial" w:eastAsia="Arial" w:hAnsi="Arial"/>
          <w:sz w:val="18"/>
          <w:szCs w:val="18"/>
          <w:color w:val="auto"/>
        </w:rPr>
      </w:pPr>
    </w:p>
    <w:p>
      <w:pPr>
        <w:ind w:left="820" w:hanging="245"/>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$12.7 million in deferred revenues corresponding to the increases in case shipments.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Investing Activities</w:t>
      </w:r>
    </w:p>
    <w:p>
      <w:pPr>
        <w:spacing w:after="0" w:line="1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investing activities was $60.3 million for the six months ended June 30, 2015 primarily consisting of purchases of marketable securities of $195.4 million, and property, plant and equipment purchases of $26.2 million. These outflows were partially offset in part by $161.2 million of maturities and sales of our marketable securities.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remainder of 2015, we expect to spend an additional $39.0 million to $49.0 million on capital expenditures for estimated total capital expenditures of $65.0 million to $75.0 million for 2015 primarily for additional manufacturing capacity and infrastructure including a project to implement a new enterprise resource planning system. Although we believe our current investment portfolio has little risk of impairment, we cannot predict future market conditions or market liquidity and can provide no assurance that our investment portfolio will remain unimpaired.</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Financing Activities</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financing activities was $74.9 million for the six months ended June 30, 2015 primarily resulting from the $70.0 million payment for the 2015 ASR, of which $21.0 million was recorded as an equity forward contract, and $15.4 million related to payroll taxes paid for vesting of restricted stock units through share withholdings. These outflows were offset in part by $6.2 million from excess tax benefits from our share-based compensation arrangements and $6.0 million in proceeds from issuance of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6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contractual obligations have not significantly changed since December 31, 2014 as disclosed in our Annual Report on Form 10-K. We believe that our current cash, cash equivalents and short-term marketable securities combined with our existing borrowing capacity will be sufficient to fund our operations for at least the next 12 months. If we are unable to generate adequate operating cash flows and need more funds beyond those available under our credit facility, we may need to suspend our stock repurchase program or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may need to make business decisions that could adversely affect our operating results such as modifications to our pricing policy, business structure or operations. Accordingly, the failure to obtain sufficient funds on acceptable terms when needed could have a material adverse effect on our business,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2015, we had no off-balance sheet arrangements that have, or are reasonably likely to have, a current or future material effect on our consolidated financial condition,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Provisions</w:t>
      </w:r>
    </w:p>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13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June 30, 2015, we did not have any material indemnification claims that were probable or reasonably possible.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Management’s discussion and analysis of our financial condition and results of operations is based upon our Condensed Consolidated Financial Statements, which have been prepared in accordance with accounting principles generally accepted in the United States of America. The preparation of condensed consolidated financial statements requires our management to make estimates and judgments that affect the reported amounts of assets and liabilities, net revenues and expenses and disclosures at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date of the financial statements. We evaluate our estimates on an on-going basis, including those related to revenue recognition, accounts receivable, intangible assets, legal contingencies, impairment of goodwill and income taxes. We use authoritative pronouncements, historical experience and other assumptions as the basis for making estimates. Actual results could differ from those estimates.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believe the following critical accounting policies reflect our most significant estimates, judgments and assumptions used in the preparation of our consolidated financial statements. These critical accounting policies and related disclosures appear in our Annual Report on Form 10-K for the year ended December 31, 2014:</w:t>
      </w:r>
    </w:p>
    <w:p>
      <w:pPr>
        <w:spacing w:after="0" w:line="114" w:lineRule="exact"/>
        <w:rPr>
          <w:sz w:val="20"/>
          <w:szCs w:val="20"/>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3"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Stock-based compensation expense;</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Goodwill and finite-lived acquired intangible assets,</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Impairment of goodwill, finite-lived acquired intangible assets and long-lived assets, and</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Note 1 “Summary of Significant Accounting Policies” of the Notes to Condensed Consolidated Financial Statements for a discussion of recent accounting pronouncements.</w:t>
      </w:r>
    </w:p>
    <w:p>
      <w:pPr>
        <w:spacing w:after="0" w:line="193"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quantitative and qualitative disclosures about market risk affecting us, see Item 7A, “Quantitative and Qualitative Disclosures About Market Risk,” in our Annual Report on Form 10-K for the year ended December 31, 2014, which is incorporated herein by reference. Our exposure to market risk has not changed materially since December 31, 2014.</w:t>
      </w:r>
    </w:p>
    <w:p>
      <w:pPr>
        <w:spacing w:after="0" w:line="204"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our Chief Financial Officer, we have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our Chief Financial Officer have concluded that our disclosure controls and procedures are effective as of June 30, 2015, to provide reasonable assurance that information required to be disclosed by us in the reports that we file or submit under the Exchange Act is accumulated and communicated to our management, including our Chief Executive Officer and our Chief Financial Officer, as appropriate, to allow timely decisions regarding required disclosure, and that such information is recorded, processed, summarized and reported within the time periods specified in the SEC rules and forms.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period covered by this report that have materially affected, or are reasonably likely to materially affect, our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Securities Class Action Lawsuit</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November 28, 2012, plaintiff City of Dearborn Heights Act 345 Police &amp; Fire Retirement System filed a lawsuit against Align, Thomas M. Prescott (“Mr. Prescott”), Align’s former President and Chief Executive Officer, and Kenneth B. Arola (“Mr. Arola”), Align’s former Vice President, Finance and Chief Financial Officer, in the United States District Court for the Northern District of California on behalf of a purported class of purchasers of our common stock (the “Securities Action”). On July 11, 2013, an amended complaint was filed, which named the same defendants, on behalf of a purported class of purchasers of our common stock between January 31, 2012 and October 17, 2012. The amended complaint alleged that Align, Mr. Prescott and Mr. Arola violated Section 10(b) of the Securities Exchange Act of 1934 and Rule 10b-5 promulgated thereunder, and that Mr. Prescott and Mr. Arola violated Section 20(a) of the Securities Exchange Act of 1934. Specifically, the amended complaint alleged that during the purported class period defendants failed to take an appropriate goodwill impairment charge related to the April 29, 2011 acquisition of Cadent Holdings, Inc. in the fourth quarter of 2011, the first quarter of 2012 or the second quarter of 2012, which rendered our financial statements and projections of future earnings materially false and misleading and in violation of U.S. GAAP. The amended complaint sought monetary damages in an unspecified amount, costs and attorneys’ fees. On December 9, 2013, the court granted defendants’ motion to dismiss with leave for plaintiff to file a second amended complaint. Plaintiff filed a second amended complaint on January 8, 2014 on behalf of the same purported class. The second amended complaint states the same claims as the amended complaint. On August 22, 2014, the court granted our motion to dismiss without leave to amend. On September 22, 2014, Plaintiff filed a notice of appeal to the Ninth Circuit Court of Appeals. Align intends to vigorously defend itself against these allegations. Align is currently unable to predict the outcome of this amended complaint and therefore cannot determine the likelihood of loss nor estimate a range of possible loss, if any.</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Shareholder Derivative Lawsuit</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February 1, 2013, plaintiff Gary Udis filed a shareholder derivative lawsuit against several of Align’s current and former officers and directors in the Superior Court of California, County of Santa Clara. The complaint alleges that our reported income and earnings were materially overstated because of a failure to timely write down goodwill related to the April 29, 2011 acquisition of Cadent Holdings, Inc., and that defendants made allegedly false statements concerning our forecasts.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On July 8, 2013, an Order was entered staying this derivative lawsuit until an initial ruling on our first motion to dismiss the Securities Action. On January 15, 2014, an Order was entered staying this derivative lawsuit until an initial ruling on our second motion to dismiss the Securities Action. On October 14, 2014, an Order was entered staying this derivative lawsuit until a ruling by the Ninth Circuit in the Securities Action discussed above. Align is currently unable to predict the outcome of this complaint and therefore cannot determine the likelihood of loss nor estimate a range of possible losses.</w:t>
      </w:r>
    </w:p>
    <w:p>
      <w:pPr>
        <w:spacing w:after="0" w:line="1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3"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b w:val="1"/>
          <w:bCs w:val="1"/>
          <w:i w:val="1"/>
          <w:iCs w:val="1"/>
          <w:color w:val="auto"/>
        </w:rPr>
        <w:t>We depend on the sale of the Invisalign system for the vast majority of our net revenues, and any decline in sales of Invisalign treatment for any reason, a continued weakness in general economic conditions, or a decline in average selling prices would adversely affect net revenues, gross margin and net income.</w:t>
      </w:r>
    </w:p>
    <w:p>
      <w:pPr>
        <w:spacing w:after="0" w:line="11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expect that net revenues from the sale of the Invisalign System, primarily Invisalign Full and Invisalign Teen, will continue to account for the vast majority of our total net revenues for the foreseeable future. Continued and widespread market acceptance of Invisalign by orthodontists, GPs and consumers is critical to our future success. If orthodontists and GPs experience a reduction in consumer demand for orthodontic services, if consumers prove unwilling to adopt Invisalign as rapidly as we anticipate or in the volume that we anticipate, if orthodontists or GPs choose to use a competitive product rather than Invisalign or if the average selling price of our product declines, our operating results would be harmed.</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Demand for our products may not increase as rapidly as we anticipate due to a variety of factors including a weakness in general economic conditions.</w:t>
      </w:r>
    </w:p>
    <w:p>
      <w:pPr>
        <w:spacing w:after="0" w:line="19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Consumer spending habits are affected by, among other things, prevailing economic conditions, levels of employment, salaries and wage rates, gas prices, consumer confidence and consumer perception of economic conditions. A general slowdown in the U.S. economy and certain international economies or an uncertain economic outlook would adversely affect consumer spending habits which may, among other things, result in a decrease in the number of overall orthodontic case starts, reduced patient traffic in dentists’ offices, reduction in consumer spending on higher value procedures or a reduction in the demand for dental services generally, each of which would have a material adverse effect on our sales and operating results. Weakness in the global economy results in a challenging environment for selling dental technologies and dentists may postpone investments in capital equipment, such as intra-oral scanners. In addition, Invisalign treatment, which currently accounts for the vast majority of our net revenues, represents a significant change from traditional orthodontic treatment, and customers and consumers may be reluctant to accept it or may not find it preferable to traditional treatment. We have generally received positive feedback from orthodontists, GPs and consumers regarding Invisalign treatment as both an alternative to braces and as a clinical method for the treatment of malocclusion, but a number of dental professionals believe that the Invisalign treatment is appropriate for only a limited percentage of their patients. Increased market acceptance of all of our products will depend in part upon the recommendations of dental professionals, as well as other factors including effectiveness, safety, ease of use, reliability, aesthetics, and price compared to competing products.</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frequency of use of the Invisalign system by orthodontists or GPs may not increase at the rate that we anticipate or at all.</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One of our key objectives is to continue to increase utilization, or the adoption and frequency of use, of the Invisalign System by new and existing customers. If utilization of the Invisalign System by our existing and newly trained orthodontists or GPs does not occur or does not occur as quickly as we anticipate, our operating results could be harmed.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experience declines in average selling prices of our products which may decrease our net revenues.</w:t>
      </w:r>
    </w:p>
    <w:p>
      <w:pPr>
        <w:spacing w:after="0" w:line="15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provide volume based discount programs to our doctors. In addition, we sell a number of products at different list prices. If we introduce any price reductions or consumer rebate programs; if we expand our discount programs in the future or participation in these programs increases; if our product mix shifts to lower priced products or products that have a higher percentage of deferred revenue our average selling prices would be adversely affected and our net revenues, gross profit, gross margin and net income may be reduced. Recently we introduced a new product policy called "Additional Aligners at No Charge" to address one of our customer's top complaints. Under this policy, we no longer distinguish between case refinement and mid-course correction, meaning doctors will be able to order additional aligners to address either treatment need at no charge. As a result, beginning in the third quarter of 2015, we will defer more revenue as a result of providing free additional aligners for eligible treatments and "grandfathering" over 1 million open cases which will lower revenue when additional aligners are shipped for at least the next two years until these cases complete. Furthermore, although the U.S. dollar is our reporting currency, a portion of our net revenues and net income are generated in foreign currencies. Net revenues and net income generated by subsidiaries operating outside of the U.S. are translated into U.S. dollars using exchange rates effective during the respective period and are affected by changes in exchange rates. As a result, negative movements in currency exchange rates against the U.S. dollar will adversely affect our average selling price and consequently the amount of net revenues and net income in our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As we continue to grow, we are subject to growth related risks, including risks related to excess or constrained capacity at our existing facilities.</w:t>
      </w:r>
    </w:p>
    <w:p>
      <w:pPr>
        <w:spacing w:after="0" w:line="2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are subject to growth related risks, including excess or constrained capacity and pressure on our internal systems and personnel. In order to manage current operations and future growth effectively, we will need to continue to implement and improve our operational, financial and management information systems and to hire, train, motivate, manage and retain employees. We may be unable to manage such growth effectively. Any such failure could have a material adverse impact on our business, operations and prospects. In addition, in order to meet the demands from expected volumes, we purchased a second manufacturing facility in Juarez, Mexico. We expect to begin manufacturing aligners in this second facility in the third quarter of 2015. Our ability to plan, construct and equip additional manufacturing facilities is subject to significant risk and uncertainty, including risks inherent in the establishment of a new manufacturing facility, such as hiring and retaining employees and delays and cost overruns as a result of a number of factors, any of which may be out of our control. If the transition into this additional facility is significantly delayed or demand for our product exceeds our current expectations, we may not be able to fulfill orders timely, which may negatively impact our financial results and overall business. In addition, because we cannot immediately adapt our production capacity and related cost structures to changing market conditions, our manufacturing capacity may at times exceed or fall short of our production requirements. In addition, if product demand decreases or we fail to forecast demand accurately, we could be required to write off inventory or record excess capacity charges, which would lower our gross margin. Any or all of these problems could result in the loss of customers, provide an opportunity for competing products to gain market acceptance and otherwise harm our business and financial results.</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If we fail to sustain or increase profitability or revenue growth in future periods, the market price for our common stock may decline.</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are to sustain or increase profitability in future periods, we will need to continue to increase our net revenues, while controlling our expenses. Because our business is evolving, it is difficult to predict our future operating results or levels of growth, and we have in the past not been and may in the future not be able to sustain our historical growth rates. If we do not increase profitability or revenue growth or otherwise meet the expectations of securities analysts or investors, the market price of our common stock will likely decline.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financial results have fluctuated in the past and may fluctuate in the future which may cause volatility in our stock price.</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operating results have fluctuated in the past and we expect our future quarterly and annual operating results to fluctuate as we focus on increasing doctor and consumer demand for our products. These fluctuations could cause our stock price to decline or significantly fluctuate. Some of the factors that could cause our operating results to fluctuate include:</w:t>
      </w:r>
    </w:p>
    <w:p>
      <w:pPr>
        <w:spacing w:after="0" w:line="181" w:lineRule="exact"/>
        <w:rPr>
          <w:sz w:val="20"/>
          <w:szCs w:val="20"/>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limited visibility into and difficulty predicting the level of activity in our customers’ practices from quarter to quarter;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weakness in consumer spending as a result of the slowdown in the U.S. economy and global economies;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relationships with our distributors;</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timing of receipt of Invisalign case product orders during a given quarter which, given our cycle time and the delay between case receipts and case shipments, could have an impact on which quarter revenue can be recognized;</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currency exchange rates against the U.S. dollar;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product mix;</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predict from period to period the number of trainers or the availability of doctors required to complete intra-oral scanner installations, which may impact the timing of when revenue is recognized;</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scale production of our iTero Element scanner to meet customer demand;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participation in our customer rebate program increases our average selling price will be adversely affected;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seasonal fluctuations in the number of doctors in their offices and their availability to take appointments;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 of or changes to our marketing programs from quarter to quarter;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reliance on our contract manufacturers for the production of sub-assemblies for our intra-oral scanners;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timing of industry tradeshows;</w:t>
      </w:r>
    </w:p>
    <w:p>
      <w:pPr>
        <w:spacing w:after="0" w:line="171" w:lineRule="exact"/>
        <w:rPr>
          <w:rFonts w:ascii="Arial" w:cs="Arial" w:eastAsia="Arial" w:hAnsi="Arial"/>
          <w:sz w:val="18"/>
          <w:szCs w:val="18"/>
          <w:color w:val="auto"/>
        </w:rPr>
      </w:pPr>
    </w:p>
    <w:p>
      <w:pPr>
        <w:ind w:left="660" w:right="20" w:hanging="247"/>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the timing of when revenue is recognized, including as a result of the introduction of new products or promotions, modifications to our terms and conditions or as a result of changes to critical accounting estimates or new accounting pronouncements;</w:t>
      </w:r>
    </w:p>
    <w:p>
      <w:pPr>
        <w:spacing w:after="0" w:line="92" w:lineRule="exact"/>
        <w:rPr>
          <w:rFonts w:ascii="Arial" w:cs="Arial" w:eastAsia="Arial" w:hAnsi="Arial"/>
          <w:sz w:val="17"/>
          <w:szCs w:val="17"/>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delays in production caused by insufficient capacity or availability of raw materials;</w:t>
      </w:r>
    </w:p>
    <w:p>
      <w:pPr>
        <w:spacing w:after="0" w:line="171"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disruptions in the manufacturing process, including unexpected turnover in the labor force or the introduction of new production processes, power outages or natural or other disasters beyond our control;</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development and marketing of directly competitive products by existing and new competitors;</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major changes in available technology or the preferences of customers may cause our current product offerings to become less competitive or obsolete;</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aggressive price competition from competitors;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and expenditures in connection with litigation;</w:t>
      </w:r>
    </w:p>
    <w:p>
      <w:pPr>
        <w:spacing w:after="0" w:line="171"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new product introductions by us and our competitors, as well as customer order deferrals in anticipation of enhancements or new products;</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delays in our receipt of patient records made through an intraoral scanner for any reason;</w:t>
      </w:r>
    </w:p>
    <w:p>
      <w:pPr>
        <w:spacing w:after="0" w:line="171" w:lineRule="exact"/>
        <w:rPr>
          <w:rFonts w:ascii="Arial" w:cs="Arial" w:eastAsia="Arial" w:hAnsi="Arial"/>
          <w:sz w:val="18"/>
          <w:szCs w:val="18"/>
          <w:color w:val="auto"/>
        </w:rPr>
      </w:pPr>
    </w:p>
    <w:p>
      <w:pPr>
        <w:jc w:val="both"/>
        <w:ind w:left="660" w:hanging="247"/>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disruptions to our business due to political, economic or other social instability, including the impact of an epidemic any of which results in changes in consumer spending habits, consumers unable or unwilling to visit the orthodontist or general practitioners office, as well as any impact on workforce absenteeism;</w:t>
      </w:r>
    </w:p>
    <w:p>
      <w:pPr>
        <w:spacing w:after="0" w:line="127"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inaccurate forecasting of net revenues, production and other operating costs,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investments in research and development to develop new products and enhancements;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implement an effective hedge program against a portion of our foreign currency-denominated assets and liabilities.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To respond to these and other factors, we may need to make business decisions that could adversely affect our operating results such as modifications to our pricing policy, business structure or operations. Most of our expenses, such as employee compensation and lease payment obligations, are relatively fixed in the short term. Moreover, our expense levels are based, in part, on our expectations regarding future revenue levels. As a result, if our net revenues for a particular period fall below our expectations, whether caused by changes in consumer spending, consumer preferences, weakness in the U.S. or global economies, changes in customer behavior related to advertising and prescribing our product, or other factors, we may be unable to adjust spending quickly enough to offset any shortfall in net revenues. Due to these and other factors, we believe that quarter-to-quarter comparisons of our operating results may not be meaningful. You should not rely on our results for any one quarter as an indication of our future performance.</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future success may depend on our ability to develop, successfully introduce and achieve market acceptance of new products.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future success may depend on our ability to develop, manufacture, market, and obtain regulatory approval or clearance of new products. There can be no assurance that we will be able to successfully develop, sell and achieve market acceptance of these and other new products and applications and enhanced versions of our existing product or software. The extent of, and rate at which, market acceptance and penetration are achieved by future products is a function of many variables, which include, among other things, our ability to:</w:t>
      </w:r>
    </w:p>
    <w:p>
      <w:pPr>
        <w:spacing w:after="0" w:line="187" w:lineRule="exact"/>
        <w:rPr>
          <w:sz w:val="20"/>
          <w:szCs w:val="20"/>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correctly identify customer needs and preferences and predict future needs and preferences;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 functionality and features that address customer requirements;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ensure compatibility of our computer operating systems and hardware configurations with those of our customers;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allocate our research and development funding to products with higher growth prospects;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anticipate and respond to our competitors’ development of new products and technological innovations;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differentiate our offerings from our competitors’ offerings;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innovate and develop new technologies and applications;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third-party reimbursement of procedures using our products;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adequate intellectual property rights;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encourage customers to adopt new technologies.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If we fail to accurately predict customer needs and preferences or fail to produce viable technologies, we may invest heavily in research and development of products that do not lead to significant revenue. Even if we successfully innovate and develop new products and produce enhancements, we may incur substantial costs in doing so, and our profitability may suffer. In addition, even if our new products are successfully introduced, it is unlikely that they will rapidly gain market share and acceptance primarily due to the relatively long period of time it takes to successfully treat a patient with Invisalign. Since it takes approximately 12 to 24 months to treat a patient, our customers may be unwilling to rapidly adopt our new products until they successfully complete at least one case or until more historical clinical results are available.</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ability to market and sell new products may also be subject to government regulation, including approval or clearance by the FDA, and foreign government agencies. Any failure in our ability to successfully develop and introduce or achieve market acceptance of our new products or enhanced versions of existing products could have a material adverse effect on our operating results and could cause our net revenues to decline.</w:t>
      </w:r>
    </w:p>
    <w:p>
      <w:pPr>
        <w:spacing w:after="0" w:line="166"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A disruption in the operations of our primary freight carrier or higher shipping costs could cause a decline in our net revenues or a reduction in our earnings.</w:t>
      </w:r>
    </w:p>
    <w:p>
      <w:pPr>
        <w:spacing w:after="0" w:line="10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are dependent on commercial freight carriers, primarily UPS, to deliver our products to our customers. If the operations of these carriers are disrupted for any reason, we may be unable to deliver our products to our customers on a timely basis. If we cannot deliver our products in an efficient and timely manner, our customers may reduce their orders from us and our net revenues and operating profits could materially decline. In a rising fuel cost environment, our freight costs will increase. If freight costs materially increase and we are unable to pass that increase along to our customers for any reason or otherwise offset such increases in our cost of net revenues, our gross margin and financial results could be adversely affected.</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We are dependent on our international operations, which exposes us to foreign operational, political and other risks that may harm our business.</w:t>
      </w:r>
    </w:p>
    <w:p>
      <w:pPr>
        <w:spacing w:after="0" w:line="1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key production steps are performed in operations located outside of the U.S. At our facility in San Jose, Costa Rica, technicians use a sophisticated, internally developed computer-modeling program to prepare digital treatment plans, which are then transmitted electronically to Juarez, Mexico. These digital files form the basis of the ClinCheck treatment plan and are used to manufacture aligner molds. Our order acquisition, aligner fabrication and shipping operations are conducted in Juarez, Mexico. In addition to the research and development efforts conducted in our San Jose, California facility, we also carry out research and development at locations in Moscow, Russia. In addition, our customer-care, accounts receivable, credit and collections and customer event registration organizations are located at our facility in San Jose, Costa Rica. We also have operations in Israel where the design and wand assembly and our intra-oral scanner are manufactured. Our reliance on international operations exposes us to risks and uncertainties that may affect our business or results of operation, including:</w:t>
      </w:r>
    </w:p>
    <w:p>
      <w:pPr>
        <w:spacing w:after="0" w:line="192" w:lineRule="exact"/>
        <w:rPr>
          <w:sz w:val="20"/>
          <w:szCs w:val="20"/>
          <w:color w:val="auto"/>
        </w:rPr>
      </w:pPr>
    </w:p>
    <w:p>
      <w:pPr>
        <w:ind w:left="660" w:right="20" w:hanging="247"/>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hiring and retaining employees generally, as well as difficulties in hiring and retaining employees with the necessary skills to perform the more technical aspects of our operations;</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managing international operations, including any travel restrictions to or from our facilities located in Russia and Israel;</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increased income taxes, and other restrictions and limitations, if we were to decide to repatriate any of our foreign cash balances back to the U.S.;</w:t>
      </w:r>
    </w:p>
    <w:p>
      <w:pPr>
        <w:spacing w:after="0" w:line="194" w:lineRule="exact"/>
        <w:rPr>
          <w:rFonts w:ascii="Arial" w:cs="Arial" w:eastAsia="Arial" w:hAnsi="Arial"/>
          <w:sz w:val="16"/>
          <w:szCs w:val="16"/>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import and export license requirements and restrictions;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controlling production volume and quality of the manufacturing process;</w:t>
      </w:r>
    </w:p>
    <w:p>
      <w:pPr>
        <w:spacing w:after="0" w:line="171" w:lineRule="exact"/>
        <w:rPr>
          <w:rFonts w:ascii="Arial" w:cs="Arial" w:eastAsia="Arial" w:hAnsi="Arial"/>
          <w:sz w:val="18"/>
          <w:szCs w:val="18"/>
          <w:color w:val="auto"/>
        </w:rPr>
      </w:pPr>
    </w:p>
    <w:p>
      <w:pPr>
        <w:jc w:val="both"/>
        <w:ind w:left="660" w:hanging="247"/>
        <w:spacing w:after="0" w:line="25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social and economic instability, including as a result of increased levels of violence in Juarez, Mexico or the Middle East. We cannot predict the effect on us of any future armed conflict, political instability or violence in these regions. In addition, some of our employees in Israel are obligated to perform annual reserve duty in the Israeli military and are subject to being called for additional active duty under emergency circumstances. We cannot predict the full impact of these conditions on us in the future, particularly if emergency circumstances or an escalation in the political situation occurs. If many of our employees are called for active duty, our operations in Israel and our business may not be able to function at full capacity;</w:t>
      </w:r>
    </w:p>
    <w:p>
      <w:pPr>
        <w:spacing w:after="0" w:line="139"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acts of terrorism and acts of war;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geopolitical risks around the Ukraine and the possibility of additional sanctions against Russia which continue to bring uncertainty to this region;</w:t>
      </w:r>
    </w:p>
    <w:p>
      <w:pPr>
        <w:spacing w:after="0" w:line="194" w:lineRule="exact"/>
        <w:rPr>
          <w:rFonts w:ascii="Arial" w:cs="Arial" w:eastAsia="Arial" w:hAnsi="Arial"/>
          <w:sz w:val="16"/>
          <w:szCs w:val="16"/>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interruptions and limitations in telecommunication services;</w:t>
      </w:r>
    </w:p>
    <w:p>
      <w:pPr>
        <w:spacing w:after="0" w:line="171" w:lineRule="exact"/>
        <w:rPr>
          <w:rFonts w:ascii="Arial" w:cs="Arial" w:eastAsia="Arial" w:hAnsi="Arial"/>
          <w:sz w:val="18"/>
          <w:szCs w:val="18"/>
          <w:color w:val="auto"/>
        </w:rPr>
      </w:pPr>
    </w:p>
    <w:p>
      <w:pPr>
        <w:ind w:left="660" w:right="20" w:hanging="247"/>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product or material transportation delays or disruption, including as a result of increased levels of violence, acts of terrorism, acts of war or health epidemics restricting travel to and from our international locations or as a result of natural disasters, such as earthquakes or volcanic eruptions;</w:t>
      </w:r>
    </w:p>
    <w:p>
      <w:pPr>
        <w:spacing w:after="0" w:line="69" w:lineRule="exact"/>
        <w:rPr>
          <w:rFonts w:ascii="Arial" w:cs="Arial" w:eastAsia="Arial" w:hAnsi="Arial"/>
          <w:sz w:val="16"/>
          <w:szCs w:val="16"/>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burdens of complying with a wide variety of local country and regional laws;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trade restrictions and changes in tariffs;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of these risks materialize in the future, we could experience production delays and lost or delayed revenue.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earn an increasingly larger portion of our total revenues from international sales and face risks attendant to those operations.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earn an increasingly larger portion of our total revenues from international sales generated through our foreign direct and indirect operations. As a result of these sales operations, we face a variety of risks, including:</w:t>
      </w:r>
    </w:p>
    <w:p>
      <w:pPr>
        <w:spacing w:after="0" w:line="170" w:lineRule="exact"/>
        <w:rPr>
          <w:sz w:val="20"/>
          <w:szCs w:val="20"/>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local political and economic instability;</w:t>
      </w:r>
    </w:p>
    <w:p>
      <w:pPr>
        <w:spacing w:after="0" w:line="225" w:lineRule="exact"/>
        <w:rPr>
          <w:rFonts w:ascii="Arial" w:cs="Arial" w:eastAsia="Arial" w:hAnsi="Arial"/>
          <w:sz w:val="18"/>
          <w:szCs w:val="18"/>
          <w:color w:val="auto"/>
        </w:rPr>
      </w:pPr>
    </w:p>
    <w:p>
      <w:pPr>
        <w:jc w:val="both"/>
        <w:ind w:left="660" w:hanging="247"/>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engagement of activities by our employees, contractors, partners and agents, especially in countries with developing economies, that are prohibited by international and local trade and labor laws and other laws prohibiting corrupt payments to government officials, including the Foreign Corrupt Practices Act, the UK Bribery Act of 2010 and export control laws, in spite of our policies and procedures designed to ensure compliance with these laws;</w:t>
      </w:r>
    </w:p>
    <w:p>
      <w:pPr>
        <w:spacing w:after="0" w:line="186"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although it is our intention to indefinitely reinvest earnings outside the U.S., restrictions on the transfer of funds held by our foreign subsidiaries, including with respect to restrictions on our ability to repatriate foreign cash to the U.S at favorable tax rates;</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currency exchange rates;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expense of developing, testing and making localized versions of our products.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Any of these factors, either individually or in combination, could materially impact our international operations and adversely affect our business as a whole.</w:t>
      </w:r>
    </w:p>
    <w:p>
      <w:pPr>
        <w:spacing w:after="0" w:line="170" w:lineRule="exact"/>
        <w:rPr>
          <w:sz w:val="20"/>
          <w:szCs w:val="20"/>
          <w:color w:val="auto"/>
        </w:rPr>
      </w:pPr>
    </w:p>
    <w:p>
      <w:pPr>
        <w:jc w:val="both"/>
        <w:ind w:firstLine="216"/>
        <w:spacing w:after="0" w:line="286" w:lineRule="auto"/>
        <w:rPr>
          <w:sz w:val="20"/>
          <w:szCs w:val="20"/>
          <w:color w:val="auto"/>
        </w:rPr>
      </w:pPr>
      <w:r>
        <w:rPr>
          <w:rFonts w:ascii="Arial" w:cs="Arial" w:eastAsia="Arial" w:hAnsi="Arial"/>
          <w:sz w:val="17"/>
          <w:szCs w:val="17"/>
          <w:b w:val="1"/>
          <w:bCs w:val="1"/>
          <w:i w:val="1"/>
          <w:iCs w:val="1"/>
          <w:color w:val="auto"/>
        </w:rPr>
        <w:t>A key step in our manufacturing process relies on sophisticated computer technology that requires new technicians to undergo a relatively long training process. If we are unable to accurately predict our volume growth, and fail to hire a sufficient number of technicians in advance of such demand, the delivery time of our products could be delayed which could adversely affect our results of operations.</w:t>
      </w:r>
    </w:p>
    <w:p>
      <w:pPr>
        <w:spacing w:after="0" w:line="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Training production technicians takes approximately 90 to 120 days. As a result, if we are unable to accurately predict our volume growth, we may not have a sufficient number of trained technicians to deliver our products within the timeframe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customers expect. Such a delay could cause us to lose existing customers or fail to attract new customers. This could cause a decline in our net revenues and net income and could adversely affect our results of operations.</w:t>
      </w:r>
    </w:p>
    <w:p>
      <w:pPr>
        <w:spacing w:after="0" w:line="170"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headquarters, digital dental modeling processes, and other manufacturing processes are principally located in regions that are subject to earthquakes and other natural disasters.</w:t>
      </w:r>
    </w:p>
    <w:p>
      <w:pPr>
        <w:spacing w:after="0" w:line="10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digital dental modeling is processed in our facility located in San Jose, Costa Rica. The operations team in Costa Rica creates ClinCheck treatment plans using sophisticated computer software. In addition, our customer facing operations are located in Costa Rica. Our aligner molds and finished aligners are fabricated in Juarez, Mexico. Both locations in Costa Rica and Mexico are in earthquake zones and may be subject to other natural disasters. If there is a major earthquake or any other natural disaster in a region where one of these facilities is located, our ability to create ClinCheck treatment plans, respond to customer inquiries or manufacture and ship our aligners could be compromised which could result in our customers experiencing a significant delay in receiving their completed aligners and a decrease in service levels for a period of time. In addition, our headquarters facility in California is located in the San Francisco Bay Area. An earthquake or other natural disaster in this region could result in a disruption in our operations. Any such business interruption could materially and adversely affect our business, financial condition and results of operations.</w:t>
      </w:r>
    </w:p>
    <w:p>
      <w:pPr>
        <w:spacing w:after="0" w:line="179"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information technology systems are critical to our business. System integration and implementation issues and system security risks could disrupt our operations, which could have a material adverse impact on our business and operating results.</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rely on the efficient and uninterrupted operation of complex information technology systems. All information technology systems are vulnerable to damage or interruption from a variety of sources. As our business has grown in size and complexity, the growth has placed, and will continue to place, significant demands on our information technology systems. To effectively manage this growth, our information systems and applications require an ongoing commitment of significant resources to maintain, protect and enhance existing systems and develop new systems to keep pace with continuing changes in information processing technology, evolving industry and regulatory standards and changing customer preferences. We are in the process of implementing a multi-year, company-wide program to transform certain business processes or extend established processes, including the transition to a single enterprise resource planning ("ERP") software system to perform various functions. The implementation of additional functionality in the ERP system entails certain risks, including difficulties with changes in business processes that could disrupt our operations, such as our ability to track orders and timely ship products, manage our supply chain and aggregate financial and operational data. During transitions we must continue to rely on legacy information systems, which may be costly or inefficient, while the implementation of new initiatives may not achieve the anticipated benefits and may divert management's attention from other operational activities, negatively affect employee morale, or have other unintended consequences. Additionally, if we are not able to accurately forecast expenses and capitalized costs related to the project, this may have an adverse impact on our financial condition and operating results.</w:t>
      </w:r>
    </w:p>
    <w:p>
      <w:pPr>
        <w:spacing w:after="0" w:line="169" w:lineRule="exact"/>
        <w:rPr>
          <w:sz w:val="20"/>
          <w:szCs w:val="20"/>
          <w:color w:val="auto"/>
        </w:rPr>
      </w:pPr>
    </w:p>
    <w:p>
      <w:pPr>
        <w:jc w:val="both"/>
        <w:ind w:firstLine="383"/>
        <w:spacing w:after="0" w:line="270" w:lineRule="auto"/>
        <w:rPr>
          <w:sz w:val="20"/>
          <w:szCs w:val="20"/>
          <w:color w:val="auto"/>
        </w:rPr>
      </w:pPr>
      <w:r>
        <w:rPr>
          <w:rFonts w:ascii="Arial" w:cs="Arial" w:eastAsia="Arial" w:hAnsi="Arial"/>
          <w:sz w:val="17"/>
          <w:szCs w:val="17"/>
          <w:color w:val="auto"/>
        </w:rPr>
        <w:t>If the information we rely upon to run our businesses were to be found to be inaccurate or unreliable, if we fail to properly maintain our information systems and data integrity, or if we fail to develop new capabilities to meet our business needs in a timely manner, we could have operational disruptions, have customer disputes, lose our ability to produce timely and accurate reports, have regulatory or other legal problems, have increases in operating and administrative expenses, lose existing customers, have difficulty in attracting new customers or in implementing our growth strategies, or suffer other adverse consequences. In addition, experienced computer programmers and hackers may be able to penetrate our network security and misappropriate our confidential information or that of third parties, create system disruptions or cause shutdowns. Furthermore, sophisticated hardware and operating system software and applications that we either internally develop or procure from third parties which we depend upon may contain defects in design and manufacture, including “bugs” and other problems that can unexpectedly interfere with the operation of the system. The costs to eliminate or alleviate security problems, viruses and bugs could be significant, and the efforts to address these problems could result in interruptions that may have a material adverse impact on our operations, net revenues and operating results.</w:t>
      </w:r>
    </w:p>
    <w:p>
      <w:pPr>
        <w:spacing w:after="0" w:line="17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System upgrades and enhancements require significant expenditures and allocation of valuable employee resources. Delays in integration or disruptions to our business from implementation of these new or upgraded systems could have a material adverse impact on our financial condition and operating results.</w:t>
      </w:r>
    </w:p>
    <w:p>
      <w:pPr>
        <w:spacing w:after="0" w:line="12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Additionally, we continuously upgrade our customer facing software applications, specifically the ClinCheck and MyAligntech software. Software applications frequently contain errors or defects, especially when they are first introduced or when new versions are released. The discovery of a defect or error or the incompatibility with the computer operating system and hardware configurations of customers in a new upgraded version or the failure of our primary information systems may result in the following consequences, among others: loss of revenue or delay in market acceptance, damage to our reputation or increased service costs, any of which could have a material adverse effect on our business, financial condition or results of operations.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Furthermore, our business requires the secure transmission of confidential information over public networks. Because of the confidential health information we store and transmit, security breaches could expose us to a risk of regulatory action, litigation, possible liability and loss. Our security measures may be inadequate to prevent security breaches, and our business operations and profitability would be adversely affected by, among other things, loss of customers and potential criminal and civil sanctions if they are not prevented.</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 can be no assurance that our process of improving existing systems, developing new systems to support our expanding operations, integrating new systems, protecting confidential patient information, and improving service levels will not be delayed or that additional systems issues will not arise in the future. Failure to adequately protect and maintain the integrity of our information systems and data may result in a material adverse effect on our financial position, results of operations and cash flows.</w:t>
      </w:r>
    </w:p>
    <w:p>
      <w:pPr>
        <w:spacing w:after="0" w:line="18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Competition in the markets for our products is intense and we expect aggressive competition from existing competitors and other companies that may introduce new technologies in the future.</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Currently, our products compete directly against products manufactured and distributed by various companies, both within and outside the U.S. Many of these manufacturers, including Danaher Corporation, 3M, Sirona Dental Systems, Inc. and Dentsply International, have substantially greater financial resources and manufacturing and marketing experience than we do and may, in the future, attempt to develop an orthodontic system similar to ours or combine technologies that make our product economically unattractive. The expiration of certain key patents commencing in 2017 owned by us may result in additional competition. Large consumer product companies may also enter the orthodontic supply market. Furthermore, we may face competition in the future from new companies that may introduce new technologies. We may be unable to compete with these competitors and one or more of these competitors may render our technology obsolete or economically unattractive. If we are unable to compete effectively with existing products or respond effectively to any products developed by new or existing competitors, our business could be harmed. Increased competition has resulted in the past and may in the future result in volume discounting and price reductions, reduced gross margins, reduced profitability and loss of market share, and reduce dental professionals’ efforts and commitment to expand their use of our products, any of which could have a material adverse effect on our net revenues, volume growth, net income and stock price. We cannot assure you that we will be able to compete successfully against our current or future competitors or that competitive pressures will not have a material adverse effect on our business, results of operations and financial condition.</w:t>
      </w:r>
    </w:p>
    <w:p>
      <w:pPr>
        <w:spacing w:after="0" w:line="169"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If the security of our customer and patient information is compromised, patient care could suffer, and we could be liable for related damages, and our reputation could be impaired.</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retain confidential customer and patient information in our processing centers. Therefore, it is critical that our facilities and infrastructure remain secure and that our facilities and infrastructure are perceived by the marketplace and our customers to be secure. Despite the implementation of security measures, our infrastructure may be vulnerable to physical break-ins, computer viruses, programming errors, attacks by third parties or similar disruptive problems. If we fail to meet our clients’ expectations regarding the security of healthcare information, we could be liable for damages and our reputation could be impaired. In addition, patient care could suffer, and we could be liable if our systems fail to deliver correct information in a timely manner. Our insurance may not protect us from this risk.</w:t>
      </w:r>
    </w:p>
    <w:p>
      <w:pPr>
        <w:sectPr>
          <w:pgSz w:w="11900" w:h="16838" w:orient="portrait"/>
          <w:cols w:equalWidth="0" w:num="1">
            <w:col w:w="11420"/>
          </w:cols>
          <w:pgMar w:left="240" w:top="125" w:right="239" w:bottom="1440" w:gutter="0" w:footer="0" w:header="0"/>
        </w:sectPr>
      </w:pPr>
    </w:p>
    <w:p>
      <w:pPr>
        <w:spacing w:after="0" w:line="193" w:lineRule="exact"/>
        <w:rPr>
          <w:sz w:val="20"/>
          <w:szCs w:val="20"/>
          <w:color w:val="auto"/>
        </w:rPr>
      </w:pPr>
    </w:p>
    <w:p>
      <w:pPr>
        <w:jc w:val="both"/>
        <w:ind w:firstLine="216"/>
        <w:spacing w:after="0" w:line="312" w:lineRule="auto"/>
        <w:rPr>
          <w:sz w:val="20"/>
          <w:szCs w:val="20"/>
          <w:color w:val="auto"/>
        </w:rPr>
      </w:pPr>
      <w:r>
        <w:rPr>
          <w:rFonts w:ascii="Arial" w:cs="Arial" w:eastAsia="Arial" w:hAnsi="Arial"/>
          <w:sz w:val="16"/>
          <w:szCs w:val="16"/>
          <w:b w:val="1"/>
          <w:bCs w:val="1"/>
          <w:i w:val="1"/>
          <w:iCs w:val="1"/>
          <w:color w:val="auto"/>
        </w:rPr>
        <w:t>Our success depends in part on competitive position may be harmed. operations and stock price.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right"/>
        <w:spacing w:after="0" w:line="342" w:lineRule="auto"/>
        <w:rPr>
          <w:sz w:val="20"/>
          <w:szCs w:val="20"/>
          <w:color w:val="auto"/>
        </w:rPr>
      </w:pPr>
      <w:r>
        <w:rPr>
          <w:rFonts w:ascii="Arial" w:cs="Arial" w:eastAsia="Arial" w:hAnsi="Arial"/>
          <w:sz w:val="16"/>
          <w:szCs w:val="16"/>
          <w:b w:val="1"/>
          <w:bCs w:val="1"/>
          <w:i w:val="1"/>
          <w:iCs w:val="1"/>
          <w:color w:val="auto"/>
        </w:rPr>
        <w:t>our proprietary technology, and if we are unable to successfully enforce our intellectual property rights, our Litigating claims of this type is costly and could distract our management and cause a decline in our results of</w:t>
      </w:r>
    </w:p>
    <w:p>
      <w:pPr>
        <w:spacing w:after="0" w:line="272" w:lineRule="exact"/>
        <w:rPr>
          <w:sz w:val="20"/>
          <w:szCs w:val="20"/>
          <w:color w:val="auto"/>
        </w:rPr>
      </w:pPr>
    </w:p>
    <w:p>
      <w:pPr>
        <w:sectPr>
          <w:pgSz w:w="11900" w:h="16838" w:orient="portrait"/>
          <w:cols w:equalWidth="0" w:num="2">
            <w:col w:w="2780" w:space="40"/>
            <w:col w:w="8600"/>
          </w:cols>
          <w:pgMar w:left="240" w:top="125" w:right="239" w:bottom="1440" w:gutter="0" w:footer="0" w:header="0"/>
          <w:type w:val="continuous"/>
        </w:sectPr>
      </w:pPr>
    </w:p>
    <w:p>
      <w:pPr>
        <w:jc w:val="both"/>
        <w:ind w:firstLine="324"/>
        <w:spacing w:after="0" w:line="264" w:lineRule="auto"/>
        <w:rPr>
          <w:sz w:val="20"/>
          <w:szCs w:val="20"/>
          <w:color w:val="auto"/>
        </w:rPr>
      </w:pPr>
      <w:r>
        <w:rPr>
          <w:rFonts w:ascii="Arial" w:cs="Arial" w:eastAsia="Arial" w:hAnsi="Arial"/>
          <w:sz w:val="18"/>
          <w:szCs w:val="18"/>
          <w:color w:val="auto"/>
        </w:rPr>
        <w:t>Our success will depend in part on our ability to maintain existing intellectual property and to obtain and maintain further intellectual property protection for our products, both in the U.S. and in other countries. Our inability to do so could harm our competitive position. As of June 30, 2015, we had issued 365 U.S. patents, 262 foreign issued patents, and 226 pending global patent applications.</w:t>
      </w:r>
    </w:p>
    <w:p>
      <w:pPr>
        <w:spacing w:after="0" w:line="18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intend to rely on our portfolio of issued and pending patent applications in the U.S. and in other countries to protect a large part of our intellectual property and our competitive position; however, our currently pending or future patent filings may not result in the issuance of patents. Additionally, any patents issued to us may be challenged, invalidated, held unenforceable, circumvented, or may not be sufficiently broad to prevent third parties from producing competing products similar in design to our products. In addition, any protection afforded by foreign patents may be more limited than that provided under U.S. patents and intellectual property laws. We also rely on protection of our copyrights, trade secrets, know-how and proprietary information. We generally enter into confidentiality agreements with our employees, consultants and our collaborative partners upon commencement of a relationship with us; however, these agreements may not provide meaningful protection against the unauthorized use or disclosure of our trade secrets or other confidential information, and adequate remedies may not exist if</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unauthorized use or disclosure were to occur. Our inability to maintain the proprietary nature of our technology through patents, copyrights or trade secrets would impair our competitive advantages and could have a material adverse effect on our operating results, financial condition and future growth prospects. In particular, a failure to protect our proprietary rights might allow competitors to copy our technology, which could adversely affect our pricing and market share. In addition, in an effort to protect our intellectual property we have in the past been and may in the future be involved in litigation. The potential effects on our business operations resulting from litigation that we may participate in the future, whether or not ultimately determined in our favor or settled by us, are costly and divert the efforts and attention of our management and technical personnel from normal business operations.</w:t>
      </w:r>
    </w:p>
    <w:p>
      <w:pPr>
        <w:spacing w:after="0" w:line="1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Litigation is subject to inherent uncertainties and unfavorable rulings could occur. An unfavorable ruling could include monetary damages or, in cases where injunctive relief is sought, an injunction prohibiting us from selling our products. Any of these results from our litigation could adversely affect our results of operations and stock price.</w:t>
      </w:r>
    </w:p>
    <w:p>
      <w:pPr>
        <w:spacing w:after="0" w:line="18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b w:val="1"/>
          <w:bCs w:val="1"/>
          <w:i w:val="1"/>
          <w:iCs w:val="1"/>
          <w:color w:val="auto"/>
        </w:rPr>
        <w:t>While we believe we currently have adequate internal control over financial reporting, we are required to assess our internal control over financial reporting on an annual basis and any future adverse results from such assessment could result in a loss of investor confidence in our financial reports and have an adverse effect on our stock price.</w:t>
      </w:r>
    </w:p>
    <w:p>
      <w:pPr>
        <w:spacing w:after="0" w:line="11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Pursuant to the Sarbanes-Oxley Act of 2002 and the rules and regulations promulgated by the SEC, we are required to furnish in our Form 10-K a report by our management regarding the effectiveness of our internal control over financial reporting. The report includes, among other things,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 While we believe our internal control over financial reporting is currently effective, the effectiveness of our internal controls in future periods is subject to the risk that our controls may become inadequate because of changes in conditions, and, as a result, the degree of compliance of our internal control over financial reporting with the existing policies or procedures may become ineffective. Establishing, testing and maintaining an effective system of internal control over financial reporting requires significant resources and time commitments on the part of our management and our finance staff, may require additional staffing and infrastructure investments, and would increase our costs of doing business. If we are unable to assert that our internal control over financial reporting is effective in any future period (or if our auditors are unable to express an opinion on the effectiveness of our internal controls or conclude that our internal controls are ineffective), we could lose investor confidence in the accuracy and completeness of our financial reports, which could have an adverse effect on our stock price.</w:t>
      </w:r>
    </w:p>
    <w:p>
      <w:pPr>
        <w:spacing w:after="0" w:line="20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If we lose our key personnel or are unable to attract and retain key personnel, we may be unable to pursue business opportunities or develop our products.</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are highly dependent on the key employees in our clinical engineering, technology development, sales, training and marketing personnel and management teams. The loss of the services provided by those individuals may significantly delay or prevent the achievement of our product development and other business objectives and could harm our business. Our future success will also depend on our ability to identify, recruit, train and retain additional qualified personnel, including orthodontists. Few orthodontists are accustomed to working in a manufacturing environment since they are generally trained to work in private practices, universities and other research institutions. Thus, we may be unable to attract and retain personnel with the advanced qualifications necessary for the further development of our business. Furthermore, we may not be successful in retaining our key personnel or their services. If we are unable to attract and retain key personnel, our business could be materially harmed. In addition, our ability to recognize revenue on the direct sales of our intra-oral scanners depends in part upon our ability to schedule and staff trainings. The loss of the services provided by these individuals or our ability to timely hire such personnel in sufficient numbers based on our volume growth, may harm our business. If we are unable to retain our trainers or replace such individuals with persons having equivalent technical expertise and qualifications, or if we are unable to successfully instill such technical expertise in newly hired personnel or accurately predict the number of such personnel needed, our net revenues could be materially harmed. Thomas M. Prescott, the Company's former Chief Executive Officer ("CEO") retired effective June 1, 2015. While we also announced the appointment of Joseph M. Hogan as President and CEO effective that same date and we expect to engage in an orderly transition, our ability to execute our business strategy and retain key personnel may be adversely affected by the uncertainty associated with this transaction.</w:t>
      </w:r>
    </w:p>
    <w:p>
      <w:pPr>
        <w:spacing w:after="0" w:line="185" w:lineRule="exact"/>
        <w:rPr>
          <w:sz w:val="20"/>
          <w:szCs w:val="20"/>
          <w:color w:val="auto"/>
        </w:rPr>
      </w:pPr>
    </w:p>
    <w:p>
      <w:pPr>
        <w:jc w:val="both"/>
        <w:ind w:right="20" w:firstLine="365"/>
        <w:spacing w:after="0" w:line="277" w:lineRule="auto"/>
        <w:rPr>
          <w:sz w:val="20"/>
          <w:szCs w:val="20"/>
          <w:color w:val="auto"/>
        </w:rPr>
      </w:pPr>
      <w:r>
        <w:rPr>
          <w:rFonts w:ascii="Arial" w:cs="Arial" w:eastAsia="Arial" w:hAnsi="Arial"/>
          <w:sz w:val="18"/>
          <w:szCs w:val="18"/>
          <w:b w:val="1"/>
          <w:bCs w:val="1"/>
          <w:i w:val="1"/>
          <w:iCs w:val="1"/>
          <w:color w:val="auto"/>
        </w:rPr>
        <w:t>If we infringe the patents or proprietary rights of other parties or are subject to a patent infringement claim, our ability to grow our business may be severely limited.</w:t>
      </w:r>
    </w:p>
    <w:p>
      <w:pPr>
        <w:spacing w:after="0" w:line="10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Extensive litigation over patents and other intellectual property rights is common in the medical device industry. We have been sued for infringement of third party’s patents in the past and we may be the subject of patent or other litigation in the future. From time to time, we have received and may in the future receive letters from third parties drawing our attention to their patent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rights. While we do not believe that we infringe upon any valid and enforceable rights that have been brought to our attention, there may be other more pertinent rights of which we are presently unaware. The defense and prosecution of intellectual property suits, interference proceedings and related legal and administrative proceedings could result in substantial expense to us and significant diversion of effort by our technical and management personnel. An adverse determination of any litigation or interference proceeding to which we may become a party could subject us to significant liabilities. An adverse determination of this nature could also put our patents at risk of being invalidated or interpreted narrowly or require us to seek licenses from third parties. Licenses may not be available on commercially reasonable terms or at all, in which event, our business would be materially adversely affected.</w:t>
      </w:r>
    </w:p>
    <w:p>
      <w:pPr>
        <w:spacing w:after="0" w:line="165" w:lineRule="exact"/>
        <w:rPr>
          <w:sz w:val="20"/>
          <w:szCs w:val="20"/>
          <w:color w:val="auto"/>
        </w:rPr>
      </w:pPr>
    </w:p>
    <w:p>
      <w:pPr>
        <w:jc w:val="both"/>
        <w:ind w:right="20" w:firstLine="216"/>
        <w:spacing w:after="0" w:line="308" w:lineRule="auto"/>
        <w:rPr>
          <w:sz w:val="20"/>
          <w:szCs w:val="20"/>
          <w:color w:val="auto"/>
        </w:rPr>
      </w:pPr>
      <w:r>
        <w:rPr>
          <w:rFonts w:ascii="Arial" w:cs="Arial" w:eastAsia="Arial" w:hAnsi="Arial"/>
          <w:sz w:val="17"/>
          <w:szCs w:val="17"/>
          <w:b w:val="1"/>
          <w:bCs w:val="1"/>
          <w:i w:val="1"/>
          <w:iCs w:val="1"/>
          <w:color w:val="auto"/>
        </w:rPr>
        <w:t>We maintain single supply relationships for certain of our key machines and materials technologies, and our business and operating results could be harmed if supply is restricted or ends or the price of raw materials used in our manufacturing process increases.</w:t>
      </w:r>
    </w:p>
    <w:p>
      <w:pPr>
        <w:spacing w:after="0" w:line="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are highly dependent on manufacturers of specialized scanning equipment, rapid prototyping machines, resin and other advanced materials, as well as the optics, electronic and other mechanical components of our intra-oral scanners. We maintain single supply relationships for many of these machines and materials technologies. In particular, our CT scanning and stereolithography equipment used in our aligner manufacturing and many of the critical components for the optics of our scanners are provided by single suppliers. We are also committed to purchasing the vast majority of our resin and polymer, the primary raw materials used in our manufacturing process for clear aligners, from a single source. If these or other suppliers encounter financial, operating or other difficulties or if our relationship with them changes, we might not be able to quickly establish or qualify replacement sources of supply and could face production interruptions, delays and inefficiencies. In addition, technology changes by our vendors could disrupt access to required manufacturing capacity or require expensive, time consuming development efforts to adapt and integrate new equipment or processes. Our growth may exceed the capacity of one or more of these manufacturers to produce the needed equipment and materials in sufficient quantities to support our growth. Conversely, in order to secure supplies for production of products, we sometimes enter into non-cancelable purchase commitments with vendors, which could impact our ability to adjust our inventory to reflect declining market demands. If demand for our products is less than we expect, we may experience additional excess and obsolete inventories and be forced to incur additional charges and our profitability may suffer. In the event of technology changes, delivery delays, or shortages of or increases in price for these items, our business and growth prospects may be harmed.</w:t>
      </w:r>
    </w:p>
    <w:p>
      <w:pPr>
        <w:spacing w:after="0" w:line="175"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We depend on a single contract manufacturer and supplier of parts used in our iTero scanner and any disruption in this relationship may cause us to fail to meet the demands of our customers and damage our customer relationships.</w:t>
      </w:r>
    </w:p>
    <w:p>
      <w:pPr>
        <w:spacing w:after="0" w:line="10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rely on a third party manufacturer in Israel to assemble our iTero scanner. As a result, if this third party manufacturer fails to deliver its components or if we lose its services, we may be unable to deliver our products in a timely manner and our business may be harmed. Any difficulties encountered by the third party manufacturer with respect to hiring personnel, and maintaining acceptable manufacturing standards, controls, procedures and policies could disrupt our ability to deliver our products in a timely manner. Finding a substitute manufacturer may be expensive, time-consuming or impossible and could result in a significant interruption in the supply of our intra-oral scanning products. Any failure by our contract manufacturer that results in delays in our fulfillment of customer orders may cause us to lose revenues and suffer damage to our customer relationships.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primarily rely on our direct sales force to sell our products, and any failure to maintain our direct sales force could harm our business.</w:t>
      </w:r>
    </w:p>
    <w:p>
      <w:pPr>
        <w:spacing w:after="0" w:line="16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ability to sell our products and generate revenues primarily depends upon our direct sales force within our North American and international markets. As of June 30, 2015, our North American sales organization consisted of approximately 315 people. Internationally, we had approximately 195 people engaged in direct sales and sales support as of June 30, 2015. We do not have any long-term employment contracts with the members of our direct sales force. The loss of the services provided by these key personnel may harm our business. If we are unable to retain our direct sales force personnel or replace them with individuals of equivalent technical expertise and qualifications, or if we are unable to successfully instill such technical expertise or if we fail to establish and maintain strong relationships with our customers within a relatively short period of time, our net revenues and our ability to maintain market share could be materially harmed. In addition, due to our large and fragmented customer base, we may not be able to provide all of our customers with product support immediately upon the launch of a new product. As a result, adoption of new products by our customers may be slower than anticipated and our ability to grow market share and increase our net revenues may be harmed.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216"/>
        <w:spacing w:after="0" w:line="277" w:lineRule="auto"/>
        <w:rPr>
          <w:sz w:val="20"/>
          <w:szCs w:val="20"/>
          <w:color w:val="auto"/>
        </w:rPr>
      </w:pPr>
      <w:r>
        <w:rPr>
          <w:rFonts w:ascii="Arial" w:cs="Arial" w:eastAsia="Arial" w:hAnsi="Arial"/>
          <w:sz w:val="18"/>
          <w:szCs w:val="18"/>
          <w:b w:val="1"/>
          <w:bCs w:val="1"/>
          <w:i w:val="1"/>
          <w:iCs w:val="1"/>
          <w:color w:val="auto"/>
        </w:rPr>
        <w:t>If our distributor relationships are not successful, our ability to market and sell our products would be harmed and our financial performance will be adversely affected.</w:t>
      </w:r>
    </w:p>
    <w:p>
      <w:pPr>
        <w:spacing w:after="0" w:line="103"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We depend on relationships with distributors for the marketing and sales of our products in various geographic regions, and we have a limited ability to influence their efforts. Relying on distributors for our sales and marketing could harm our business for various reasons, including:</w:t>
      </w:r>
    </w:p>
    <w:p>
      <w:pPr>
        <w:spacing w:after="0" w:line="147" w:lineRule="exact"/>
        <w:rPr>
          <w:sz w:val="20"/>
          <w:szCs w:val="20"/>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agreements with distributors may terminate prematurely due to disagreements or may result in litigation between the partners;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renew existing distributor agreements on acceptable terms;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distributors may not devote sufficient resources to the sale of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distributors may be unsuccessful in marketing our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existing relationships with distributors may preclude us from entering into additional future arrangements with other distributors; and</w:t>
      </w:r>
    </w:p>
    <w:p>
      <w:pPr>
        <w:spacing w:after="0" w:line="182" w:lineRule="exact"/>
        <w:rPr>
          <w:rFonts w:ascii="Arial" w:cs="Arial" w:eastAsia="Arial" w:hAnsi="Arial"/>
          <w:sz w:val="17"/>
          <w:szCs w:val="17"/>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negotiate future distributor agreements on acceptable terms.</w:t>
      </w:r>
    </w:p>
    <w:p>
      <w:pPr>
        <w:spacing w:after="0" w:line="171" w:lineRule="exact"/>
        <w:rPr>
          <w:sz w:val="20"/>
          <w:szCs w:val="20"/>
          <w:color w:val="auto"/>
        </w:rPr>
      </w:pPr>
    </w:p>
    <w:p>
      <w:pPr>
        <w:ind w:firstLine="216"/>
        <w:spacing w:after="0" w:line="277" w:lineRule="auto"/>
        <w:rPr>
          <w:sz w:val="20"/>
          <w:szCs w:val="20"/>
          <w:color w:val="auto"/>
        </w:rPr>
      </w:pPr>
      <w:r>
        <w:rPr>
          <w:rFonts w:ascii="Arial" w:cs="Arial" w:eastAsia="Arial" w:hAnsi="Arial"/>
          <w:sz w:val="18"/>
          <w:szCs w:val="18"/>
          <w:b w:val="1"/>
          <w:bCs w:val="1"/>
          <w:i w:val="1"/>
          <w:iCs w:val="1"/>
          <w:color w:val="auto"/>
        </w:rPr>
        <w:t>Complying with regulations enforced by the FDA and other regulatory authorities is an expensive and time-consuming process, and any failure to comply could result in substantial penalties.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products are considered medical devices and are subject to extensive regulation in the U.S. and internationally. FDA regulations are wide ranging and govern, among other things:</w:t>
      </w:r>
    </w:p>
    <w:p>
      <w:pPr>
        <w:spacing w:after="0" w:line="170" w:lineRule="exact"/>
        <w:rPr>
          <w:sz w:val="20"/>
          <w:szCs w:val="20"/>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design, development, manufacturing and testing;</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storage;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complaint handling and corrective actions;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failure to comply with applicable regulatory requirements could result in enforcement action by the FDA or state agencies, which may include any of the following sanctions:</w:t>
      </w:r>
    </w:p>
    <w:p>
      <w:pPr>
        <w:spacing w:after="0" w:line="170" w:lineRule="exact"/>
        <w:rPr>
          <w:sz w:val="20"/>
          <w:szCs w:val="20"/>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warning letters, fines, injunctions, consent decrees and civil penalties;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refusing our requests for 510(k) clearance or pre-market approval of new products, new intended uses, or modifications to existing products;</w:t>
      </w:r>
    </w:p>
    <w:p>
      <w:pPr>
        <w:spacing w:after="0" w:line="194" w:lineRule="exact"/>
        <w:rPr>
          <w:rFonts w:ascii="Arial" w:cs="Arial" w:eastAsia="Arial" w:hAnsi="Arial"/>
          <w:sz w:val="16"/>
          <w:szCs w:val="16"/>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withdrawing clearance or pre-market approvals that have already been granted;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any of these events were to occur, they could harm our business. We must comply with facility registration and product listing requirements of the FDA and adhere to applicable Quality System regulations. The FDA enforces its Quality System regulations through periodic unannounced inspections. Our failure to take satisfactory corrective action in response to an adverse inspection or the failure to comply with applicable manufacturing regulations could result in enforcement action, and we may be required to find alternative manufacturers, which could be a long and costly process. Any FDA enforcement action could have a material adverse effect on us.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Before we can sell a new medical device in the U.S., or market a new use of or claim for an existing product we must obtain FDA clearance or approval, unless an exemption applies. Obtaining regulatory clearances or approvals can be a lengthy and time-consuming process. Even though the devices we market have obtained the necessary clearances from the FDA, we may be unable to maintain such clearances in the future. Furthermore, we may be unable to obtain the necessary clearances for new devices that we intend to market in the future. Our inability to maintain or obtain regulatory clearances or approvals could materially harm our business.</w:t>
      </w:r>
    </w:p>
    <w:p>
      <w:pPr>
        <w:spacing w:after="0" w:line="18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addition, as part of the Dodd-Frank Wall Street Reform and Consumer Protection Act, the SEC adopted disclosure requirements regarding the use of certain minerals, known as conflict minerals, which are mined from the Democratic Republic of Congo and adjoining countries, as well as procedures regarding a manufacturer's efforts to identify and discourage the sourcing of such minerals and metals produced from those minerals. Additional reporting obligations are being considered by the European Union. The implementation of the existing U.S. requirements and any additional requirements in Europe could affect the sourcing and availability of metals used in the manufacture of a limited number of parts (if any) contained in our products. For example, the implementation of these disclosure requirements may decrease the number of suppliers capable of supplying our needs for certain metals, thereby negatively affecting our ability to obtain products in sufficient quantities or at competitive prices. Our material sourcing is broad based and multi-tiered, and we may be unable to conclusively verify the origins for all metals used in our products. We may suffer financial and reputational harm if customers require, and we are unable to deliver, certification that our products are conflict free. Regardless, we will incur additional costs associated with compliance with these disclosure requirements, including time-consuming and costly efforts to determine the source of any conflict minerals used in our products.</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If compliance with healthcare regulations becomes costly and difficult for our customers or for us, we may not be able to grow our business.</w:t>
      </w:r>
    </w:p>
    <w:p>
      <w:pPr>
        <w:spacing w:after="0" w:line="1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Participants in the healthcare industry are subject to extensive and frequently changing regulations under numerous laws administered by governmental entities at the federal, state and local levels, some of which are, and others of which may be, applicable to our business. In response to perceived increases in health care costs in recent years, Congress passed health care reform legislation that President Obama signed into law in March 2010. This legislation contains many provisions designed to generate the revenues necessary to fund the coverage expansions. The most relevant of these provisions are those that impose fees or taxes on certain health-related industries, including medical device manufacturers. Effective January 1, 2013, as a medical device manufacturer, we were required to pay an excise tax on the price for which we sell our medical devices in the U.S. This Medical Device Excise Tax ("MDET") applies to most medical devices, including our products, which could have a material, negative impact on our results of operations and our cash flows. During March 2014, Align had extensive discussions with the IRS and they informed us that our aligners are not subject to the MDET; however, our scanners are still subject to the MDET which is not material. The MDET is included in selling, general and administrative expenses in the consolidated statements of operations.</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Furthermore, our healthcare provider customers are also subject to a wide variety of laws and regulations that could affect the nature and scope of their relationships with us. The healthcare market itself is highly regulated and subject to changing political, economic and regulatory influences. Regulations implemented pursuant to the Health Insurance Portability and Accountability Act ("HIPAA"), including regulations affecting the security and privacy of patient healthcare information held by healthcare providers and their business associates may require us to make significant and unplanned enhancements of software applications or services, result in delays or cancellations of orders, or result in the revocation of endorsement of our products and services by healthcare participants. The effect of HIPAA and newly enforced regulations on our business is difficult to predict, and there can be no assurance that we will adequately address the business risks created by HIPAA and its implementation or that we will be able to take advantage of any resulting business opportunities.</w:t>
      </w:r>
    </w:p>
    <w:p>
      <w:pPr>
        <w:spacing w:after="0" w:line="192" w:lineRule="exact"/>
        <w:rPr>
          <w:sz w:val="20"/>
          <w:szCs w:val="20"/>
          <w:color w:val="auto"/>
        </w:rPr>
      </w:pPr>
    </w:p>
    <w:p>
      <w:pPr>
        <w:jc w:val="both"/>
        <w:ind w:right="20" w:firstLine="216"/>
        <w:spacing w:after="0" w:line="277" w:lineRule="auto"/>
        <w:rPr>
          <w:sz w:val="20"/>
          <w:szCs w:val="20"/>
          <w:color w:val="auto"/>
        </w:rPr>
      </w:pPr>
      <w:r>
        <w:rPr>
          <w:rFonts w:ascii="Arial" w:cs="Arial" w:eastAsia="Arial" w:hAnsi="Arial"/>
          <w:sz w:val="18"/>
          <w:szCs w:val="18"/>
          <w:b w:val="1"/>
          <w:bCs w:val="1"/>
          <w:i w:val="1"/>
          <w:iCs w:val="1"/>
          <w:color w:val="auto"/>
        </w:rPr>
        <w:t>Extensive and changing government regulation of the healthcare industry may be expensive to comply with and exposes us to the risk of substantial government penalties.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to medical device laws and regulations, numerous state and federal healthcare-related laws regulate our business, covering areas such as:</w:t>
      </w:r>
    </w:p>
    <w:p>
      <w:pPr>
        <w:spacing w:after="0" w:line="248" w:lineRule="exact"/>
        <w:rPr>
          <w:sz w:val="20"/>
          <w:szCs w:val="20"/>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storage, transmission and disclosure of medical information and healthcare records;</w:t>
      </w:r>
    </w:p>
    <w:p>
      <w:pPr>
        <w:spacing w:after="0" w:line="171" w:lineRule="exact"/>
        <w:rPr>
          <w:rFonts w:ascii="Arial" w:cs="Arial" w:eastAsia="Arial" w:hAnsi="Arial"/>
          <w:sz w:val="18"/>
          <w:szCs w:val="18"/>
          <w:color w:val="auto"/>
        </w:rPr>
      </w:pPr>
    </w:p>
    <w:p>
      <w:pPr>
        <w:ind w:left="980" w:right="20" w:hanging="486"/>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prohibitions against the offer, payment or receipt of remuneration to induce referrals to entities providing healthcare services or goods or to induce the order, purchase or recommendation of our products; and</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marketing and advertising of our products.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Complying with these laws and regulations could be expensive and time-consuming, and could increase our operating costs or reduce or eliminate certain of our sales and marketing activities or our revenues.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face risks related to our international sales, including the need to obtain necessary foreign regulatory clearance or approvals.</w:t>
      </w:r>
    </w:p>
    <w:p>
      <w:pPr>
        <w:spacing w:after="0" w:line="1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Outside of North America, we currently sell our products in Europe, Asia Pacific, Latin America and the Middle East and may expand into other countries from time to time. For sales of our products outside the U.S., we are subject to foreign regulatory requirements that vary widely from country to country. The time required to obtain clearances or approvals required by other countries may be longer than that required for FDA clearance or approval, and requirements for such approvals may differ from FDA requirements. We may be unable to obtain regulatory approvals in one or more of the other countries in which we do business or in which we may do business in the future. We may also incur significant costs in attempting to obtain and maintain foreign regulatory approvals. If we experience delays in receipt of approvals to market our products outside of the U.S., or if we fail to receive these approvals, we may be unable to market our products or enhancements in international markets in a timely manner, if at all.</w:t>
      </w:r>
    </w:p>
    <w:p>
      <w:pPr>
        <w:spacing w:after="0" w:line="178"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business exposes us to potential product liability claims, and we may incur substantial expenses if we are subject to product liability claims or litigation.</w:t>
      </w:r>
    </w:p>
    <w:p>
      <w:pPr>
        <w:spacing w:after="0" w:line="10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Medical devices involve an inherent risk of product liability claims and associated adverse publicity. We may be held liable if any product we develop or any product that uses or incorporates any of our technologies causes injury or is otherwise found unsuitable. Although we intend to continue to maintain product liability insurance, adequate insurance may not be available on acceptable terms, if at all, and may not provide adequate coverage against potential liabilities. A product liability claim, regardless of its merit or eventual outcome, could result in significant legal defense costs. These costs would have the effect of increasing our expenses and diverting management’s attention away from the operation of our business, and could harm our business.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Historically, the market price for our common stock has been volatile.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market price of our common stock could be subject to wide price fluctuations in response to various factors, many of which are beyond our control. The factors include:</w:t>
      </w:r>
    </w:p>
    <w:p>
      <w:pPr>
        <w:spacing w:after="0" w:line="170" w:lineRule="exact"/>
        <w:rPr>
          <w:sz w:val="20"/>
          <w:szCs w:val="20"/>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and liquidity;</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recommendations by the investment community or in their estimates of our net revenues or operating results;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speculation in the press or investment community concerning our business and results of operations;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strategic actions by our competitors, such as product announcements or acquisitions;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our customers or competitors;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market conditions.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the stock market in general, and the market for technology and medical device companies in particular, have experienced extreme price and volume fluctuations that have often been unrelated to or disproportionate to the operating performance of those companies. These broad market and industry factors may seriously harm the market price of our common stock, regardless of our operating performance. Historically, class action litigation is often brought against an issuing company following periods of volatility in the market price of a company’s securities.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Future sales of significant amounts of our common stock may depress our stock price.</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large percentage of our outstanding common stock is currently owned by a small number of significant stockholders. These stockholders have sold in the past, and may sell in the future, large amounts of common stock over relatively short periods of time. Sales of substantial amounts of our common stock in the public market by our existing stockholders may adversely affect the market price of our common stock. Such sales could create public perception of difficulties or problems with our business and may depress our stock price.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If our goodwill or long-lived assets become impaired, we may be required to record a significant charge to earnings.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Under Generally Accepted Accounting Principles in the United States (“U.S. GAAP”), we review our goodwill and asset group for impairment when events or changes in circumstances indicate the carrying value may not be recoverable. Additionally, goodwill is required to be tested for impairment at least annually. The qualitative and quantitative analysis used to test goodwill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are dependent upon various assumptions and reflect management’s best estimates. Changes in certain assumptions including revenue growth rates, discount rates, earnings multiples and future cash flows may cause a change in circumstances indicating that the carrying value of goodwill or the asset group may be impaired. We may be required to record a significant charge to earnings in the financial statements during the period in which any impairment of goodwill or asset group are determined.</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or interpretations of, accounting rules and regulations, could result in unfavorable accounting charges.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prepare our consolidated financial statements in conformity with U.S. GAAP. These principles are subject to interpretation by the SEC and various bodies formed to interpret and create appropriate accounting policies. A change in these policies can have a significant effect on our reported results and may even retroactively affect previously reported transactions. Our accounting policies that recently have been or may be affected by changes in the accounting rules are as follows:</w:t>
      </w:r>
    </w:p>
    <w:p>
      <w:pPr>
        <w:spacing w:after="0" w:line="187" w:lineRule="exact"/>
        <w:rPr>
          <w:sz w:val="20"/>
          <w:szCs w:val="20"/>
          <w:color w:val="auto"/>
        </w:rPr>
      </w:pPr>
    </w:p>
    <w:p>
      <w:pPr>
        <w:ind w:left="980" w:hanging="486"/>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revenue recognition;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leases.</w:t>
      </w:r>
    </w:p>
    <w:p>
      <w:pPr>
        <w:spacing w:after="0" w:line="171"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If we fail to manage our exposure to global financial and securities market risk successfully, our operating results and financial statements could be materially impacted.</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primary objective of most of our investment activities is to preserve principal. To achieve this objective, a majority of our marketable investments are investment grade, liquid, fixed-income securities and money market instruments denominated in U.S. dollars. If the carrying value of our investments exceeds the fair value, and the decline in fair value is deemed to be other-than-temporary, we will be required to write down the value of our investments, which could materially harm our results of operations and financial condition. Moreover, the performance of certain securities in our investment portfolio correlates with the credit condition of the U.S. financial sector. In a current unstable credit environment, we might incur significant realized, unrealized or impairment losses associated with these investments.</w:t>
      </w:r>
    </w:p>
    <w:p>
      <w:pPr>
        <w:spacing w:after="0" w:line="193"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We have adopted a shareholders rights’ plan to limit the possibility that we are acquired, which may mean that a transaction that shareholders are in favor of or are benefited by may be prevented.</w:t>
      </w:r>
    </w:p>
    <w:p>
      <w:pPr>
        <w:spacing w:after="0" w:line="10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Board of Directors has the authority to issue up to 5,000,000 shares of preferred stock and to determine the rights, preferences, privileges and restrictions of such shares without any further vote or action by our shareholders. To date, our Board has designated 200,000 shares as Series A participating preferred stock in connection with our shareholder rights’ plan. The issuance of preferred stock under certain circumstances could have the effect of delaying or preventing an acquisition of Align or otherwise adversely affecting the rights of the holders of our stock. The shareholder rights’ plan may have the effect of rendering more difficult or discouraging an acquisition of our company which is deemed undesirable by our board of directors. The shareholder rights’ plan may cause substantial dilution to a person or group attempting to acquire us on terms or in a manner not approved by our board of directors, except pursuant to an offer conditioned on the negation, purchase or redemption of the rights issued under the shareholder rights’ plan.</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effective tax rate may vary significantly from period to period.</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Various internal and external factors may have favorable or unfavorable effects on our future effective tax rate. These factors include, but are not limited to, changes in tax laws, regulations and/or rates, non-deductible goodwill impairments, changing interpretations of existing tax laws or regulations, changes in the relative proportions of revenues and income before taxes in the various jurisdictions in which we operate that have differing statutory tax rates, the future levels of tax benefits of stock option deductions relating to incentive stock options and employee stock purchase plans, settlement of income tax audits, and changes in overall levels of pretax earnings.</w:t>
      </w:r>
    </w:p>
    <w:p>
      <w:pPr>
        <w:spacing w:after="0" w:line="18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June 2009, the Costa Rica Ministry of Foreign Trade, an agency of the Government of Costa Rica, granted a twelve year extension of various income tax incentives, which were previously granted in 2002. The incentive tax rates will expire in various years beginning in 2017. Under these incentives, all of the income in Costa Rica during these twelve year incentive periods is subject to reduced rates of Costa Rica income tax.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2015. Income taxes were reduced by $8.2 million and $7.5 million for the three months ended June 30, 2015 and 2014, respectively, representing a benefit to diluted net income per share of $0.10 and $0.09 in 2015 and 2014, respectively. As a result of these incentives, our income taxes were reduced by $16.4 million and $15.1 million for the six months ended June 30, 2015 and 2014, respectively, representing a benefit to diluted net income per share of $0.20 and $0.18 in 2015 and 2014,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subsidiary in Israel is under audit by the local tax authorities for calendar years 2006 through 2012. We were currently under audit by the California Franchise Tax Board for fiscal year 2011, 2012 and 2013.</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3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is a summary of stock repurchases for the three months ended June 30, 2015:</w:t>
      </w:r>
    </w:p>
    <w:p>
      <w:pPr>
        <w:spacing w:after="0" w:line="36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Total Number of</w:t>
            </w:r>
          </w:p>
        </w:tc>
        <w:tc>
          <w:tcPr>
            <w:tcW w:w="1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4"/>
        </w:trPr>
        <w:tc>
          <w:tcPr>
            <w:tcW w:w="4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Shares Repurchased</w:t>
            </w:r>
          </w:p>
        </w:tc>
        <w:tc>
          <w:tcPr>
            <w:tcW w:w="1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Price</w:t>
            </w: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60" w:type="dxa"/>
            <w:vAlign w:val="bottom"/>
          </w:tcPr>
          <w:p>
            <w:pPr>
              <w:spacing w:after="0"/>
              <w:rPr>
                <w:sz w:val="12"/>
                <w:szCs w:val="12"/>
                <w:color w:val="auto"/>
              </w:rPr>
            </w:pPr>
          </w:p>
        </w:tc>
        <w:tc>
          <w:tcPr>
            <w:tcW w:w="176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540" w:type="dxa"/>
            <w:vAlign w:val="bottom"/>
            <w:vMerge w:val="restart"/>
          </w:tcPr>
          <w:p>
            <w:pPr>
              <w:ind w:left="2060"/>
              <w:spacing w:after="0"/>
              <w:rPr>
                <w:sz w:val="20"/>
                <w:szCs w:val="20"/>
                <w:color w:val="auto"/>
              </w:rPr>
            </w:pPr>
            <w:r>
              <w:rPr>
                <w:rFonts w:ascii="Arial" w:cs="Arial" w:eastAsia="Arial" w:hAnsi="Arial"/>
                <w:sz w:val="14"/>
                <w:szCs w:val="14"/>
                <w:b w:val="1"/>
                <w:bCs w:val="1"/>
                <w:color w:val="auto"/>
              </w:rPr>
              <w:t>Period</w:t>
            </w:r>
          </w:p>
        </w:tc>
        <w:tc>
          <w:tcPr>
            <w:tcW w:w="220" w:type="dxa"/>
            <w:vAlign w:val="bottom"/>
            <w:vMerge w:val="restart"/>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Announced Program</w:t>
            </w:r>
          </w:p>
        </w:tc>
        <w:tc>
          <w:tcPr>
            <w:tcW w:w="160" w:type="dxa"/>
            <w:vAlign w:val="bottom"/>
          </w:tcPr>
          <w:p>
            <w:pPr>
              <w:spacing w:after="0"/>
              <w:rPr>
                <w:sz w:val="12"/>
                <w:szCs w:val="12"/>
                <w:color w:val="auto"/>
              </w:rPr>
            </w:pPr>
          </w:p>
        </w:tc>
        <w:tc>
          <w:tcPr>
            <w:tcW w:w="176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2"/>
              </w:rPr>
              <w:t>Repurchased Under the</w:t>
            </w:r>
          </w:p>
        </w:tc>
        <w:tc>
          <w:tcPr>
            <w:tcW w:w="0" w:type="dxa"/>
            <w:vAlign w:val="bottom"/>
          </w:tcPr>
          <w:p>
            <w:pPr>
              <w:spacing w:after="0"/>
              <w:rPr>
                <w:sz w:val="1"/>
                <w:szCs w:val="1"/>
                <w:color w:val="auto"/>
              </w:rPr>
            </w:pPr>
          </w:p>
        </w:tc>
      </w:tr>
      <w:tr>
        <w:trPr>
          <w:trHeight w:val="162"/>
        </w:trPr>
        <w:tc>
          <w:tcPr>
            <w:tcW w:w="45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Repurchased</w:t>
            </w:r>
            <w:r>
              <w:rPr>
                <w:rFonts w:ascii="Arial" w:cs="Arial" w:eastAsia="Arial" w:hAnsi="Arial"/>
                <w:sz w:val="8"/>
                <w:szCs w:val="8"/>
                <w:b w:val="1"/>
                <w:bCs w:val="1"/>
                <w:color w:val="auto"/>
                <w:w w:val="91"/>
              </w:rPr>
              <w:t>(2)</w:t>
            </w:r>
          </w:p>
        </w:tc>
        <w:tc>
          <w:tcPr>
            <w:tcW w:w="2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Paid per Share</w:t>
            </w:r>
          </w:p>
        </w:tc>
        <w:tc>
          <w:tcPr>
            <w:tcW w:w="2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(1)</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8"/>
              </w:rPr>
              <w:t xml:space="preserve">Program </w:t>
            </w:r>
            <w:r>
              <w:rPr>
                <w:rFonts w:ascii="Arial" w:cs="Arial" w:eastAsia="Arial" w:hAnsi="Arial"/>
                <w:sz w:val="8"/>
                <w:szCs w:val="8"/>
                <w:b w:val="1"/>
                <w:bCs w:val="1"/>
                <w:color w:val="auto"/>
                <w:w w:val="98"/>
              </w:rPr>
              <w:t>(1)</w:t>
            </w:r>
          </w:p>
        </w:tc>
        <w:tc>
          <w:tcPr>
            <w:tcW w:w="0" w:type="dxa"/>
            <w:vAlign w:val="bottom"/>
          </w:tcPr>
          <w:p>
            <w:pPr>
              <w:spacing w:after="0"/>
              <w:rPr>
                <w:sz w:val="1"/>
                <w:szCs w:val="1"/>
                <w:color w:val="auto"/>
              </w:rPr>
            </w:pPr>
          </w:p>
        </w:tc>
      </w:tr>
      <w:tr>
        <w:trPr>
          <w:trHeight w:val="237"/>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1, 2015 through April 30, 2015</w:t>
            </w: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824,222</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59.45</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824,222</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150,988,320</w:t>
            </w:r>
          </w:p>
        </w:tc>
        <w:tc>
          <w:tcPr>
            <w:tcW w:w="0" w:type="dxa"/>
            <w:vAlign w:val="bottom"/>
          </w:tcPr>
          <w:p>
            <w:pPr>
              <w:spacing w:after="0"/>
              <w:rPr>
                <w:sz w:val="1"/>
                <w:szCs w:val="1"/>
                <w:color w:val="auto"/>
              </w:rPr>
            </w:pPr>
          </w:p>
        </w:tc>
      </w:tr>
      <w:tr>
        <w:trPr>
          <w:trHeight w:val="27"/>
        </w:trPr>
        <w:tc>
          <w:tcPr>
            <w:tcW w:w="4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22"/>
          <w:szCs w:val="22"/>
          <w:b w:val="1"/>
          <w:bCs w:val="1"/>
          <w:color w:val="auto"/>
          <w:vertAlign w:val="superscript"/>
        </w:rPr>
      </w:pPr>
      <w:r>
        <w:rPr>
          <w:rFonts w:ascii="Arial" w:cs="Arial" w:eastAsia="Arial" w:hAnsi="Arial"/>
          <w:sz w:val="16"/>
          <w:szCs w:val="16"/>
          <w:color w:val="252525"/>
        </w:rPr>
        <w:t xml:space="preserve">As part of our $300.0 million stock repurchase program, we </w:t>
      </w:r>
      <w:r>
        <w:rPr>
          <w:rFonts w:ascii="Arial" w:cs="Arial" w:eastAsia="Arial" w:hAnsi="Arial"/>
          <w:sz w:val="16"/>
          <w:szCs w:val="16"/>
          <w:color w:val="000000"/>
        </w:rPr>
        <w:t>entered into the next accelerated share repurchase agreement ("2015 ASR") on April 28,</w:t>
      </w:r>
    </w:p>
    <w:p>
      <w:pPr>
        <w:spacing w:after="0" w:line="1" w:lineRule="exact"/>
        <w:rPr>
          <w:rFonts w:ascii="Arial" w:cs="Arial" w:eastAsia="Arial" w:hAnsi="Arial"/>
          <w:sz w:val="22"/>
          <w:szCs w:val="22"/>
          <w:b w:val="1"/>
          <w:bCs w:val="1"/>
          <w:color w:val="auto"/>
          <w:vertAlign w:val="superscript"/>
        </w:rPr>
      </w:pPr>
    </w:p>
    <w:p>
      <w:pPr>
        <w:jc w:val="both"/>
        <w:spacing w:after="0" w:line="289" w:lineRule="auto"/>
        <w:rPr>
          <w:rFonts w:ascii="Arial" w:cs="Arial" w:eastAsia="Arial" w:hAnsi="Arial"/>
          <w:sz w:val="22"/>
          <w:szCs w:val="22"/>
          <w:b w:val="1"/>
          <w:bCs w:val="1"/>
          <w:color w:val="auto"/>
          <w:vertAlign w:val="superscript"/>
        </w:rPr>
      </w:pPr>
      <w:r>
        <w:rPr>
          <w:rFonts w:ascii="Arial" w:cs="Arial" w:eastAsia="Arial" w:hAnsi="Arial"/>
          <w:sz w:val="16"/>
          <w:szCs w:val="16"/>
          <w:color w:val="auto"/>
        </w:rPr>
        <w:t>2015 to repurchase $70.0 million of our common stock. Under the terms of the 2015 ASR, we agreed to repurchase in total $70.0 million of our common stock, with an initial delivery of approximately 0.8 million shares based on the then current market price. As of June 30, 2015, $21.0 million of the $70.0 million was outstanding as an equity forward contract. Including the value of the $21.0 million forward equity contract, we have approximately $130.0 million remaining under the April 2014 stock repurchase program. The 2015 ASR was completed on July 23, 2015 with a final delivery of approximately 0.3 million shares. Under the 2015 ASR, we received a total of approximately 1.2 million shares for an average purchase share price of $60.52. The final number of shares repurchased was based on our volume-weighted average stock price during the term of the transaction, less an agreed upon discount.</w:t>
      </w:r>
    </w:p>
    <w:p>
      <w:pPr>
        <w:spacing w:after="0" w:line="56" w:lineRule="exact"/>
        <w:rPr>
          <w:rFonts w:ascii="Arial" w:cs="Arial" w:eastAsia="Arial" w:hAnsi="Arial"/>
          <w:sz w:val="22"/>
          <w:szCs w:val="22"/>
          <w:b w:val="1"/>
          <w:bCs w:val="1"/>
          <w:color w:val="auto"/>
          <w:vertAlign w:val="superscript"/>
        </w:rPr>
      </w:pPr>
    </w:p>
    <w:p>
      <w:pPr>
        <w:ind w:left="380" w:hanging="372"/>
        <w:spacing w:after="0"/>
        <w:tabs>
          <w:tab w:leader="none" w:pos="38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All shares were repurchased to the publicly announced repurchase program described above.</w:t>
      </w:r>
    </w:p>
    <w:p>
      <w:pPr>
        <w:spacing w:after="0" w:line="387"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Exhibits: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29"/>
        </w:trPr>
        <w:tc>
          <w:tcPr>
            <w:tcW w:w="9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Number</w:t>
            </w:r>
          </w:p>
        </w:tc>
        <w:tc>
          <w:tcPr>
            <w:tcW w:w="6080" w:type="dxa"/>
            <w:vAlign w:val="bottom"/>
            <w:gridSpan w:val="3"/>
          </w:tcPr>
          <w:p>
            <w:pPr>
              <w:ind w:left="2720"/>
              <w:spacing w:after="0" w:line="129" w:lineRule="exact"/>
              <w:rPr>
                <w:sz w:val="20"/>
                <w:szCs w:val="20"/>
                <w:color w:val="auto"/>
              </w:rPr>
            </w:pPr>
            <w:r>
              <w:rPr>
                <w:rFonts w:ascii="Arial" w:cs="Arial" w:eastAsia="Arial" w:hAnsi="Arial"/>
                <w:sz w:val="14"/>
                <w:szCs w:val="14"/>
                <w:b w:val="1"/>
                <w:bCs w:val="1"/>
                <w:color w:val="auto"/>
              </w:rPr>
              <w:t>Description</w:t>
            </w:r>
          </w:p>
        </w:tc>
        <w:tc>
          <w:tcPr>
            <w:tcW w:w="1460" w:type="dxa"/>
            <w:vAlign w:val="bottom"/>
            <w:gridSpan w:val="3"/>
          </w:tcPr>
          <w:p>
            <w:pPr>
              <w:ind w:left="280"/>
              <w:spacing w:after="0" w:line="129" w:lineRule="exact"/>
              <w:rPr>
                <w:sz w:val="20"/>
                <w:szCs w:val="20"/>
                <w:color w:val="auto"/>
              </w:rPr>
            </w:pPr>
            <w:r>
              <w:rPr>
                <w:rFonts w:ascii="Arial" w:cs="Arial" w:eastAsia="Arial" w:hAnsi="Arial"/>
                <w:sz w:val="14"/>
                <w:szCs w:val="14"/>
                <w:b w:val="1"/>
                <w:bCs w:val="1"/>
                <w:color w:val="auto"/>
              </w:rPr>
              <w:t>Filing</w:t>
            </w:r>
          </w:p>
        </w:tc>
        <w:tc>
          <w:tcPr>
            <w:tcW w:w="10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Date</w:t>
            </w:r>
          </w:p>
        </w:tc>
        <w:tc>
          <w:tcPr>
            <w:tcW w:w="4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220" w:type="dxa"/>
            <w:vAlign w:val="bottom"/>
          </w:tcPr>
          <w:p>
            <w:pPr>
              <w:spacing w:after="0"/>
              <w:rPr>
                <w:sz w:val="11"/>
                <w:szCs w:val="11"/>
                <w:color w:val="auto"/>
              </w:rPr>
            </w:pPr>
          </w:p>
        </w:tc>
        <w:tc>
          <w:tcPr>
            <w:tcW w:w="1120" w:type="dxa"/>
            <w:vAlign w:val="bottom"/>
            <w:gridSpan w:val="2"/>
          </w:tcPr>
          <w:p>
            <w:pPr>
              <w:jc w:val="center"/>
              <w:ind w:left="111"/>
              <w:spacing w:after="0" w:line="129" w:lineRule="exact"/>
              <w:rPr>
                <w:sz w:val="20"/>
                <w:szCs w:val="20"/>
                <w:color w:val="auto"/>
              </w:rPr>
            </w:pPr>
            <w:r>
              <w:rPr>
                <w:rFonts w:ascii="Arial" w:cs="Arial" w:eastAsia="Arial" w:hAnsi="Arial"/>
                <w:sz w:val="14"/>
                <w:szCs w:val="14"/>
                <w:b w:val="1"/>
                <w:bCs w:val="1"/>
                <w:color w:val="auto"/>
                <w:w w:val="93"/>
              </w:rPr>
              <w:t>Filed here with</w:t>
            </w:r>
          </w:p>
        </w:tc>
      </w:tr>
      <w:tr>
        <w:trPr>
          <w:trHeight w:val="20"/>
        </w:trPr>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49"/>
        </w:trPr>
        <w:tc>
          <w:tcPr>
            <w:tcW w:w="500" w:type="dxa"/>
            <w:vAlign w:val="bottom"/>
          </w:tcPr>
          <w:p>
            <w:pPr>
              <w:spacing w:after="0"/>
              <w:rPr>
                <w:sz w:val="20"/>
                <w:szCs w:val="20"/>
                <w:color w:val="auto"/>
              </w:rPr>
            </w:pPr>
            <w:r>
              <w:rPr>
                <w:rFonts w:ascii="Arial" w:cs="Arial" w:eastAsia="Arial" w:hAnsi="Arial"/>
                <w:sz w:val="18"/>
                <w:szCs w:val="18"/>
                <w:color w:val="auto"/>
              </w:rPr>
              <w:t>10.31</w:t>
            </w:r>
          </w:p>
        </w:tc>
        <w:tc>
          <w:tcPr>
            <w:tcW w:w="420" w:type="dxa"/>
            <w:vAlign w:val="bottom"/>
          </w:tcPr>
          <w:p>
            <w:pPr>
              <w:spacing w:after="0"/>
              <w:rPr>
                <w:sz w:val="21"/>
                <w:szCs w:val="21"/>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2005 Incentive Plan Notice of Grant of Restricted Stock Units (Chief</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center"/>
              <w:ind w:left="131"/>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Executive Officer).</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10.32</w:t>
            </w:r>
          </w:p>
        </w:tc>
        <w:tc>
          <w:tcPr>
            <w:tcW w:w="420" w:type="dxa"/>
            <w:vAlign w:val="bottom"/>
          </w:tcPr>
          <w:p>
            <w:pPr>
              <w:spacing w:after="0"/>
              <w:rPr>
                <w:sz w:val="23"/>
                <w:szCs w:val="23"/>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Transition Agreement between Thomas M. Prescott and registrant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1"/>
              <w:spacing w:after="0"/>
              <w:rPr>
                <w:sz w:val="20"/>
                <w:szCs w:val="20"/>
                <w:color w:val="auto"/>
              </w:rPr>
            </w:pPr>
            <w:r>
              <w:rPr>
                <w:rFonts w:ascii="Arial" w:cs="Arial" w:eastAsia="Arial" w:hAnsi="Arial"/>
                <w:sz w:val="18"/>
                <w:szCs w:val="18"/>
                <w:color w:val="auto"/>
              </w:rPr>
              <w:t>*</w:t>
            </w: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10.33</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5"/>
              </w:rPr>
              <w:t>Fixed Dollar Accelerated Repurchase Transaction Agreement dated April 28,</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1"/>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2015 between Morgan Stanley &amp; Co. and registrant</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10.34</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5"/>
              </w:rPr>
              <w:t>Amended and Restated 2005 Incentive Plan Notice of Grant of Market Stock</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1"/>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Units (Chief Executive Officer)</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pursuant to 18 U.S.C. Section 1350,</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1"/>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8"/>
              </w:rPr>
              <w:t>Certification of Chief Financial Officer pursuant to 18 U.S.C. Section 1350,</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1"/>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and Chief Financial Officer pursuant</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1"/>
              <w:spacing w:after="0"/>
              <w:rPr>
                <w:sz w:val="20"/>
                <w:szCs w:val="20"/>
                <w:color w:val="auto"/>
              </w:rPr>
            </w:pPr>
            <w:r>
              <w:rPr>
                <w:rFonts w:ascii="Arial" w:cs="Arial" w:eastAsia="Arial" w:hAnsi="Arial"/>
                <w:sz w:val="18"/>
                <w:szCs w:val="18"/>
                <w:color w:val="auto"/>
              </w:rPr>
              <w:t>*</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to 18 U.S.C. Section 1350, as adopted pursuant to Section 906 of the</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1"/>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1"/>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1"/>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1"/>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1"/>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1"/>
              <w:spacing w:after="0"/>
              <w:rPr>
                <w:sz w:val="20"/>
                <w:szCs w:val="20"/>
                <w:color w:val="auto"/>
              </w:rPr>
            </w:pPr>
            <w:r>
              <w:rPr>
                <w:rFonts w:ascii="Arial" w:cs="Arial" w:eastAsia="Arial" w:hAnsi="Arial"/>
                <w:sz w:val="18"/>
                <w:szCs w:val="18"/>
                <w:color w:val="auto"/>
              </w:rPr>
              <w:t>*</w:t>
            </w:r>
          </w:p>
        </w:tc>
      </w:tr>
      <w:tr>
        <w:trPr>
          <w:trHeight w:val="702"/>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80" w:type="dxa"/>
            <w:vAlign w:val="bottom"/>
            <w:gridSpan w:val="3"/>
          </w:tcPr>
          <w:p>
            <w:pPr>
              <w:ind w:left="4660"/>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360"/>
          </w:cols>
          <w:pgMar w:left="240" w:top="125" w:right="2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4780" w:type="dxa"/>
            <w:vAlign w:val="bottom"/>
            <w:gridSpan w:val="2"/>
          </w:tcPr>
          <w:p>
            <w:pPr>
              <w:ind w:left="2340"/>
              <w:spacing w:after="0"/>
              <w:rPr>
                <w:sz w:val="20"/>
                <w:szCs w:val="20"/>
                <w:color w:val="auto"/>
              </w:rPr>
            </w:pPr>
            <w:r>
              <w:rPr>
                <w:rFonts w:ascii="Arial" w:cs="Arial" w:eastAsia="Arial" w:hAnsi="Arial"/>
                <w:sz w:val="18"/>
                <w:szCs w:val="18"/>
                <w:color w:val="auto"/>
              </w:rPr>
              <w:t>ALIGN TECHNOLOGY, INC.</w:t>
            </w:r>
          </w:p>
        </w:tc>
        <w:tc>
          <w:tcPr>
            <w:tcW w:w="3320" w:type="dxa"/>
            <w:vAlign w:val="bottom"/>
          </w:tcPr>
          <w:p>
            <w:pPr>
              <w:spacing w:after="0"/>
              <w:rPr>
                <w:sz w:val="20"/>
                <w:szCs w:val="20"/>
                <w:color w:val="auto"/>
              </w:rPr>
            </w:pPr>
          </w:p>
        </w:tc>
      </w:tr>
      <w:tr>
        <w:trPr>
          <w:trHeight w:val="594"/>
        </w:trPr>
        <w:tc>
          <w:tcPr>
            <w:tcW w:w="3280" w:type="dxa"/>
            <w:vAlign w:val="bottom"/>
          </w:tcPr>
          <w:p>
            <w:pPr>
              <w:spacing w:after="0"/>
              <w:rPr>
                <w:sz w:val="20"/>
                <w:szCs w:val="20"/>
                <w:color w:val="auto"/>
              </w:rPr>
            </w:pPr>
            <w:r>
              <w:rPr>
                <w:rFonts w:ascii="Arial" w:cs="Arial" w:eastAsia="Arial" w:hAnsi="Arial"/>
                <w:sz w:val="18"/>
                <w:szCs w:val="18"/>
                <w:color w:val="auto"/>
              </w:rPr>
              <w:t>July 30, 2015</w:t>
            </w:r>
          </w:p>
        </w:tc>
        <w:tc>
          <w:tcPr>
            <w:tcW w:w="2740" w:type="dxa"/>
            <w:vAlign w:val="bottom"/>
          </w:tcPr>
          <w:p>
            <w:pPr>
              <w:ind w:left="2460"/>
              <w:spacing w:after="0"/>
              <w:rPr>
                <w:sz w:val="20"/>
                <w:szCs w:val="20"/>
                <w:color w:val="auto"/>
              </w:rPr>
            </w:pPr>
            <w:r>
              <w:rPr>
                <w:rFonts w:ascii="Arial" w:cs="Arial" w:eastAsia="Arial" w:hAnsi="Arial"/>
                <w:sz w:val="18"/>
                <w:szCs w:val="18"/>
                <w:color w:val="auto"/>
                <w:w w:val="99"/>
              </w:rPr>
              <w:t>By:</w:t>
            </w:r>
          </w:p>
        </w:tc>
        <w:tc>
          <w:tcPr>
            <w:tcW w:w="2040" w:type="dxa"/>
            <w:vAlign w:val="bottom"/>
          </w:tcPr>
          <w:p>
            <w:pPr>
              <w:ind w:left="1700"/>
              <w:spacing w:after="0"/>
              <w:rPr>
                <w:sz w:val="20"/>
                <w:szCs w:val="20"/>
                <w:color w:val="auto"/>
              </w:rPr>
            </w:pPr>
            <w:r>
              <w:rPr>
                <w:rFonts w:ascii="Arial" w:cs="Arial" w:eastAsia="Arial" w:hAnsi="Arial"/>
                <w:sz w:val="18"/>
                <w:szCs w:val="18"/>
                <w:color w:val="auto"/>
              </w:rPr>
              <w:t>/S/</w:t>
            </w:r>
          </w:p>
        </w:tc>
        <w:tc>
          <w:tcPr>
            <w:tcW w:w="3320" w:type="dxa"/>
            <w:vAlign w:val="bottom"/>
          </w:tcPr>
          <w:p>
            <w:pPr>
              <w:jc w:val="center"/>
              <w:ind w:right="1579"/>
              <w:spacing w:after="0"/>
              <w:rPr>
                <w:sz w:val="20"/>
                <w:szCs w:val="20"/>
                <w:color w:val="auto"/>
              </w:rPr>
            </w:pPr>
            <w:r>
              <w:rPr>
                <w:rFonts w:ascii="Arial" w:cs="Arial" w:eastAsia="Arial" w:hAnsi="Arial"/>
                <w:sz w:val="18"/>
                <w:szCs w:val="18"/>
                <w:color w:val="auto"/>
                <w:w w:val="94"/>
              </w:rPr>
              <w:t>JOSEPH M. HOGAN</w:t>
            </w:r>
          </w:p>
        </w:tc>
      </w:tr>
      <w:tr>
        <w:trPr>
          <w:trHeight w:val="27"/>
        </w:trPr>
        <w:tc>
          <w:tcPr>
            <w:tcW w:w="32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146"/>
        </w:trPr>
        <w:tc>
          <w:tcPr>
            <w:tcW w:w="32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320" w:type="dxa"/>
            <w:vAlign w:val="bottom"/>
          </w:tcPr>
          <w:p>
            <w:pPr>
              <w:jc w:val="center"/>
              <w:ind w:right="1959"/>
              <w:spacing w:after="0" w:line="147" w:lineRule="exact"/>
              <w:rPr>
                <w:sz w:val="20"/>
                <w:szCs w:val="20"/>
                <w:color w:val="auto"/>
              </w:rPr>
            </w:pPr>
            <w:r>
              <w:rPr>
                <w:rFonts w:ascii="Arial" w:cs="Arial" w:eastAsia="Arial" w:hAnsi="Arial"/>
                <w:sz w:val="14"/>
                <w:szCs w:val="14"/>
                <w:b w:val="1"/>
                <w:bCs w:val="1"/>
                <w:color w:val="auto"/>
                <w:w w:val="93"/>
              </w:rPr>
              <w:t>Joseph M. Hogan</w:t>
            </w:r>
          </w:p>
        </w:tc>
      </w:tr>
      <w:tr>
        <w:trPr>
          <w:trHeight w:val="186"/>
        </w:trPr>
        <w:tc>
          <w:tcPr>
            <w:tcW w:w="32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President and Chief Executive Officer</w:t>
            </w:r>
          </w:p>
        </w:tc>
      </w:tr>
      <w:tr>
        <w:trPr>
          <w:trHeight w:val="579"/>
        </w:trPr>
        <w:tc>
          <w:tcPr>
            <w:tcW w:w="3280" w:type="dxa"/>
            <w:vAlign w:val="bottom"/>
          </w:tcPr>
          <w:p>
            <w:pPr>
              <w:spacing w:after="0"/>
              <w:rPr>
                <w:sz w:val="24"/>
                <w:szCs w:val="24"/>
                <w:color w:val="auto"/>
              </w:rPr>
            </w:pPr>
          </w:p>
        </w:tc>
        <w:tc>
          <w:tcPr>
            <w:tcW w:w="2740" w:type="dxa"/>
            <w:vAlign w:val="bottom"/>
          </w:tcPr>
          <w:p>
            <w:pPr>
              <w:ind w:left="2460"/>
              <w:spacing w:after="0"/>
              <w:rPr>
                <w:sz w:val="20"/>
                <w:szCs w:val="20"/>
                <w:color w:val="auto"/>
              </w:rPr>
            </w:pPr>
            <w:r>
              <w:rPr>
                <w:rFonts w:ascii="Arial" w:cs="Arial" w:eastAsia="Arial" w:hAnsi="Arial"/>
                <w:sz w:val="18"/>
                <w:szCs w:val="18"/>
                <w:color w:val="auto"/>
                <w:w w:val="99"/>
              </w:rPr>
              <w:t>By:</w:t>
            </w:r>
          </w:p>
        </w:tc>
        <w:tc>
          <w:tcPr>
            <w:tcW w:w="2040" w:type="dxa"/>
            <w:vAlign w:val="bottom"/>
          </w:tcPr>
          <w:p>
            <w:pPr>
              <w:ind w:left="1800"/>
              <w:spacing w:after="0"/>
              <w:rPr>
                <w:sz w:val="20"/>
                <w:szCs w:val="20"/>
                <w:color w:val="auto"/>
              </w:rPr>
            </w:pPr>
            <w:r>
              <w:rPr>
                <w:rFonts w:ascii="Arial" w:cs="Arial" w:eastAsia="Arial" w:hAnsi="Arial"/>
                <w:sz w:val="18"/>
                <w:szCs w:val="18"/>
                <w:color w:val="auto"/>
                <w:w w:val="99"/>
              </w:rPr>
              <w:t>/S/</w:t>
            </w:r>
          </w:p>
        </w:tc>
        <w:tc>
          <w:tcPr>
            <w:tcW w:w="3320" w:type="dxa"/>
            <w:vAlign w:val="bottom"/>
          </w:tcPr>
          <w:p>
            <w:pPr>
              <w:jc w:val="center"/>
              <w:ind w:right="1579"/>
              <w:spacing w:after="0"/>
              <w:rPr>
                <w:sz w:val="20"/>
                <w:szCs w:val="20"/>
                <w:color w:val="auto"/>
              </w:rPr>
            </w:pPr>
            <w:r>
              <w:rPr>
                <w:rFonts w:ascii="Arial" w:cs="Arial" w:eastAsia="Arial" w:hAnsi="Arial"/>
                <w:sz w:val="18"/>
                <w:szCs w:val="18"/>
                <w:color w:val="auto"/>
                <w:w w:val="99"/>
              </w:rPr>
              <w:t>DAVID L. WHITE</w:t>
            </w:r>
          </w:p>
        </w:tc>
      </w:tr>
      <w:tr>
        <w:trPr>
          <w:trHeight w:val="27"/>
        </w:trPr>
        <w:tc>
          <w:tcPr>
            <w:tcW w:w="32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146"/>
        </w:trPr>
        <w:tc>
          <w:tcPr>
            <w:tcW w:w="32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320" w:type="dxa"/>
            <w:vAlign w:val="bottom"/>
          </w:tcPr>
          <w:p>
            <w:pPr>
              <w:jc w:val="center"/>
              <w:ind w:right="1959"/>
              <w:spacing w:after="0" w:line="147" w:lineRule="exact"/>
              <w:rPr>
                <w:sz w:val="20"/>
                <w:szCs w:val="20"/>
                <w:color w:val="auto"/>
              </w:rPr>
            </w:pPr>
            <w:r>
              <w:rPr>
                <w:rFonts w:ascii="Arial" w:cs="Arial" w:eastAsia="Arial" w:hAnsi="Arial"/>
                <w:sz w:val="14"/>
                <w:szCs w:val="14"/>
                <w:b w:val="1"/>
                <w:bCs w:val="1"/>
                <w:color w:val="auto"/>
                <w:w w:val="99"/>
              </w:rPr>
              <w:t>David L. White</w:t>
            </w:r>
          </w:p>
        </w:tc>
      </w:tr>
      <w:tr>
        <w:trPr>
          <w:trHeight w:val="186"/>
        </w:trPr>
        <w:tc>
          <w:tcPr>
            <w:tcW w:w="32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Chief Financial Officer</w:t>
            </w:r>
          </w:p>
        </w:tc>
      </w:tr>
      <w:tr>
        <w:trPr>
          <w:trHeight w:val="687"/>
        </w:trPr>
        <w:tc>
          <w:tcPr>
            <w:tcW w:w="3280" w:type="dxa"/>
            <w:vAlign w:val="bottom"/>
          </w:tcPr>
          <w:p>
            <w:pPr>
              <w:spacing w:after="0"/>
              <w:rPr>
                <w:sz w:val="24"/>
                <w:szCs w:val="24"/>
                <w:color w:val="auto"/>
              </w:rPr>
            </w:pPr>
          </w:p>
        </w:tc>
        <w:tc>
          <w:tcPr>
            <w:tcW w:w="2740" w:type="dxa"/>
            <w:vAlign w:val="bottom"/>
          </w:tcPr>
          <w:p>
            <w:pPr>
              <w:jc w:val="right"/>
              <w:ind w:right="170"/>
              <w:spacing w:after="0"/>
              <w:rPr>
                <w:sz w:val="20"/>
                <w:szCs w:val="20"/>
                <w:color w:val="auto"/>
              </w:rPr>
            </w:pPr>
            <w:r>
              <w:rPr>
                <w:rFonts w:ascii="Arial" w:cs="Arial" w:eastAsia="Arial" w:hAnsi="Arial"/>
                <w:sz w:val="18"/>
                <w:szCs w:val="18"/>
                <w:color w:val="auto"/>
              </w:rPr>
              <w:t>51</w:t>
            </w:r>
          </w:p>
        </w:tc>
        <w:tc>
          <w:tcPr>
            <w:tcW w:w="2040" w:type="dxa"/>
            <w:vAlign w:val="bottom"/>
          </w:tcPr>
          <w:p>
            <w:pPr>
              <w:spacing w:after="0"/>
              <w:rPr>
                <w:sz w:val="24"/>
                <w:szCs w:val="24"/>
                <w:color w:val="auto"/>
              </w:rPr>
            </w:pPr>
          </w:p>
        </w:tc>
        <w:tc>
          <w:tcPr>
            <w:tcW w:w="33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29"/>
        </w:trPr>
        <w:tc>
          <w:tcPr>
            <w:tcW w:w="9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Number</w:t>
            </w:r>
          </w:p>
        </w:tc>
        <w:tc>
          <w:tcPr>
            <w:tcW w:w="6080" w:type="dxa"/>
            <w:vAlign w:val="bottom"/>
            <w:gridSpan w:val="3"/>
          </w:tcPr>
          <w:p>
            <w:pPr>
              <w:ind w:left="2720"/>
              <w:spacing w:after="0" w:line="129" w:lineRule="exact"/>
              <w:rPr>
                <w:sz w:val="20"/>
                <w:szCs w:val="20"/>
                <w:color w:val="auto"/>
              </w:rPr>
            </w:pPr>
            <w:r>
              <w:rPr>
                <w:rFonts w:ascii="Arial" w:cs="Arial" w:eastAsia="Arial" w:hAnsi="Arial"/>
                <w:sz w:val="14"/>
                <w:szCs w:val="14"/>
                <w:b w:val="1"/>
                <w:bCs w:val="1"/>
                <w:color w:val="auto"/>
              </w:rPr>
              <w:t>Description</w:t>
            </w:r>
          </w:p>
        </w:tc>
        <w:tc>
          <w:tcPr>
            <w:tcW w:w="1460" w:type="dxa"/>
            <w:vAlign w:val="bottom"/>
            <w:gridSpan w:val="3"/>
          </w:tcPr>
          <w:p>
            <w:pPr>
              <w:ind w:left="280"/>
              <w:spacing w:after="0" w:line="129" w:lineRule="exact"/>
              <w:rPr>
                <w:sz w:val="20"/>
                <w:szCs w:val="20"/>
                <w:color w:val="auto"/>
              </w:rPr>
            </w:pPr>
            <w:r>
              <w:rPr>
                <w:rFonts w:ascii="Arial" w:cs="Arial" w:eastAsia="Arial" w:hAnsi="Arial"/>
                <w:sz w:val="14"/>
                <w:szCs w:val="14"/>
                <w:b w:val="1"/>
                <w:bCs w:val="1"/>
                <w:color w:val="auto"/>
              </w:rPr>
              <w:t>Filing</w:t>
            </w:r>
          </w:p>
        </w:tc>
        <w:tc>
          <w:tcPr>
            <w:tcW w:w="10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Date</w:t>
            </w:r>
          </w:p>
        </w:tc>
        <w:tc>
          <w:tcPr>
            <w:tcW w:w="4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220" w:type="dxa"/>
            <w:vAlign w:val="bottom"/>
          </w:tcPr>
          <w:p>
            <w:pPr>
              <w:spacing w:after="0"/>
              <w:rPr>
                <w:sz w:val="11"/>
                <w:szCs w:val="11"/>
                <w:color w:val="auto"/>
              </w:rPr>
            </w:pPr>
          </w:p>
        </w:tc>
        <w:tc>
          <w:tcPr>
            <w:tcW w:w="1120" w:type="dxa"/>
            <w:vAlign w:val="bottom"/>
            <w:gridSpan w:val="2"/>
          </w:tcPr>
          <w:p>
            <w:pPr>
              <w:jc w:val="center"/>
              <w:ind w:left="111"/>
              <w:spacing w:after="0" w:line="129" w:lineRule="exact"/>
              <w:rPr>
                <w:sz w:val="20"/>
                <w:szCs w:val="20"/>
                <w:color w:val="auto"/>
              </w:rPr>
            </w:pPr>
            <w:r>
              <w:rPr>
                <w:rFonts w:ascii="Arial" w:cs="Arial" w:eastAsia="Arial" w:hAnsi="Arial"/>
                <w:sz w:val="14"/>
                <w:szCs w:val="14"/>
                <w:b w:val="1"/>
                <w:bCs w:val="1"/>
                <w:color w:val="auto"/>
                <w:w w:val="93"/>
              </w:rPr>
              <w:t>Filed here with</w:t>
            </w:r>
          </w:p>
        </w:tc>
      </w:tr>
      <w:tr>
        <w:trPr>
          <w:trHeight w:val="20"/>
        </w:trPr>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49"/>
        </w:trPr>
        <w:tc>
          <w:tcPr>
            <w:tcW w:w="500" w:type="dxa"/>
            <w:vAlign w:val="bottom"/>
          </w:tcPr>
          <w:p>
            <w:pPr>
              <w:spacing w:after="0"/>
              <w:rPr>
                <w:sz w:val="20"/>
                <w:szCs w:val="20"/>
                <w:color w:val="auto"/>
              </w:rPr>
            </w:pPr>
            <w:r>
              <w:rPr>
                <w:rFonts w:ascii="Arial" w:cs="Arial" w:eastAsia="Arial" w:hAnsi="Arial"/>
                <w:sz w:val="18"/>
                <w:szCs w:val="18"/>
                <w:color w:val="auto"/>
              </w:rPr>
              <w:t>10.31</w:t>
            </w:r>
          </w:p>
        </w:tc>
        <w:tc>
          <w:tcPr>
            <w:tcW w:w="420" w:type="dxa"/>
            <w:vAlign w:val="bottom"/>
          </w:tcPr>
          <w:p>
            <w:pPr>
              <w:spacing w:after="0"/>
              <w:rPr>
                <w:sz w:val="21"/>
                <w:szCs w:val="21"/>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2005 Incentive Plan Notice of Grant of Restricted Stock Units (Chief</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center"/>
              <w:ind w:left="131"/>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Executive Officer).</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10.32</w:t>
            </w:r>
          </w:p>
        </w:tc>
        <w:tc>
          <w:tcPr>
            <w:tcW w:w="420" w:type="dxa"/>
            <w:vAlign w:val="bottom"/>
          </w:tcPr>
          <w:p>
            <w:pPr>
              <w:spacing w:after="0"/>
              <w:rPr>
                <w:sz w:val="23"/>
                <w:szCs w:val="23"/>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Transition Agreement between Thomas M. Prescott and registrant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1"/>
              <w:spacing w:after="0"/>
              <w:rPr>
                <w:sz w:val="20"/>
                <w:szCs w:val="20"/>
                <w:color w:val="auto"/>
              </w:rPr>
            </w:pPr>
            <w:r>
              <w:rPr>
                <w:rFonts w:ascii="Arial" w:cs="Arial" w:eastAsia="Arial" w:hAnsi="Arial"/>
                <w:sz w:val="18"/>
                <w:szCs w:val="18"/>
                <w:color w:val="auto"/>
              </w:rPr>
              <w:t>*</w:t>
            </w: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10.33</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5"/>
              </w:rPr>
              <w:t>Fixed Dollar Accelerated Repurchase Transaction Agreement dated April 28,</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1"/>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2015 between Morgan Stanley &amp; Co. and registrant</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10.34</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5"/>
              </w:rPr>
              <w:t>Amended and Restated 2005 Incentive Plan Notice of Grant of Market Stock</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1"/>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Units (Chief Executive Officer)</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pursuant to 18 U.S.C. Section 1350,</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1"/>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8"/>
              </w:rPr>
              <w:t>Certification of Chief Financial Officer pursuant to 18 U.S.C. Section 1350,</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1"/>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and Chief Financial Officer pursuant</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1"/>
              <w:spacing w:after="0"/>
              <w:rPr>
                <w:sz w:val="20"/>
                <w:szCs w:val="20"/>
                <w:color w:val="auto"/>
              </w:rPr>
            </w:pPr>
            <w:r>
              <w:rPr>
                <w:rFonts w:ascii="Arial" w:cs="Arial" w:eastAsia="Arial" w:hAnsi="Arial"/>
                <w:sz w:val="18"/>
                <w:szCs w:val="18"/>
                <w:color w:val="auto"/>
              </w:rPr>
              <w:t>*</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to 18 U.S.C. Section 1350, as adopted pursuant to Section 906 of the</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1"/>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1"/>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1"/>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1"/>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1"/>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1"/>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125" w:right="299" w:bottom="1440" w:gutter="0" w:footer="0" w:header="0"/>
        </w:sectPr>
      </w:pPr>
    </w:p>
    <w:bookmarkStart w:id="52" w:name="page53"/>
    <w:bookmarkEnd w:id="52"/>
    <w:p>
      <w:pPr>
        <w:jc w:val="right"/>
        <w:spacing w:after="0"/>
        <w:rPr>
          <w:sz w:val="20"/>
          <w:szCs w:val="20"/>
          <w:color w:val="auto"/>
        </w:rPr>
      </w:pPr>
      <w:r>
        <w:rPr>
          <w:rFonts w:ascii="Arial" w:cs="Arial" w:eastAsia="Arial" w:hAnsi="Arial"/>
          <w:sz w:val="20"/>
          <w:szCs w:val="20"/>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ALIGN TECHNOLOGY,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2005 INCENTIVE PLAN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GRANT OF RESTRICTED STOCK UNITS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(Chief Executive Officer)</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Unless otherwise defined herein, the terms defined in the 2005 Incentive Plan (the “Plan”) will have the same defined meanings in this Notice of Grant of Restricted Stock Units (the “Notice of Grant”).</w:t>
      </w:r>
    </w:p>
    <w:p>
      <w:pPr>
        <w:spacing w:after="0" w:line="171"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b w:val="1"/>
          <w:bCs w:val="1"/>
          <w:color w:val="auto"/>
        </w:rPr>
        <w:t>Participant:</w:t>
      </w:r>
      <w:r>
        <w:rPr>
          <w:sz w:val="20"/>
          <w:szCs w:val="20"/>
          <w:color w:val="auto"/>
        </w:rPr>
        <w:tab/>
      </w:r>
      <w:r>
        <w:rPr>
          <w:rFonts w:ascii="Arial" w:cs="Arial" w:eastAsia="Arial" w:hAnsi="Arial"/>
          <w:sz w:val="16"/>
          <w:szCs w:val="16"/>
          <w:color w:val="auto"/>
        </w:rPr>
        <w:t>Joseph M. Hogan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Address:</w:t>
      </w: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You have been granted an award (the “Award”) for the right to receive Restricted Stock Units (referred to in Section 9 of the Plan as “Restricted Stock Units”), subject to the terms and conditions of the Plan, this Notice of Grant and the Restricted Stock Unit Agreement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“Agreement”) and consistent with the terms of the Participant’s Amended and Restated Chief Executive Officer Employment Agreement dated April 17, 2015 (the “CEO Employment Agreement”), as follows:</w:t>
      </w:r>
    </w:p>
    <w:p>
      <w:pPr>
        <w:spacing w:after="0" w:line="177"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20"/>
          <w:szCs w:val="20"/>
          <w:color w:val="auto"/>
        </w:rPr>
        <w:t>Grant Number</w:t>
      </w:r>
      <w:r>
        <w:rPr>
          <w:sz w:val="20"/>
          <w:szCs w:val="20"/>
          <w:color w:val="auto"/>
        </w:rPr>
        <w:tab/>
      </w:r>
      <w:r>
        <w:rPr>
          <w:rFonts w:ascii="Arial" w:cs="Arial" w:eastAsia="Arial" w:hAnsi="Arial"/>
          <w:sz w:val="16"/>
          <w:szCs w:val="16"/>
          <w:color w:val="auto"/>
        </w:rPr>
        <w:t>007997</w:t>
      </w:r>
    </w:p>
    <w:p>
      <w:pPr>
        <w:spacing w:after="0" w:line="21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0"/>
          <w:szCs w:val="20"/>
          <w:color w:val="auto"/>
        </w:rPr>
        <w:t>Date of Grant</w:t>
      </w:r>
      <w:r>
        <w:rPr>
          <w:sz w:val="20"/>
          <w:szCs w:val="20"/>
          <w:color w:val="auto"/>
        </w:rPr>
        <w:tab/>
      </w:r>
      <w:r>
        <w:rPr>
          <w:rFonts w:ascii="Arial" w:cs="Arial" w:eastAsia="Arial" w:hAnsi="Arial"/>
          <w:sz w:val="16"/>
          <w:szCs w:val="16"/>
          <w:color w:val="auto"/>
        </w:rPr>
        <w:t>June 1, 2015</w:t>
      </w:r>
    </w:p>
    <w:p>
      <w:pPr>
        <w:spacing w:after="0" w:line="216" w:lineRule="exact"/>
        <w:rPr>
          <w:sz w:val="20"/>
          <w:szCs w:val="20"/>
          <w:color w:val="auto"/>
        </w:rPr>
      </w:pPr>
    </w:p>
    <w:p>
      <w:pPr>
        <w:ind w:left="1300"/>
        <w:spacing w:after="0"/>
        <w:tabs>
          <w:tab w:leader="none" w:pos="3840" w:val="left"/>
        </w:tabs>
        <w:rPr>
          <w:sz w:val="20"/>
          <w:szCs w:val="20"/>
          <w:color w:val="auto"/>
        </w:rPr>
      </w:pPr>
      <w:r>
        <w:rPr>
          <w:rFonts w:ascii="Arial" w:cs="Arial" w:eastAsia="Arial" w:hAnsi="Arial"/>
          <w:sz w:val="20"/>
          <w:szCs w:val="20"/>
          <w:color w:val="auto"/>
        </w:rPr>
        <w:t>Vesting Commencement Date</w:t>
      </w:r>
      <w:r>
        <w:rPr>
          <w:sz w:val="20"/>
          <w:szCs w:val="20"/>
          <w:color w:val="auto"/>
        </w:rPr>
        <w:tab/>
      </w:r>
      <w:r>
        <w:rPr>
          <w:rFonts w:ascii="Arial" w:cs="Arial" w:eastAsia="Arial" w:hAnsi="Arial"/>
          <w:sz w:val="16"/>
          <w:szCs w:val="16"/>
          <w:color w:val="auto"/>
        </w:rPr>
        <w:t>June 1, 2015</w:t>
      </w:r>
    </w:p>
    <w:p>
      <w:pPr>
        <w:spacing w:after="0" w:line="216" w:lineRule="exact"/>
        <w:rPr>
          <w:sz w:val="20"/>
          <w:szCs w:val="20"/>
          <w:color w:val="auto"/>
        </w:rPr>
      </w:pPr>
    </w:p>
    <w:p>
      <w:pPr>
        <w:ind w:left="1300"/>
        <w:spacing w:after="0"/>
        <w:tabs>
          <w:tab w:leader="none" w:pos="4620" w:val="left"/>
        </w:tabs>
        <w:rPr>
          <w:sz w:val="20"/>
          <w:szCs w:val="20"/>
          <w:color w:val="auto"/>
        </w:rPr>
      </w:pPr>
      <w:r>
        <w:rPr>
          <w:rFonts w:ascii="Arial" w:cs="Arial" w:eastAsia="Arial" w:hAnsi="Arial"/>
          <w:sz w:val="20"/>
          <w:szCs w:val="20"/>
          <w:color w:val="auto"/>
        </w:rPr>
        <w:t>Total Number of Restricted Stock Units</w:t>
      </w:r>
      <w:r>
        <w:rPr>
          <w:sz w:val="20"/>
          <w:szCs w:val="20"/>
          <w:color w:val="auto"/>
        </w:rPr>
        <w:tab/>
      </w:r>
      <w:r>
        <w:rPr>
          <w:rFonts w:ascii="Arial" w:cs="Arial" w:eastAsia="Arial" w:hAnsi="Arial"/>
          <w:sz w:val="16"/>
          <w:szCs w:val="16"/>
          <w:color w:val="auto"/>
        </w:rPr>
        <w:t>111,000 Restricted Stock Units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Vesting Schedule</w:t>
      </w:r>
      <w:r>
        <w:rPr>
          <w:rFonts w:ascii="Arial" w:cs="Arial" w:eastAsia="Arial" w:hAnsi="Arial"/>
          <w:sz w:val="20"/>
          <w:szCs w:val="20"/>
          <w:color w:val="auto"/>
        </w:rPr>
        <w:t>:</w:t>
      </w:r>
    </w:p>
    <w:p>
      <w:pPr>
        <w:spacing w:after="0" w:line="216" w:lineRule="exact"/>
        <w:rPr>
          <w:sz w:val="20"/>
          <w:szCs w:val="20"/>
          <w:color w:val="auto"/>
        </w:rPr>
      </w:pPr>
    </w:p>
    <w:p>
      <w:pPr>
        <w:jc w:val="both"/>
        <w:ind w:firstLine="1305"/>
        <w:spacing w:after="0" w:line="271" w:lineRule="auto"/>
        <w:tabs>
          <w:tab w:leader="none" w:pos="174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Restricted Stock Units shall be subject to annual vesting whereby twenty-five percent (25%) of the Restricted Stock Units will vest, and 25% of the underlying award shares will be issued to Participant, on December 31, 2015 and on each anniversary of December 31, 2015 through December 31, 2018, for full vesting and issuance by December 31, 2018, subject to Participant continuing to be a Service Provider through such dates (the “Vesting Period”), provided, however, that, in those years (2016 and 2017) where December 31 is not a business day, the parties agree that the Restricted Stock Units scheduled to vest in such December and the underlying shares scheduled to be issued in such December shall vest and be issued on the last business day of December in such year (December 30, 2016 for 2016, and December 29, 2017 for 2017). Subject to, and except as otherwise provided in, paragraphs (b), (c) and (d) below (consistent with Sections 3(d), 7(b) and 7(d) of the Participant’s CEO Employment Agreement), in the event that the Participant ceases to be a Service Provider for any or no reason before Participant vests in the right to acquire the Shares to be issued pursuant to the Restricted Stock Unit, the Restricted Stock Unit and Participant’s right to acquire any Shares hereunder will immediately terminate.</w:t>
      </w:r>
    </w:p>
    <w:p>
      <w:pPr>
        <w:spacing w:after="0" w:line="174" w:lineRule="exact"/>
        <w:rPr>
          <w:rFonts w:ascii="Arial" w:cs="Arial" w:eastAsia="Arial" w:hAnsi="Arial"/>
          <w:sz w:val="18"/>
          <w:szCs w:val="18"/>
          <w:color w:val="auto"/>
        </w:rPr>
      </w:pPr>
    </w:p>
    <w:p>
      <w:pPr>
        <w:jc w:val="both"/>
        <w:ind w:firstLine="1305"/>
        <w:spacing w:after="0" w:line="282" w:lineRule="auto"/>
        <w:tabs>
          <w:tab w:leader="none" w:pos="1838"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Notwithstanding the foregoing, in the event of a Change of Control (as defined below), and subject to Participant’s continued service through the date of such Change of Control, the Restricted Stock Units subject to this Award will vest as to the lesser of (i) 27,750 shares, or (ii) the number Restricted Stock Units subject to this Award that remain outstanding and unvested at such time. Any portion of this Award that is scheduled to vest following the Change of Control after taking into account the vesting acceleration set forth</w:t>
      </w:r>
    </w:p>
    <w:p>
      <w:pPr>
        <w:sectPr>
          <w:pgSz w:w="11900" w:h="16838" w:orient="portrait"/>
          <w:cols w:equalWidth="0" w:num="1">
            <w:col w:w="11420"/>
          </w:cols>
          <w:pgMar w:left="240" w:top="122" w:right="239" w:bottom="1440" w:gutter="0" w:footer="0" w:header="0"/>
        </w:sectPr>
      </w:pPr>
    </w:p>
    <w:bookmarkStart w:id="53" w:name="page54"/>
    <w:bookmarkEnd w:id="53"/>
    <w:p>
      <w:pPr>
        <w:spacing w:after="0"/>
        <w:rPr>
          <w:sz w:val="20"/>
          <w:szCs w:val="20"/>
          <w:color w:val="auto"/>
        </w:rPr>
      </w:pPr>
      <w:r>
        <w:rPr>
          <w:rFonts w:ascii="Arial" w:cs="Arial" w:eastAsia="Arial" w:hAnsi="Arial"/>
          <w:sz w:val="20"/>
          <w:szCs w:val="20"/>
          <w:color w:val="auto"/>
        </w:rPr>
        <w:t>in the previous sentence will be similarly accelerated so that the overall vesting schedule for this Award is reduced by 12 months.</w:t>
      </w:r>
    </w:p>
    <w:p>
      <w:pPr>
        <w:spacing w:after="0" w:line="216" w:lineRule="exact"/>
        <w:rPr>
          <w:sz w:val="20"/>
          <w:szCs w:val="20"/>
          <w:color w:val="auto"/>
        </w:rPr>
      </w:pPr>
    </w:p>
    <w:p>
      <w:pPr>
        <w:jc w:val="both"/>
        <w:ind w:firstLine="1305"/>
        <w:spacing w:after="0" w:line="291" w:lineRule="auto"/>
        <w:tabs>
          <w:tab w:leader="none" w:pos="1714"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addition, notwithstanding the foregoing, in the event that the Participant’s employment with the Company terminates as a result of Participant’s death or Disability (as defined below) at any time following the Start Date (as defined below), before or after a Change of Control, Participant will be entitled to 100% accelerated vesting of all outstanding and unvested Restricted Stock Units subject to this Award.</w:t>
      </w:r>
    </w:p>
    <w:p>
      <w:pPr>
        <w:spacing w:after="0" w:line="151" w:lineRule="exact"/>
        <w:rPr>
          <w:rFonts w:ascii="Arial" w:cs="Arial" w:eastAsia="Arial" w:hAnsi="Arial"/>
          <w:sz w:val="18"/>
          <w:szCs w:val="18"/>
          <w:color w:val="auto"/>
        </w:rPr>
      </w:pPr>
    </w:p>
    <w:p>
      <w:pPr>
        <w:jc w:val="both"/>
        <w:ind w:firstLine="1305"/>
        <w:spacing w:after="0" w:line="244" w:lineRule="auto"/>
        <w:tabs>
          <w:tab w:leader="none" w:pos="1738" w:val="left"/>
        </w:tabs>
        <w:numPr>
          <w:ilvl w:val="0"/>
          <w:numId w:val="32"/>
        </w:numPr>
        <w:rPr>
          <w:rFonts w:ascii="Arial" w:cs="Arial" w:eastAsia="Arial" w:hAnsi="Arial"/>
          <w:sz w:val="20"/>
          <w:szCs w:val="20"/>
          <w:color w:val="auto"/>
        </w:rPr>
      </w:pPr>
      <w:r>
        <w:rPr>
          <w:rFonts w:ascii="Arial" w:cs="Arial" w:eastAsia="Arial" w:hAnsi="Arial"/>
          <w:sz w:val="20"/>
          <w:szCs w:val="20"/>
          <w:color w:val="auto"/>
        </w:rPr>
        <w:t>Furthermore, notwithstanding the foregoing, if upon or within 18 months following a Change of Control (i) the Company (or any parent or subsidiary or successor of the Company) terminates Participant’s employment with the Company other than for Cause, death or Disability, or (ii) Participant resigns from such employment for Good Reason (as defined below), then, subject to Section 8(a) of the CEO Employment Agreement (as defined above), Participant will be entitled to 100% accelerated vesting of all outstanding and unvested Restricted Stock Units subject to this Award.</w:t>
      </w:r>
    </w:p>
    <w:p>
      <w:pPr>
        <w:spacing w:after="0" w:line="19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For purposes of this Notice of Grant, the terms “Cause,” “Change of Control,” “Disability,” “Good Reason” and “Start Date” shall have the meanings provided in Participant’s CEO Employment Agreement.</w:t>
      </w:r>
    </w:p>
    <w:p>
      <w:pPr>
        <w:spacing w:after="0" w:line="17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By accepting this agreement online, you and the Company agree that this award is granted under and governed by the governed by the terms and conditions of the Plan and the Agreement, each of which are made a part of this document. You further agree to accept, acknowledge and execute this Agreement online as a condition to receiving any Restricted Stock Units under this Award.</w:t>
      </w:r>
    </w:p>
    <w:p>
      <w:pPr>
        <w:spacing w:after="0" w:line="18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Nothing in this Notice or in the attached Agreement or in the Plan shall confer upon Participant any right to continue in Service for any period of specific duration or interfere with or otherwise restrict in any way the rights of the Company (or any Parent or Subsidiary employing or retaining Participant) or of Participant, which rights are hereby expressly reserved by each, to terminate Participant’s Service at any time for any reason, with or without cause.</w:t>
      </w:r>
    </w:p>
    <w:p>
      <w:pPr>
        <w:sectPr>
          <w:pgSz w:w="11900" w:h="16838" w:orient="portrait"/>
          <w:cols w:equalWidth="0" w:num="1">
            <w:col w:w="11420"/>
          </w:cols>
          <w:pgMar w:left="240" w:top="582"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AGREEMENT</w:t>
      </w:r>
    </w:p>
    <w:p>
      <w:pPr>
        <w:spacing w:after="0" w:line="235" w:lineRule="exact"/>
        <w:rPr>
          <w:sz w:val="20"/>
          <w:szCs w:val="20"/>
          <w:color w:val="auto"/>
        </w:rPr>
      </w:pPr>
    </w:p>
    <w:p>
      <w:pPr>
        <w:ind w:right="20" w:firstLine="656"/>
        <w:spacing w:after="0" w:line="316" w:lineRule="auto"/>
        <w:tabs>
          <w:tab w:leader="none" w:pos="1445"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Grant</w:t>
      </w:r>
      <w:r>
        <w:rPr>
          <w:rFonts w:ascii="Arial" w:cs="Arial" w:eastAsia="Arial" w:hAnsi="Arial"/>
          <w:sz w:val="19"/>
          <w:szCs w:val="19"/>
          <w:color w:val="auto"/>
        </w:rPr>
        <w:t>. The Company hereby grants to Participant under the Plan an Award of Restricted Stock Units (referred to in the Plan as Restricted Stock Units), subject to all of the terms and conditions in the Notice of Grant, this Agreement and the Plan.</w:t>
      </w:r>
    </w:p>
    <w:p>
      <w:pPr>
        <w:spacing w:after="0" w:line="153" w:lineRule="exact"/>
        <w:rPr>
          <w:rFonts w:ascii="Arial" w:cs="Arial" w:eastAsia="Arial" w:hAnsi="Arial"/>
          <w:sz w:val="19"/>
          <w:szCs w:val="19"/>
          <w:color w:val="auto"/>
        </w:rPr>
      </w:pPr>
    </w:p>
    <w:p>
      <w:pPr>
        <w:jc w:val="both"/>
        <w:ind w:firstLine="656"/>
        <w:spacing w:after="0" w:line="314" w:lineRule="auto"/>
        <w:tabs>
          <w:tab w:leader="none" w:pos="144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Company’s Obligation to Pay</w:t>
      </w:r>
      <w:r>
        <w:rPr>
          <w:rFonts w:ascii="Arial" w:cs="Arial" w:eastAsia="Arial" w:hAnsi="Arial"/>
          <w:sz w:val="18"/>
          <w:szCs w:val="18"/>
          <w:color w:val="auto"/>
        </w:rPr>
        <w:t>. Each Restricted Stock Unit represents a value equal to the Fair Market Value of a Share on the date it becomes vested. Unless and until the Restricted Stock Units will have vested in the manner set forth in Sections 3 and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59" w:lineRule="exact"/>
        <w:rPr>
          <w:rFonts w:ascii="Arial" w:cs="Arial" w:eastAsia="Arial" w:hAnsi="Arial"/>
          <w:sz w:val="18"/>
          <w:szCs w:val="18"/>
          <w:color w:val="auto"/>
        </w:rPr>
      </w:pPr>
    </w:p>
    <w:p>
      <w:pPr>
        <w:jc w:val="both"/>
        <w:ind w:firstLine="656"/>
        <w:spacing w:after="0" w:line="278" w:lineRule="auto"/>
        <w:tabs>
          <w:tab w:leader="none" w:pos="1445"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Vesting Schedule</w:t>
      </w:r>
      <w:r>
        <w:rPr>
          <w:rFonts w:ascii="Arial" w:cs="Arial" w:eastAsia="Arial" w:hAnsi="Arial"/>
          <w:sz w:val="20"/>
          <w:szCs w:val="20"/>
          <w:color w:val="auto"/>
        </w:rPr>
        <w:t>. Subject to Section 4, the Restricted Stock Units awarded by this Agreement will vest in, and the underlying award shares will be issued to, Participant according to the vesting/issuance schedule set forth in paragraph (a) of the attached Notice of Grant, subject to paragraphs (b)-(d) of such Notice of Grant.</w:t>
      </w:r>
    </w:p>
    <w:p>
      <w:pPr>
        <w:spacing w:after="0" w:line="186" w:lineRule="exact"/>
        <w:rPr>
          <w:rFonts w:ascii="Arial" w:cs="Arial" w:eastAsia="Arial" w:hAnsi="Arial"/>
          <w:sz w:val="20"/>
          <w:szCs w:val="20"/>
          <w:color w:val="auto"/>
        </w:rPr>
      </w:pPr>
    </w:p>
    <w:p>
      <w:pPr>
        <w:jc w:val="both"/>
        <w:ind w:firstLine="656"/>
        <w:spacing w:after="0" w:line="293" w:lineRule="auto"/>
        <w:tabs>
          <w:tab w:leader="none" w:pos="1445"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Forfeiture upon Termination of Status as a Service Provider</w:t>
      </w:r>
      <w:r>
        <w:rPr>
          <w:rFonts w:ascii="Arial" w:cs="Arial" w:eastAsia="Arial" w:hAnsi="Arial"/>
          <w:sz w:val="19"/>
          <w:szCs w:val="19"/>
          <w:color w:val="auto"/>
        </w:rPr>
        <w:t>. Subject to paragraphs (a) through (d) of the attached Notice of Grant, if Participant ceases to be a Service Provider for any or no reason, any then-unvested Restricted Stock Units awarded by this Agreement will thereupon be forfeited at no cost to the Company and Participant will have no further rights thereunder, in each case unless otherwise determined by the Board or the Compensation Committee acting as the Plan Administrator.</w:t>
      </w:r>
    </w:p>
    <w:p>
      <w:pPr>
        <w:spacing w:after="0" w:line="175" w:lineRule="exact"/>
        <w:rPr>
          <w:rFonts w:ascii="Arial" w:cs="Arial" w:eastAsia="Arial" w:hAnsi="Arial"/>
          <w:sz w:val="19"/>
          <w:szCs w:val="19"/>
          <w:color w:val="auto"/>
        </w:rPr>
      </w:pPr>
    </w:p>
    <w:p>
      <w:pPr>
        <w:jc w:val="both"/>
        <w:ind w:firstLine="656"/>
        <w:spacing w:after="0" w:line="310" w:lineRule="auto"/>
        <w:tabs>
          <w:tab w:leader="none" w:pos="144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Payment after Vesting</w:t>
      </w:r>
      <w:r>
        <w:rPr>
          <w:rFonts w:ascii="Arial" w:cs="Arial" w:eastAsia="Arial" w:hAnsi="Arial"/>
          <w:sz w:val="18"/>
          <w:szCs w:val="18"/>
          <w:color w:val="auto"/>
        </w:rPr>
        <w:t>. Any Restricted Stock Units that vest in accordance with Section 3 will be paid to Participant (or in the event of Participant’s death, to his or her estate) in whole Shares, subject to Participant satisfying any applicable tax withholding obligations as set forth in Section 7. Subject to the provisions of Section 19, any Shares will be issued to Participant as soon as practicable on or after the relevant vesting date, but in any event, within the period ending on the later to occur of the date that is two-and-one-half months from the end of (a) Participant’s tax year that includes the vesting date, or (b) the Company’s tax year that includes the vesting date.</w:t>
      </w:r>
    </w:p>
    <w:p>
      <w:pPr>
        <w:spacing w:after="0" w:line="162" w:lineRule="exact"/>
        <w:rPr>
          <w:rFonts w:ascii="Arial" w:cs="Arial" w:eastAsia="Arial" w:hAnsi="Arial"/>
          <w:sz w:val="18"/>
          <w:szCs w:val="18"/>
          <w:color w:val="auto"/>
        </w:rPr>
      </w:pPr>
    </w:p>
    <w:p>
      <w:pPr>
        <w:jc w:val="both"/>
        <w:ind w:firstLine="656"/>
        <w:spacing w:after="0" w:line="314" w:lineRule="auto"/>
        <w:tabs>
          <w:tab w:leader="none" w:pos="144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Payments after Death</w:t>
      </w:r>
      <w:r>
        <w:rPr>
          <w:rFonts w:ascii="Arial" w:cs="Arial" w:eastAsia="Arial" w:hAnsi="Arial"/>
          <w:sz w:val="18"/>
          <w:szCs w:val="18"/>
          <w:color w:val="auto"/>
        </w:rPr>
        <w:t>. Any distribution or delivery to be made to Participant under this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59" w:lineRule="exact"/>
        <w:rPr>
          <w:rFonts w:ascii="Arial" w:cs="Arial" w:eastAsia="Arial" w:hAnsi="Arial"/>
          <w:sz w:val="18"/>
          <w:szCs w:val="18"/>
          <w:color w:val="auto"/>
        </w:rPr>
      </w:pPr>
    </w:p>
    <w:p>
      <w:pPr>
        <w:ind w:left="1460" w:hanging="804"/>
        <w:spacing w:after="0"/>
        <w:tabs>
          <w:tab w:leader="none" w:pos="1460"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Taxes.</w:t>
      </w:r>
    </w:p>
    <w:p>
      <w:pPr>
        <w:spacing w:after="0" w:line="242" w:lineRule="exact"/>
        <w:rPr>
          <w:rFonts w:ascii="Arial" w:cs="Arial" w:eastAsia="Arial" w:hAnsi="Arial"/>
          <w:sz w:val="20"/>
          <w:szCs w:val="20"/>
          <w:color w:val="auto"/>
        </w:rPr>
      </w:pPr>
    </w:p>
    <w:p>
      <w:pPr>
        <w:jc w:val="both"/>
        <w:ind w:firstLine="1305"/>
        <w:spacing w:after="0" w:line="314" w:lineRule="auto"/>
        <w:tabs>
          <w:tab w:leader="none" w:pos="2164"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The Participant is ultimately liable and responsible for all taxes owed in connection with the Restricted Stock Units, regardless of any action the Company or any of its Subsidiaries takes with respect to any tax withholding obligations that arise in connection with the Restricted Stock Units. Neither the Company nor any of its Subsidiaries makes any representation or undertaking regarding the treatment of any tax withholding in connection with the grant or vesting of the Restricted Stock Units or the subsequent sale of</w:t>
      </w:r>
    </w:p>
    <w:p>
      <w:pPr>
        <w:sectPr>
          <w:pgSz w:w="11900" w:h="16838" w:orient="portrait"/>
          <w:cols w:equalWidth="0" w:num="1">
            <w:col w:w="11420"/>
          </w:cols>
          <w:pgMar w:left="240" w:top="1022" w:right="239" w:bottom="1440" w:gutter="0" w:footer="0" w:header="0"/>
        </w:sectPr>
      </w:pPr>
    </w:p>
    <w:bookmarkStart w:id="55" w:name="page56"/>
    <w:bookmarkEnd w:id="55"/>
    <w:p>
      <w:pPr>
        <w:spacing w:after="0" w:line="289" w:lineRule="auto"/>
        <w:rPr>
          <w:sz w:val="20"/>
          <w:szCs w:val="20"/>
          <w:color w:val="auto"/>
        </w:rPr>
      </w:pPr>
      <w:r>
        <w:rPr>
          <w:rFonts w:ascii="Arial" w:cs="Arial" w:eastAsia="Arial" w:hAnsi="Arial"/>
          <w:sz w:val="20"/>
          <w:szCs w:val="20"/>
          <w:color w:val="auto"/>
        </w:rPr>
        <w:t>Shares issuable pursuant to the Restricted Stock Units. The Company and its Subsidiaries do not commit and are under no obligation to structure the Restricted Stock Units to reduce or eliminate the Participant’s tax liability.</w:t>
      </w:r>
    </w:p>
    <w:p>
      <w:pPr>
        <w:spacing w:after="0" w:line="175" w:lineRule="exact"/>
        <w:rPr>
          <w:sz w:val="20"/>
          <w:szCs w:val="20"/>
          <w:color w:val="auto"/>
        </w:rPr>
      </w:pPr>
    </w:p>
    <w:p>
      <w:pPr>
        <w:jc w:val="both"/>
        <w:ind w:firstLine="1305"/>
        <w:spacing w:after="0" w:line="286" w:lineRule="auto"/>
        <w:tabs>
          <w:tab w:leader="none" w:pos="2175"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Payment of Withholding Taxes</w:t>
      </w:r>
      <w:r>
        <w:rPr>
          <w:rFonts w:ascii="Arial" w:cs="Arial" w:eastAsia="Arial" w:hAnsi="Arial"/>
          <w:sz w:val="19"/>
          <w:szCs w:val="19"/>
          <w:color w:val="auto"/>
        </w:rPr>
        <w:t>. Notwithstanding any contrary provision of this Agreement, no Shares will be issued to the Participant, unless and until satisfactory arrangements (as determined by the Administrator) will have been made by the Participant with respect to the payment of any taxes which the Company determines must be withheld with respect to the Restricted Stock Units. The Administrator, in its sole discretion and pursuant to such procedures as it may specify from time to time, may satisfy such tax withholding obligations, in whole or in part, by withholding otherwise deliverable Shares having an aggregate Fair Market Value sufficient to (but not exceeding) the minimum amount required to be withheld. In addition and to the maximum extent permitted by law, the Company has the right to retain without notice from salary or other amounts payable to the Participant, cash having a value sufficient to satisfy any tax withholding obligations that cannot be satisfied by the withholding of otherwise deliverable Shares.</w:t>
      </w:r>
    </w:p>
    <w:p>
      <w:pPr>
        <w:spacing w:after="0" w:line="185" w:lineRule="exact"/>
        <w:rPr>
          <w:rFonts w:ascii="Arial" w:cs="Arial" w:eastAsia="Arial" w:hAnsi="Arial"/>
          <w:sz w:val="19"/>
          <w:szCs w:val="19"/>
          <w:color w:val="auto"/>
        </w:rPr>
      </w:pPr>
    </w:p>
    <w:p>
      <w:pPr>
        <w:jc w:val="both"/>
        <w:ind w:firstLine="656"/>
        <w:spacing w:after="0" w:line="314" w:lineRule="auto"/>
        <w:tabs>
          <w:tab w:leader="none" w:pos="144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provided that the Participant shall be entitled to any award adjustments provided pursuant to Section 18(a) of the Plan.</w:t>
      </w:r>
    </w:p>
    <w:p>
      <w:pPr>
        <w:spacing w:after="0" w:line="159" w:lineRule="exact"/>
        <w:rPr>
          <w:rFonts w:ascii="Arial" w:cs="Arial" w:eastAsia="Arial" w:hAnsi="Arial"/>
          <w:sz w:val="18"/>
          <w:szCs w:val="18"/>
          <w:color w:val="auto"/>
        </w:rPr>
      </w:pPr>
    </w:p>
    <w:p>
      <w:pPr>
        <w:jc w:val="both"/>
        <w:ind w:firstLine="656"/>
        <w:spacing w:after="0" w:line="287" w:lineRule="auto"/>
        <w:tabs>
          <w:tab w:leader="none" w:pos="1445"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No Effect on Service</w:t>
      </w:r>
      <w:r>
        <w:rPr>
          <w:rFonts w:ascii="Arial" w:cs="Arial" w:eastAsia="Arial" w:hAnsi="Arial"/>
          <w:sz w:val="19"/>
          <w:szCs w:val="19"/>
          <w:color w:val="auto"/>
        </w:rPr>
        <w:t>. Participant acknowledges and agrees that the vesting of the Restricted Stock Units pursuant to Section 3 hereof is earned only by Participant continuing to be a Service Provider through the applicable vesting dates (and not through the act of being hired or acquiring Shares hereunder) (subject, however, to paragraphs (a) through (d) of the Notice of Grant). Participant further acknowledges and agrees that this Agreement, the transactions contemplated hereunder and the vesting schedule set forth herein do not constitute an express or implied promise of Participant continuing to be a Service Provider for the vesting period, for any period, or at all, and will not interfere with the Participant’s right or the right of the Company (or the Affiliate employing or retaining Participant) to terminate Participant as a Service Provider at any time, with or without cause.</w:t>
      </w:r>
    </w:p>
    <w:p>
      <w:pPr>
        <w:spacing w:after="0" w:line="183" w:lineRule="exact"/>
        <w:rPr>
          <w:rFonts w:ascii="Arial" w:cs="Arial" w:eastAsia="Arial" w:hAnsi="Arial"/>
          <w:sz w:val="19"/>
          <w:szCs w:val="19"/>
          <w:color w:val="auto"/>
        </w:rPr>
      </w:pPr>
    </w:p>
    <w:p>
      <w:pPr>
        <w:jc w:val="both"/>
        <w:ind w:firstLine="656"/>
        <w:spacing w:after="0" w:line="274" w:lineRule="auto"/>
        <w:tabs>
          <w:tab w:leader="none" w:pos="1544"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Address for Notices</w:t>
      </w:r>
      <w:r>
        <w:rPr>
          <w:rFonts w:ascii="Arial" w:cs="Arial" w:eastAsia="Arial" w:hAnsi="Arial"/>
          <w:sz w:val="20"/>
          <w:szCs w:val="20"/>
          <w:color w:val="auto"/>
        </w:rPr>
        <w:t>. Any notice to be given to the Company under the terms of this Agreement will be addressed to the Company, in care of Stock Administrator at Align Technology, Inc., 881 Martin Avenue, Santa Clara, CA 95050, or at such other address as the Company may hereafter designate in writing. Any notice to be given to the Participant regarding his Restricted Stock Unit award shall comply with the notice provisions in the Participant’s CEO Employment Agreement.</w:t>
      </w:r>
    </w:p>
    <w:p>
      <w:pPr>
        <w:spacing w:after="0" w:line="192" w:lineRule="exact"/>
        <w:rPr>
          <w:rFonts w:ascii="Arial" w:cs="Arial" w:eastAsia="Arial" w:hAnsi="Arial"/>
          <w:sz w:val="20"/>
          <w:szCs w:val="20"/>
          <w:color w:val="auto"/>
        </w:rPr>
      </w:pPr>
    </w:p>
    <w:p>
      <w:pPr>
        <w:jc w:val="both"/>
        <w:ind w:firstLine="656"/>
        <w:spacing w:after="0" w:line="303" w:lineRule="auto"/>
        <w:tabs>
          <w:tab w:leader="none" w:pos="1536"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Grant is Not Transferable</w:t>
      </w:r>
      <w:r>
        <w:rPr>
          <w:rFonts w:ascii="Arial" w:cs="Arial" w:eastAsia="Arial" w:hAnsi="Arial"/>
          <w:sz w:val="18"/>
          <w:szCs w:val="18"/>
          <w:color w:val="auto"/>
        </w:rPr>
        <w:t>. Except to the limited extent provided in Section 6, or, in the event of Participant’s death, by his will or the laws of descent or distribution (pursuant to Section 15 of the Plan) or as otherwise determined by the Plan Administrator (pursuant to Section 15 of the Plan),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 Notwithstanding the above, the rights relating to Participant’s Restricted Stock Unit grant can be exercised on the Participant’s behalf by his legal representative in the event of his legal incapacity, or, in the event of his death, by his designated beneficiary (if any) or, if no beneficiary is designated with respect to his Restricted Stock Units, by his estate.</w:t>
      </w:r>
    </w:p>
    <w:p>
      <w:pPr>
        <w:sectPr>
          <w:pgSz w:w="11900" w:h="16838" w:orient="portrait"/>
          <w:cols w:equalWidth="0" w:num="1">
            <w:col w:w="11420"/>
          </w:cols>
          <w:pgMar w:left="240" w:top="595" w:right="239" w:bottom="1440" w:gutter="0" w:footer="0" w:header="0"/>
        </w:sectPr>
      </w:pPr>
    </w:p>
    <w:bookmarkStart w:id="56" w:name="page57"/>
    <w:bookmarkEnd w:id="56"/>
    <w:p>
      <w:pPr>
        <w:ind w:firstLine="656"/>
        <w:spacing w:after="0" w:line="316" w:lineRule="auto"/>
        <w:tabs>
          <w:tab w:leader="none" w:pos="1544"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Binding Agreement</w:t>
      </w:r>
      <w:r>
        <w:rPr>
          <w:rFonts w:ascii="Arial" w:cs="Arial" w:eastAsia="Arial" w:hAnsi="Arial"/>
          <w:sz w:val="19"/>
          <w:szCs w:val="19"/>
          <w:color w:val="auto"/>
        </w:rPr>
        <w:t>. Subject to the limitation on the transferability of this grant contained herein, this Agreement will be binding upon and inure to the benefit of the heirs, legatees, legal representatives, successors and assigns of the parties hereto.</w:t>
      </w:r>
    </w:p>
    <w:p>
      <w:pPr>
        <w:spacing w:after="0" w:line="153" w:lineRule="exact"/>
        <w:rPr>
          <w:rFonts w:ascii="Arial" w:cs="Arial" w:eastAsia="Arial" w:hAnsi="Arial"/>
          <w:sz w:val="19"/>
          <w:szCs w:val="19"/>
          <w:color w:val="auto"/>
        </w:rPr>
      </w:pPr>
    </w:p>
    <w:p>
      <w:pPr>
        <w:jc w:val="both"/>
        <w:ind w:firstLine="656"/>
        <w:spacing w:after="0" w:line="285" w:lineRule="auto"/>
        <w:tabs>
          <w:tab w:leader="none" w:pos="1544"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Additional Conditions to Issuance of Stock</w:t>
      </w:r>
      <w:r>
        <w:rPr>
          <w:rFonts w:ascii="Arial" w:cs="Arial" w:eastAsia="Arial" w:hAnsi="Arial"/>
          <w:sz w:val="19"/>
          <w:szCs w:val="19"/>
          <w:color w:val="auto"/>
        </w:rPr>
        <w:t>. If at any time the Company will determine, in its discretion, that the listing, registration or qualification of the Shares upon any securities exchange or under any state or federal law, or the consent or approval of any governmental regulatory authority is necessary or desirable as a condition to the issuance of shares to Participant (or his estate), such issuance will not occur unless and until such listing, registration, qualification, consent or approval will have been effected or obtained free of any conditions not acceptable to the Company. Where the Company determines that the delivery of the payment of any Shares will violate federal securities laws or other applicable laws, the Company will defer delivery until the earliest date at which the Company reasonably anticipates that the delivery of Shares will no longer cause such violation. The Company will make all reasonable efforts to meet the requirements of any such state or federal law or securities exchange and to obtain any such consent or approval of any such governmental authority. The Company represents and acknowledges that, as of the Date of Grant, there are currently no delivery restrictions in effect of the type referred to in this Section 13.</w:t>
      </w:r>
    </w:p>
    <w:p>
      <w:pPr>
        <w:spacing w:after="0" w:line="187" w:lineRule="exact"/>
        <w:rPr>
          <w:rFonts w:ascii="Arial" w:cs="Arial" w:eastAsia="Arial" w:hAnsi="Arial"/>
          <w:sz w:val="19"/>
          <w:szCs w:val="19"/>
          <w:color w:val="auto"/>
        </w:rPr>
      </w:pPr>
    </w:p>
    <w:p>
      <w:pPr>
        <w:ind w:firstLine="656"/>
        <w:spacing w:after="0" w:line="289" w:lineRule="auto"/>
        <w:tabs>
          <w:tab w:leader="none" w:pos="1544"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Plan Governs</w:t>
      </w:r>
      <w:r>
        <w:rPr>
          <w:rFonts w:ascii="Arial" w:cs="Arial" w:eastAsia="Arial" w:hAnsi="Arial"/>
          <w:sz w:val="20"/>
          <w:szCs w:val="20"/>
          <w:color w:val="auto"/>
        </w:rPr>
        <w:t>. This Agreement is subject to all terms and provisions of the Plan. In the event of a conflict between one or more provisions of this Agreement and one or more provisions of the Plan, the provisions of the Plan will govern.</w:t>
      </w:r>
    </w:p>
    <w:p>
      <w:pPr>
        <w:spacing w:after="0" w:line="175" w:lineRule="exact"/>
        <w:rPr>
          <w:rFonts w:ascii="Arial" w:cs="Arial" w:eastAsia="Arial" w:hAnsi="Arial"/>
          <w:sz w:val="20"/>
          <w:szCs w:val="20"/>
          <w:color w:val="auto"/>
        </w:rPr>
      </w:pPr>
    </w:p>
    <w:p>
      <w:pPr>
        <w:jc w:val="both"/>
        <w:ind w:firstLine="656"/>
        <w:spacing w:after="0" w:line="272" w:lineRule="auto"/>
        <w:tabs>
          <w:tab w:leader="none" w:pos="1544"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Administrator Authority</w:t>
      </w:r>
      <w:r>
        <w:rPr>
          <w:rFonts w:ascii="Arial" w:cs="Arial" w:eastAsia="Arial" w:hAnsi="Arial"/>
          <w:sz w:val="20"/>
          <w:szCs w:val="20"/>
          <w:color w:val="auto"/>
        </w:rPr>
        <w:t>. The Administrator will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Agreement.</w:t>
      </w:r>
    </w:p>
    <w:p>
      <w:pPr>
        <w:spacing w:after="0" w:line="191" w:lineRule="exact"/>
        <w:rPr>
          <w:rFonts w:ascii="Arial" w:cs="Arial" w:eastAsia="Arial" w:hAnsi="Arial"/>
          <w:sz w:val="20"/>
          <w:szCs w:val="20"/>
          <w:color w:val="auto"/>
        </w:rPr>
      </w:pPr>
    </w:p>
    <w:p>
      <w:pPr>
        <w:jc w:val="both"/>
        <w:ind w:firstLine="656"/>
        <w:spacing w:after="0" w:line="273" w:lineRule="auto"/>
        <w:tabs>
          <w:tab w:leader="none" w:pos="1544"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Electronic Delivery</w:t>
      </w:r>
      <w:r>
        <w:rPr>
          <w:rFonts w:ascii="Arial" w:cs="Arial" w:eastAsia="Arial" w:hAnsi="Arial"/>
          <w:sz w:val="20"/>
          <w:szCs w:val="20"/>
          <w:color w:val="auto"/>
        </w:rPr>
        <w:t>. The Company may, in its sole discretion, decide to deliver any documents related to Restricted Stock Units awarded under the Plan or 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 on-line or electronic system established and maintained by the Company or another third party designated by the Company.</w:t>
      </w:r>
    </w:p>
    <w:p>
      <w:pPr>
        <w:spacing w:after="0" w:line="191" w:lineRule="exact"/>
        <w:rPr>
          <w:rFonts w:ascii="Arial" w:cs="Arial" w:eastAsia="Arial" w:hAnsi="Arial"/>
          <w:sz w:val="20"/>
          <w:szCs w:val="20"/>
          <w:color w:val="auto"/>
        </w:rPr>
      </w:pPr>
    </w:p>
    <w:p>
      <w:pPr>
        <w:ind w:left="1560" w:hanging="904"/>
        <w:spacing w:after="0"/>
        <w:tabs>
          <w:tab w:leader="none" w:pos="156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Captions</w:t>
      </w:r>
      <w:r>
        <w:rPr>
          <w:rFonts w:ascii="Arial" w:cs="Arial" w:eastAsia="Arial" w:hAnsi="Arial"/>
          <w:sz w:val="16"/>
          <w:szCs w:val="16"/>
          <w:color w:val="auto"/>
        </w:rPr>
        <w:t>. Captions provided herein are for convenience only and are not to serve as a basis for interpretation or construction</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of this Agreement.</w:t>
      </w:r>
    </w:p>
    <w:p>
      <w:pPr>
        <w:spacing w:after="0" w:line="242" w:lineRule="exact"/>
        <w:rPr>
          <w:rFonts w:ascii="Arial" w:cs="Arial" w:eastAsia="Arial" w:hAnsi="Arial"/>
          <w:sz w:val="16"/>
          <w:szCs w:val="16"/>
          <w:color w:val="auto"/>
        </w:rPr>
      </w:pPr>
    </w:p>
    <w:p>
      <w:pPr>
        <w:jc w:val="both"/>
        <w:ind w:firstLine="656"/>
        <w:spacing w:after="0" w:line="278" w:lineRule="auto"/>
        <w:tabs>
          <w:tab w:leader="none" w:pos="1544"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in this Agreement will be held invalid or unenforceable, such provision will be severable from, and such invalidity or unenforceability will not be construed to have any effect on, the remaining provisions of this Agreement.</w:t>
      </w:r>
    </w:p>
    <w:p>
      <w:pPr>
        <w:spacing w:after="0" w:line="186" w:lineRule="exact"/>
        <w:rPr>
          <w:rFonts w:ascii="Arial" w:cs="Arial" w:eastAsia="Arial" w:hAnsi="Arial"/>
          <w:sz w:val="20"/>
          <w:szCs w:val="20"/>
          <w:color w:val="auto"/>
        </w:rPr>
      </w:pPr>
    </w:p>
    <w:p>
      <w:pPr>
        <w:jc w:val="both"/>
        <w:ind w:firstLine="656"/>
        <w:spacing w:after="0" w:line="314" w:lineRule="auto"/>
        <w:tabs>
          <w:tab w:leader="none" w:pos="154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Notwithstanding anything in the Plan or this Agreement to the contrary, if the vesting of the balance, or some lesser portion of the balance, of the Restricted Stock Units is accelerated in connection with Participant’s termination as a Service Provider (provided that such termination is a “separation from service” within the meaning of Section 409A, as determined by the Company), other than due to death, and if (x) Participant is a “specified employee” within the meaning of Section 409A at the time of such termination</w:t>
      </w:r>
    </w:p>
    <w:p>
      <w:pPr>
        <w:sectPr>
          <w:pgSz w:w="11900" w:h="16838" w:orient="portrait"/>
          <w:cols w:equalWidth="0" w:num="1">
            <w:col w:w="11420"/>
          </w:cols>
          <w:pgMar w:left="240" w:top="595" w:right="239" w:bottom="1440" w:gutter="0" w:footer="0" w:header="0"/>
        </w:sectPr>
      </w:pPr>
    </w:p>
    <w:bookmarkStart w:id="57" w:name="page58"/>
    <w:bookmarkEnd w:id="57"/>
    <w:p>
      <w:pPr>
        <w:jc w:val="both"/>
        <w:spacing w:after="0" w:line="303" w:lineRule="auto"/>
        <w:rPr>
          <w:sz w:val="20"/>
          <w:szCs w:val="20"/>
          <w:color w:val="auto"/>
        </w:rPr>
      </w:pPr>
      <w:r>
        <w:rPr>
          <w:rFonts w:ascii="Arial" w:cs="Arial" w:eastAsia="Arial" w:hAnsi="Arial"/>
          <w:sz w:val="18"/>
          <w:szCs w:val="18"/>
          <w:color w:val="auto"/>
        </w:rPr>
        <w:t>as a Service Provider and (y) the payment of such accelerated Restricted Stock Units would result in the imposition of additional tax under Section 409A if paid to Participant on or within the six (6) month period following Participant’s termination as a Service Provider, then the payment of such accelerated Restricted Stock Units will not be made until the date six (6) months and one (1) day following the date of Participant’s termination as a Service Provider, unless the Participant dies following his or her termination as a Service Provider, in which case, the Restricted Stock Units will be paid in Shares to the Participant’s estate as soon as practicable following his or her death. It is the intent of this Agreement to comply with the requirements of Section 409A so that none of the Restricted Stock Units provided under this Agreement or Shares issuable thereunder will be subject to the additional tax imposed under Section 409A, and any ambiguities herein will be interpreted to so comply. For purposes of this Agreement, “Section 409A” means Section 409A of the Code, and any proposed, temporary or final Treasury Regulations and Internal Revenue Service guidance thereunder, as each may be amended from time to time.</w:t>
      </w:r>
    </w:p>
    <w:p>
      <w:pPr>
        <w:spacing w:after="0" w:line="174" w:lineRule="exact"/>
        <w:rPr>
          <w:sz w:val="20"/>
          <w:szCs w:val="20"/>
          <w:color w:val="auto"/>
        </w:rPr>
      </w:pPr>
    </w:p>
    <w:p>
      <w:pPr>
        <w:jc w:val="both"/>
        <w:ind w:firstLine="656"/>
        <w:spacing w:after="0" w:line="290" w:lineRule="auto"/>
        <w:tabs>
          <w:tab w:leader="none" w:pos="1544"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Award Agreement shall be governed by the laws of the State of California, without giving effect to the conflict of law principles thereof. For purposes of litigating any dispute that arises under this Award of Restricted Stock Units or this Agreement, the parties hereby submit to and consent to the jurisdiction of the State of California, and agree that such litigation shall be conducted in the courts of Santa Clara County, California, or the federal courts for the United States for the Northern District of California, and no other courts, where this Award of Restricted Stock Units is made and/or to be performed.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[Remainder of Page Intentionally Left Blank]</w:t>
      </w:r>
    </w:p>
    <w:p>
      <w:pPr>
        <w:sectPr>
          <w:pgSz w:w="11900" w:h="16838" w:orient="portrait"/>
          <w:cols w:equalWidth="0" w:num="1">
            <w:col w:w="11420"/>
          </w:cols>
          <w:pgMar w:left="240" w:top="595" w:right="239" w:bottom="1440" w:gutter="0" w:footer="0" w:header="0"/>
        </w:sectPr>
      </w:pPr>
    </w:p>
    <w:bookmarkStart w:id="58" w:name="page59"/>
    <w:bookmarkEnd w:id="58"/>
    <w:p>
      <w:pPr>
        <w:jc w:val="both"/>
        <w:ind w:firstLine="656"/>
        <w:spacing w:after="0" w:line="271" w:lineRule="auto"/>
        <w:tabs>
          <w:tab w:leader="none" w:pos="1544" w:val="left"/>
        </w:tabs>
        <w:numPr>
          <w:ilvl w:val="0"/>
          <w:numId w:val="38"/>
        </w:numPr>
        <w:rPr>
          <w:rFonts w:ascii="Arial" w:cs="Arial" w:eastAsia="Arial" w:hAnsi="Arial"/>
          <w:sz w:val="20"/>
          <w:szCs w:val="20"/>
          <w:color w:val="auto"/>
        </w:rPr>
      </w:pPr>
      <w:r>
        <w:rPr>
          <w:rFonts w:ascii="Arial" w:cs="Arial" w:eastAsia="Arial" w:hAnsi="Arial"/>
          <w:sz w:val="20"/>
          <w:szCs w:val="20"/>
          <w:b w:val="1"/>
          <w:bCs w:val="1"/>
          <w:color w:val="auto"/>
        </w:rPr>
        <w:t>By Participant’s acceptance of this Agreement online, Participant represents that he or she is familiar with the terms and provisions of the Plan, and hereby accepts this Agreement subject to all of the terms and provisions thereof. Participant has reviewed the Plan and this Agreement in their entirety, has had an opportunity to obtain the advice of counsel prior to executing this Agreement and fully understands all provisions of this Agreement. Participant agrees to accept as binding, conclusive and final all decisions or interpretations of the Administrator upon any questions arising under the Plan or this Agreement, but does not waive any rights he has under his CEO Employment Agreement. Participant further agrees to notify the Company upon any change in the residence indicated in the Notice of Grant of Restricted Stock Units if and to the extent that the Company is not otherwise notified of any such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440" w:type="dxa"/>
            <w:vAlign w:val="bottom"/>
            <w:gridSpan w:val="2"/>
          </w:tcPr>
          <w:p>
            <w:pPr>
              <w:jc w:val="right"/>
              <w:ind w:right="1560"/>
              <w:spacing w:after="0"/>
              <w:rPr>
                <w:sz w:val="20"/>
                <w:szCs w:val="20"/>
                <w:color w:val="auto"/>
              </w:rPr>
            </w:pPr>
            <w:r>
              <w:rPr>
                <w:rFonts w:ascii="Arial" w:cs="Arial" w:eastAsia="Arial" w:hAnsi="Arial"/>
                <w:sz w:val="20"/>
                <w:szCs w:val="20"/>
                <w:b w:val="1"/>
                <w:bCs w:val="1"/>
                <w:color w:val="auto"/>
                <w:w w:val="98"/>
              </w:rPr>
              <w:t>JOSEPH M. HOGAN</w:t>
            </w:r>
          </w:p>
        </w:tc>
        <w:tc>
          <w:tcPr>
            <w:tcW w:w="7980" w:type="dxa"/>
            <w:vAlign w:val="bottom"/>
          </w:tcPr>
          <w:p>
            <w:pPr>
              <w:ind w:left="20"/>
              <w:spacing w:after="0"/>
              <w:rPr>
                <w:sz w:val="20"/>
                <w:szCs w:val="20"/>
                <w:color w:val="auto"/>
              </w:rPr>
            </w:pPr>
            <w:r>
              <w:rPr>
                <w:rFonts w:ascii="Arial" w:cs="Arial" w:eastAsia="Arial" w:hAnsi="Arial"/>
                <w:sz w:val="20"/>
                <w:szCs w:val="20"/>
                <w:b w:val="1"/>
                <w:bCs w:val="1"/>
                <w:color w:val="auto"/>
              </w:rPr>
              <w:t>ALIGN TECHNOLOGY, INC.</w:t>
            </w:r>
          </w:p>
        </w:tc>
      </w:tr>
      <w:tr>
        <w:trPr>
          <w:trHeight w:val="962"/>
        </w:trPr>
        <w:tc>
          <w:tcPr>
            <w:tcW w:w="3440" w:type="dxa"/>
            <w:vAlign w:val="bottom"/>
            <w:gridSpan w:val="2"/>
          </w:tcPr>
          <w:p>
            <w:pPr>
              <w:jc w:val="right"/>
              <w:ind w:right="1560"/>
              <w:spacing w:after="0"/>
              <w:rPr>
                <w:sz w:val="20"/>
                <w:szCs w:val="20"/>
                <w:color w:val="auto"/>
              </w:rPr>
            </w:pPr>
            <w:r>
              <w:rPr>
                <w:rFonts w:ascii="Arial" w:cs="Arial" w:eastAsia="Arial" w:hAnsi="Arial"/>
                <w:sz w:val="18"/>
                <w:szCs w:val="18"/>
                <w:color w:val="auto"/>
                <w:w w:val="96"/>
              </w:rPr>
              <w:t>/s/ JOSEPH M. HOGAN</w:t>
            </w:r>
          </w:p>
        </w:tc>
        <w:tc>
          <w:tcPr>
            <w:tcW w:w="7980" w:type="dxa"/>
            <w:vAlign w:val="bottom"/>
          </w:tcPr>
          <w:p>
            <w:pPr>
              <w:ind w:left="80"/>
              <w:spacing w:after="0"/>
              <w:rPr>
                <w:sz w:val="20"/>
                <w:szCs w:val="20"/>
                <w:color w:val="auto"/>
              </w:rPr>
            </w:pPr>
            <w:r>
              <w:rPr>
                <w:rFonts w:ascii="Arial" w:cs="Arial" w:eastAsia="Arial" w:hAnsi="Arial"/>
                <w:sz w:val="22"/>
                <w:szCs w:val="22"/>
                <w:color w:val="auto"/>
              </w:rPr>
              <w:t>/s/ Roger E. George</w:t>
            </w:r>
          </w:p>
        </w:tc>
      </w:tr>
      <w:tr>
        <w:trPr>
          <w:trHeight w:val="459"/>
        </w:trPr>
        <w:tc>
          <w:tcPr>
            <w:tcW w:w="32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By</w:t>
            </w:r>
          </w:p>
        </w:tc>
      </w:tr>
      <w:tr>
        <w:trPr>
          <w:trHeight w:val="318"/>
        </w:trPr>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9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Roger E. George</w:t>
            </w:r>
          </w:p>
        </w:tc>
      </w:tr>
      <w:tr>
        <w:trPr>
          <w:trHeight w:val="280"/>
        </w:trPr>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980" w:type="dxa"/>
            <w:vAlign w:val="bottom"/>
          </w:tcPr>
          <w:p>
            <w:pPr>
              <w:ind w:left="20"/>
              <w:spacing w:after="0"/>
              <w:rPr>
                <w:sz w:val="20"/>
                <w:szCs w:val="20"/>
                <w:color w:val="auto"/>
              </w:rPr>
            </w:pPr>
            <w:r>
              <w:rPr>
                <w:rFonts w:ascii="Arial" w:cs="Arial" w:eastAsia="Arial" w:hAnsi="Arial"/>
                <w:sz w:val="22"/>
                <w:szCs w:val="22"/>
                <w:color w:val="auto"/>
              </w:rPr>
              <w:t>Print Name</w:t>
            </w:r>
          </w:p>
        </w:tc>
      </w:tr>
      <w:tr>
        <w:trPr>
          <w:trHeight w:val="632"/>
        </w:trPr>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9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Vice President, Corporate &amp; Legal Affairs and General Counsel</w:t>
            </w:r>
          </w:p>
        </w:tc>
      </w:tr>
      <w:tr>
        <w:trPr>
          <w:trHeight w:val="280"/>
        </w:trPr>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980" w:type="dxa"/>
            <w:vAlign w:val="bottom"/>
          </w:tcPr>
          <w:p>
            <w:pPr>
              <w:ind w:left="20"/>
              <w:spacing w:after="0"/>
              <w:rPr>
                <w:sz w:val="20"/>
                <w:szCs w:val="20"/>
                <w:color w:val="auto"/>
              </w:rPr>
            </w:pPr>
            <w:r>
              <w:rPr>
                <w:rFonts w:ascii="Arial" w:cs="Arial" w:eastAsia="Arial" w:hAnsi="Arial"/>
                <w:sz w:val="22"/>
                <w:szCs w:val="22"/>
                <w:color w:val="auto"/>
              </w:rPr>
              <w:t>Title</w:t>
            </w:r>
          </w:p>
        </w:tc>
      </w:tr>
    </w:tbl>
    <w:p>
      <w:pPr>
        <w:sectPr>
          <w:pgSz w:w="11900" w:h="16838" w:orient="portrait"/>
          <w:cols w:equalWidth="0" w:num="1">
            <w:col w:w="11420"/>
          </w:cols>
          <w:pgMar w:left="240" w:top="1035"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color w:val="auto"/>
        </w:rPr>
        <w:t>Exhibit 10.32</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TRANSITION AGREEMENT</w:t>
      </w:r>
    </w:p>
    <w:p>
      <w:pPr>
        <w:spacing w:after="0" w:line="26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color w:val="auto"/>
        </w:rPr>
        <w:t>This Transition Agreement (“</w:t>
      </w:r>
      <w:r>
        <w:rPr>
          <w:rFonts w:ascii="Arial" w:cs="Arial" w:eastAsia="Arial" w:hAnsi="Arial"/>
          <w:sz w:val="21"/>
          <w:szCs w:val="21"/>
          <w:b w:val="1"/>
          <w:bCs w:val="1"/>
          <w:color w:val="auto"/>
        </w:rPr>
        <w:t>Agreement</w:t>
      </w:r>
      <w:r>
        <w:rPr>
          <w:rFonts w:ascii="Arial" w:cs="Arial" w:eastAsia="Arial" w:hAnsi="Arial"/>
          <w:sz w:val="21"/>
          <w:szCs w:val="21"/>
          <w:color w:val="auto"/>
        </w:rPr>
        <w:t>”) is made by and between Thomas M. Prescott (“</w:t>
      </w:r>
      <w:r>
        <w:rPr>
          <w:rFonts w:ascii="Arial" w:cs="Arial" w:eastAsia="Arial" w:hAnsi="Arial"/>
          <w:sz w:val="21"/>
          <w:szCs w:val="21"/>
          <w:b w:val="1"/>
          <w:bCs w:val="1"/>
          <w:color w:val="auto"/>
        </w:rPr>
        <w:t>Executive</w:t>
      </w:r>
      <w:r>
        <w:rPr>
          <w:rFonts w:ascii="Arial" w:cs="Arial" w:eastAsia="Arial" w:hAnsi="Arial"/>
          <w:sz w:val="21"/>
          <w:szCs w:val="21"/>
          <w:color w:val="auto"/>
        </w:rPr>
        <w:t>”) and Align Technology, Inc. (the “</w:t>
      </w:r>
      <w:r>
        <w:rPr>
          <w:rFonts w:ascii="Arial" w:cs="Arial" w:eastAsia="Arial" w:hAnsi="Arial"/>
          <w:sz w:val="21"/>
          <w:szCs w:val="21"/>
          <w:b w:val="1"/>
          <w:bCs w:val="1"/>
          <w:color w:val="auto"/>
        </w:rPr>
        <w:t>Company</w:t>
      </w:r>
      <w:r>
        <w:rPr>
          <w:rFonts w:ascii="Arial" w:cs="Arial" w:eastAsia="Arial" w:hAnsi="Arial"/>
          <w:sz w:val="21"/>
          <w:szCs w:val="21"/>
          <w:color w:val="auto"/>
        </w:rPr>
        <w:t>”) (collectively referred to as the “Parties” or individually referred to as a “</w:t>
      </w:r>
      <w:r>
        <w:rPr>
          <w:rFonts w:ascii="Arial" w:cs="Arial" w:eastAsia="Arial" w:hAnsi="Arial"/>
          <w:sz w:val="21"/>
          <w:szCs w:val="21"/>
          <w:b w:val="1"/>
          <w:bCs w:val="1"/>
          <w:color w:val="auto"/>
        </w:rPr>
        <w:t>Party</w:t>
      </w:r>
      <w:r>
        <w:rPr>
          <w:rFonts w:ascii="Arial" w:cs="Arial" w:eastAsia="Arial" w:hAnsi="Arial"/>
          <w:sz w:val="21"/>
          <w:szCs w:val="21"/>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Executive is currently employed by the Company as its President and Chief Executive Officer;</w:t>
      </w:r>
    </w:p>
    <w:p>
      <w:pPr>
        <w:spacing w:after="0" w:line="2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Company and Executive previously entered into an Amended and Restated Employment Agreement, dated November 8, 2012 (the “</w:t>
      </w:r>
      <w:r>
        <w:rPr>
          <w:rFonts w:ascii="Arial" w:cs="Arial" w:eastAsia="Arial" w:hAnsi="Arial"/>
          <w:sz w:val="22"/>
          <w:szCs w:val="22"/>
          <w:b w:val="1"/>
          <w:bCs w:val="1"/>
          <w:color w:val="auto"/>
        </w:rPr>
        <w:t>Employment Agreement</w:t>
      </w:r>
      <w:r>
        <w:rPr>
          <w:rFonts w:ascii="Arial" w:cs="Arial" w:eastAsia="Arial" w:hAnsi="Arial"/>
          <w:sz w:val="22"/>
          <w:szCs w:val="22"/>
          <w:color w:val="auto"/>
        </w:rPr>
        <w:t>”);</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Executive signed an Proprietary Information and Inventions Agreement with the Company on March 27, 2002 (the “</w:t>
      </w:r>
      <w:r>
        <w:rPr>
          <w:rFonts w:ascii="Arial" w:cs="Arial" w:eastAsia="Arial" w:hAnsi="Arial"/>
          <w:sz w:val="22"/>
          <w:szCs w:val="22"/>
          <w:b w:val="1"/>
          <w:bCs w:val="1"/>
          <w:color w:val="auto"/>
        </w:rPr>
        <w:t>Proprietary Information Agreement</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WHEREAS, the Company granted Executive a stock option to purchase 90,000 shares of the Company’s common stock on February 18, 2011 (the “</w:t>
      </w:r>
      <w:r>
        <w:rPr>
          <w:rFonts w:ascii="Arial" w:cs="Arial" w:eastAsia="Arial" w:hAnsi="Arial"/>
          <w:sz w:val="21"/>
          <w:szCs w:val="21"/>
          <w:b w:val="1"/>
          <w:bCs w:val="1"/>
          <w:color w:val="auto"/>
        </w:rPr>
        <w:t>Options</w:t>
      </w:r>
      <w:r>
        <w:rPr>
          <w:rFonts w:ascii="Arial" w:cs="Arial" w:eastAsia="Arial" w:hAnsi="Arial"/>
          <w:sz w:val="21"/>
          <w:szCs w:val="21"/>
          <w:color w:val="auto"/>
        </w:rPr>
        <w:t>”), subject to the terms and conditions of the Company’s 2005 Incentive Plan, as amended (the “</w:t>
      </w:r>
      <w:r>
        <w:rPr>
          <w:rFonts w:ascii="Arial" w:cs="Arial" w:eastAsia="Arial" w:hAnsi="Arial"/>
          <w:sz w:val="21"/>
          <w:szCs w:val="21"/>
          <w:b w:val="1"/>
          <w:bCs w:val="1"/>
          <w:color w:val="auto"/>
        </w:rPr>
        <w:t>Plan</w:t>
      </w:r>
      <w:r>
        <w:rPr>
          <w:rFonts w:ascii="Arial" w:cs="Arial" w:eastAsia="Arial" w:hAnsi="Arial"/>
          <w:sz w:val="21"/>
          <w:szCs w:val="21"/>
          <w:color w:val="auto"/>
        </w:rPr>
        <w:t>”) and Executive’s underlying stock option agreement (the “</w:t>
      </w:r>
      <w:r>
        <w:rPr>
          <w:rFonts w:ascii="Arial" w:cs="Arial" w:eastAsia="Arial" w:hAnsi="Arial"/>
          <w:sz w:val="21"/>
          <w:szCs w:val="21"/>
          <w:b w:val="1"/>
          <w:bCs w:val="1"/>
          <w:color w:val="auto"/>
        </w:rPr>
        <w:t>Option Agreement</w:t>
      </w:r>
      <w:r>
        <w:rPr>
          <w:rFonts w:ascii="Arial" w:cs="Arial" w:eastAsia="Arial" w:hAnsi="Arial"/>
          <w:sz w:val="21"/>
          <w:szCs w:val="21"/>
          <w:color w:val="auto"/>
        </w:rPr>
        <w:t>”);</w:t>
      </w:r>
    </w:p>
    <w:p>
      <w:pPr>
        <w:spacing w:after="0" w:line="16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WHEREAS, the Company granted Executive (a) a restricted stock unit award for 62,500 shares of the Company’s common stock on February 20, 2012, (b) a restricted stock unit award for 55,000 shares of the Company’s common stock on February 20, 2013, (c) a restricted stock unit award for 40,000 shares of the Company’s common stock on February 20, 2014, (d) a restricted stock unit award for an additional 20,000 shares of the Company’s common stock on February 20, 2014, and (e) a restricted stock unit award for 49,000 shares of the Company’s common stock on February 20, 2015 (the “</w:t>
      </w:r>
      <w:r>
        <w:rPr>
          <w:rFonts w:ascii="Arial" w:cs="Arial" w:eastAsia="Arial" w:hAnsi="Arial"/>
          <w:sz w:val="19"/>
          <w:szCs w:val="19"/>
          <w:b w:val="1"/>
          <w:bCs w:val="1"/>
          <w:color w:val="auto"/>
        </w:rPr>
        <w:t>RSUs</w:t>
      </w:r>
      <w:r>
        <w:rPr>
          <w:rFonts w:ascii="Arial" w:cs="Arial" w:eastAsia="Arial" w:hAnsi="Arial"/>
          <w:sz w:val="19"/>
          <w:szCs w:val="19"/>
          <w:color w:val="auto"/>
        </w:rPr>
        <w:t>”), in each case, subject to the terms and conditions of the Plan and the applicable underlying restricted stock unit agreement (the “</w:t>
      </w:r>
      <w:r>
        <w:rPr>
          <w:rFonts w:ascii="Arial" w:cs="Arial" w:eastAsia="Arial" w:hAnsi="Arial"/>
          <w:sz w:val="19"/>
          <w:szCs w:val="19"/>
          <w:b w:val="1"/>
          <w:bCs w:val="1"/>
          <w:color w:val="auto"/>
        </w:rPr>
        <w:t>RSU Agreements</w:t>
      </w:r>
      <w:r>
        <w:rPr>
          <w:rFonts w:ascii="Arial" w:cs="Arial" w:eastAsia="Arial" w:hAnsi="Arial"/>
          <w:sz w:val="19"/>
          <w:szCs w:val="19"/>
          <w:color w:val="auto"/>
        </w:rPr>
        <w:t>”);</w:t>
      </w:r>
    </w:p>
    <w:p>
      <w:pPr>
        <w:spacing w:after="0" w:line="15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WHEREAS, the Company granted Executive (a) a market stock unit award (with a target number of 75,000 shares of the Company’s common stock and a maximum number of 112,500 shares of the Company’s common stock) on February 20, 2013, (b) a market stock unit award (with a target number of 60,000 shares of the Company’s common stock and a maximum number of 90,000 shares of the Company’s common stock) on February 20, 2014, (c) a market stock unit award (with a target number of 30,000 shares of the Company’s common stock and a maximum number of 45,000 shares of the Company’s common stock) on February 20, 2014, and (d) a market stock unit award (with a target number of 49,000 shares of the Company’s common stock and a maximum number of 73,500 shares of the Company’s common stock) on February 20, 2015, (the “</w:t>
      </w:r>
      <w:r>
        <w:rPr>
          <w:rFonts w:ascii="Arial" w:cs="Arial" w:eastAsia="Arial" w:hAnsi="Arial"/>
          <w:sz w:val="19"/>
          <w:szCs w:val="19"/>
          <w:b w:val="1"/>
          <w:bCs w:val="1"/>
          <w:color w:val="auto"/>
        </w:rPr>
        <w:t>MSUs</w:t>
      </w:r>
      <w:r>
        <w:rPr>
          <w:rFonts w:ascii="Arial" w:cs="Arial" w:eastAsia="Arial" w:hAnsi="Arial"/>
          <w:sz w:val="19"/>
          <w:szCs w:val="19"/>
          <w:color w:val="auto"/>
        </w:rPr>
        <w:t>”), in each case, subject to the terms and conditions of the Plan and the applicable underlying market stock unit agreement (the “</w:t>
      </w:r>
      <w:r>
        <w:rPr>
          <w:rFonts w:ascii="Arial" w:cs="Arial" w:eastAsia="Arial" w:hAnsi="Arial"/>
          <w:sz w:val="19"/>
          <w:szCs w:val="19"/>
          <w:b w:val="1"/>
          <w:bCs w:val="1"/>
          <w:color w:val="auto"/>
        </w:rPr>
        <w:t>MSU Agreement</w:t>
      </w:r>
      <w:r>
        <w:rPr>
          <w:rFonts w:ascii="Arial" w:cs="Arial" w:eastAsia="Arial" w:hAnsi="Arial"/>
          <w:sz w:val="19"/>
          <w:szCs w:val="19"/>
          <w:color w:val="auto"/>
        </w:rPr>
        <w:t>” and, collectively, the Options, RSUs and MSUs (the “</w:t>
      </w:r>
      <w:r>
        <w:rPr>
          <w:rFonts w:ascii="Arial" w:cs="Arial" w:eastAsia="Arial" w:hAnsi="Arial"/>
          <w:sz w:val="19"/>
          <w:szCs w:val="19"/>
          <w:b w:val="1"/>
          <w:bCs w:val="1"/>
          <w:color w:val="auto"/>
        </w:rPr>
        <w:t>Equity Awards</w:t>
      </w:r>
      <w:r>
        <w:rPr>
          <w:rFonts w:ascii="Arial" w:cs="Arial" w:eastAsia="Arial" w:hAnsi="Arial"/>
          <w:sz w:val="19"/>
          <w:szCs w:val="19"/>
          <w:color w:val="auto"/>
        </w:rPr>
        <w:t>”) and the Plan, Option Agreement, RSU Agreements, MSU Agreements, and other Company equity award agreements (the “</w:t>
      </w:r>
      <w:r>
        <w:rPr>
          <w:rFonts w:ascii="Arial" w:cs="Arial" w:eastAsia="Arial" w:hAnsi="Arial"/>
          <w:sz w:val="19"/>
          <w:szCs w:val="19"/>
          <w:b w:val="1"/>
          <w:bCs w:val="1"/>
          <w:color w:val="auto"/>
        </w:rPr>
        <w:t>Stock Agreements</w:t>
      </w:r>
      <w:r>
        <w:rPr>
          <w:rFonts w:ascii="Arial" w:cs="Arial" w:eastAsia="Arial" w:hAnsi="Arial"/>
          <w:sz w:val="19"/>
          <w:szCs w:val="19"/>
          <w:color w:val="auto"/>
        </w:rPr>
        <w:t>”));</w:t>
      </w:r>
    </w:p>
    <w:p>
      <w:pPr>
        <w:spacing w:after="0" w:line="200" w:lineRule="exact"/>
        <w:rPr>
          <w:sz w:val="20"/>
          <w:szCs w:val="20"/>
          <w:color w:val="auto"/>
        </w:rPr>
      </w:pPr>
    </w:p>
    <w:p>
      <w:pPr>
        <w:spacing w:after="0" w:line="24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32" w:right="239" w:bottom="1440" w:gutter="0" w:footer="0" w:header="0"/>
        </w:sectPr>
      </w:pPr>
    </w:p>
    <w:bookmarkStart w:id="60" w:name="page61"/>
    <w:bookmarkEnd w:id="60"/>
    <w:p>
      <w:pPr>
        <w:ind w:left="10240"/>
        <w:spacing w:after="0"/>
        <w:rPr>
          <w:sz w:val="20"/>
          <w:szCs w:val="20"/>
          <w:color w:val="auto"/>
        </w:rPr>
      </w:pPr>
      <w:r>
        <w:rPr>
          <w:rFonts w:ascii="Arial" w:cs="Arial" w:eastAsia="Arial" w:hAnsi="Arial"/>
          <w:sz w:val="19"/>
          <w:szCs w:val="19"/>
          <w:color w:val="auto"/>
        </w:rPr>
        <w:t>Exhibit 10.32</w:t>
      </w:r>
    </w:p>
    <w:p>
      <w:pPr>
        <w:spacing w:after="0" w:line="2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Executive will voluntarily retire from his employment with the Company effective on June 1, 2015 (the “</w:t>
      </w:r>
      <w:r>
        <w:rPr>
          <w:rFonts w:ascii="Arial" w:cs="Arial" w:eastAsia="Arial" w:hAnsi="Arial"/>
          <w:sz w:val="22"/>
          <w:szCs w:val="22"/>
          <w:b w:val="1"/>
          <w:bCs w:val="1"/>
          <w:color w:val="auto"/>
        </w:rPr>
        <w:t>Separation Date</w:t>
      </w:r>
      <w:r>
        <w:rPr>
          <w:rFonts w:ascii="Arial" w:cs="Arial" w:eastAsia="Arial" w:hAnsi="Arial"/>
          <w:sz w:val="22"/>
          <w:szCs w:val="22"/>
          <w:color w:val="auto"/>
        </w:rPr>
        <w:t>”); and</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mutual promises made herein, the Company and Executive hereby agree as follows: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COVENANTS</w:t>
      </w:r>
    </w:p>
    <w:p>
      <w:pPr>
        <w:spacing w:after="0" w:line="266" w:lineRule="exact"/>
        <w:rPr>
          <w:sz w:val="20"/>
          <w:szCs w:val="20"/>
          <w:color w:val="auto"/>
        </w:rPr>
      </w:pPr>
    </w:p>
    <w:p>
      <w:pPr>
        <w:ind w:left="1460" w:hanging="804"/>
        <w:spacing w:after="0"/>
        <w:tabs>
          <w:tab w:leader="none" w:pos="146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Consideration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305"/>
        <w:spacing w:after="0" w:line="265" w:lineRule="auto"/>
        <w:tabs>
          <w:tab w:leader="none" w:pos="2095" w:val="left"/>
        </w:tabs>
        <w:numPr>
          <w:ilvl w:val="1"/>
          <w:numId w:val="39"/>
        </w:numPr>
        <w:rPr>
          <w:rFonts w:ascii="Arial" w:cs="Arial" w:eastAsia="Arial" w:hAnsi="Arial"/>
          <w:sz w:val="21"/>
          <w:szCs w:val="21"/>
          <w:color w:val="auto"/>
        </w:rPr>
      </w:pPr>
      <w:r>
        <w:rPr>
          <w:rFonts w:ascii="Arial" w:cs="Arial" w:eastAsia="Arial" w:hAnsi="Arial"/>
          <w:sz w:val="21"/>
          <w:szCs w:val="21"/>
          <w:u w:val="single" w:color="auto"/>
          <w:color w:val="auto"/>
        </w:rPr>
        <w:t>Payment</w:t>
      </w:r>
      <w:r>
        <w:rPr>
          <w:rFonts w:ascii="Arial" w:cs="Arial" w:eastAsia="Arial" w:hAnsi="Arial"/>
          <w:sz w:val="21"/>
          <w:szCs w:val="21"/>
          <w:color w:val="auto"/>
        </w:rPr>
        <w:t>. The Company agrees to pay Executive a total of Three Hundred Ninety Three Thousand Seven Hundred and Fifty Dollars ($393,750.00), at the rate of Fifty Six Thousand Two Hundred and Fifty Dollars per month ($56,250.00), less applicable withholdings, for seven (7) months, beginning on the first regular payroll date following the Effective Date (e.g., through December 31, 2015) in accordance with the Company’s regular payroll practices.</w:t>
      </w:r>
    </w:p>
    <w:p>
      <w:pPr>
        <w:spacing w:after="0" w:line="216" w:lineRule="exact"/>
        <w:rPr>
          <w:rFonts w:ascii="Arial" w:cs="Arial" w:eastAsia="Arial" w:hAnsi="Arial"/>
          <w:sz w:val="21"/>
          <w:szCs w:val="21"/>
          <w:color w:val="auto"/>
        </w:rPr>
      </w:pPr>
    </w:p>
    <w:p>
      <w:pPr>
        <w:jc w:val="both"/>
        <w:ind w:firstLine="1305"/>
        <w:spacing w:after="0" w:line="297" w:lineRule="auto"/>
        <w:tabs>
          <w:tab w:leader="none" w:pos="2107" w:val="left"/>
        </w:tabs>
        <w:numPr>
          <w:ilvl w:val="1"/>
          <w:numId w:val="39"/>
        </w:numPr>
        <w:rPr>
          <w:rFonts w:ascii="Arial" w:cs="Arial" w:eastAsia="Arial" w:hAnsi="Arial"/>
          <w:sz w:val="19"/>
          <w:szCs w:val="19"/>
          <w:color w:val="auto"/>
        </w:rPr>
      </w:pPr>
      <w:r>
        <w:rPr>
          <w:rFonts w:ascii="Arial" w:cs="Arial" w:eastAsia="Arial" w:hAnsi="Arial"/>
          <w:sz w:val="19"/>
          <w:szCs w:val="19"/>
          <w:u w:val="single" w:color="auto"/>
          <w:color w:val="auto"/>
        </w:rPr>
        <w:t>Prorated Annual Bonus</w:t>
      </w:r>
      <w:r>
        <w:rPr>
          <w:rFonts w:ascii="Arial" w:cs="Arial" w:eastAsia="Arial" w:hAnsi="Arial"/>
          <w:sz w:val="19"/>
          <w:szCs w:val="19"/>
          <w:color w:val="auto"/>
        </w:rPr>
        <w:t>. For fiscal year 2015, Executive shall continue to be eligible to receive a prorated annual bonus based on his service to the Company through May 31, 2015, as determined by the Company’s Board of Directors (the “</w:t>
      </w:r>
      <w:r>
        <w:rPr>
          <w:rFonts w:ascii="Arial" w:cs="Arial" w:eastAsia="Arial" w:hAnsi="Arial"/>
          <w:sz w:val="19"/>
          <w:szCs w:val="19"/>
          <w:b w:val="1"/>
          <w:bCs w:val="1"/>
          <w:color w:val="auto"/>
        </w:rPr>
        <w:t>Board</w:t>
      </w:r>
      <w:r>
        <w:rPr>
          <w:rFonts w:ascii="Arial" w:cs="Arial" w:eastAsia="Arial" w:hAnsi="Arial"/>
          <w:sz w:val="19"/>
          <w:szCs w:val="19"/>
          <w:color w:val="auto"/>
        </w:rPr>
        <w:t>”) upon recommendation by the Compensation Committee of the Board, in accordance with the Company’s standard practices. Any bonus received under this Section 1.b will be paid, less applicable withholdings, to Executive on the date such bonus would have been paid had Executive remained employed by the Company, but in no event later than March 15, 2016.</w:t>
      </w:r>
    </w:p>
    <w:p>
      <w:pPr>
        <w:spacing w:after="0" w:line="187" w:lineRule="exact"/>
        <w:rPr>
          <w:rFonts w:ascii="Arial" w:cs="Arial" w:eastAsia="Arial" w:hAnsi="Arial"/>
          <w:sz w:val="19"/>
          <w:szCs w:val="19"/>
          <w:color w:val="auto"/>
        </w:rPr>
      </w:pPr>
    </w:p>
    <w:p>
      <w:pPr>
        <w:jc w:val="both"/>
        <w:ind w:firstLine="1305"/>
        <w:spacing w:after="0" w:line="265" w:lineRule="auto"/>
        <w:tabs>
          <w:tab w:leader="none" w:pos="2095" w:val="left"/>
        </w:tabs>
        <w:numPr>
          <w:ilvl w:val="1"/>
          <w:numId w:val="39"/>
        </w:numPr>
        <w:rPr>
          <w:rFonts w:ascii="Arial" w:cs="Arial" w:eastAsia="Arial" w:hAnsi="Arial"/>
          <w:sz w:val="20"/>
          <w:szCs w:val="20"/>
          <w:color w:val="auto"/>
        </w:rPr>
      </w:pPr>
      <w:r>
        <w:rPr>
          <w:rFonts w:ascii="Arial" w:cs="Arial" w:eastAsia="Arial" w:hAnsi="Arial"/>
          <w:sz w:val="20"/>
          <w:szCs w:val="20"/>
          <w:u w:val="single" w:color="auto"/>
          <w:color w:val="auto"/>
        </w:rPr>
        <w:t>Continued Board Membership</w:t>
      </w:r>
      <w:r>
        <w:rPr>
          <w:rFonts w:ascii="Arial" w:cs="Arial" w:eastAsia="Arial" w:hAnsi="Arial"/>
          <w:sz w:val="20"/>
          <w:szCs w:val="20"/>
          <w:color w:val="auto"/>
        </w:rPr>
        <w:t>. Executive shall continue to serve as a member of the Board as a non-employee director through the 2016 annual meeting of Company stockholders (the “</w:t>
      </w:r>
      <w:r>
        <w:rPr>
          <w:rFonts w:ascii="Arial" w:cs="Arial" w:eastAsia="Arial" w:hAnsi="Arial"/>
          <w:sz w:val="20"/>
          <w:szCs w:val="20"/>
          <w:b w:val="1"/>
          <w:bCs w:val="1"/>
          <w:color w:val="auto"/>
        </w:rPr>
        <w:t>2016 Annual Meeting</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 however</w:t>
      </w:r>
      <w:r>
        <w:rPr>
          <w:rFonts w:ascii="Arial" w:cs="Arial" w:eastAsia="Arial" w:hAnsi="Arial"/>
          <w:sz w:val="20"/>
          <w:szCs w:val="20"/>
          <w:color w:val="auto"/>
        </w:rPr>
        <w:t>, the Parties agree that (1) Executive shall forego the benefit of and shall not receive any equity award grants for Executive’s service as a member of the Board through the 2016 Annual Meeting, and (2) Executive’s retainer and committee fees for such service as a non-employee director shall be prorated (i.e., Board retainer and committee fees for service provided through December 31, 2015 shall be multiplied by a fraction of seven-twelfths (7/12</w:t>
      </w:r>
      <w:r>
        <w:rPr>
          <w:rFonts w:ascii="Arial" w:cs="Arial" w:eastAsia="Arial" w:hAnsi="Arial"/>
          <w:sz w:val="26"/>
          <w:szCs w:val="26"/>
          <w:color w:val="auto"/>
          <w:vertAlign w:val="superscript"/>
        </w:rPr>
        <w:t>ths</w:t>
      </w:r>
      <w:r>
        <w:rPr>
          <w:rFonts w:ascii="Arial" w:cs="Arial" w:eastAsia="Arial" w:hAnsi="Arial"/>
          <w:sz w:val="20"/>
          <w:szCs w:val="20"/>
          <w:color w:val="auto"/>
        </w:rPr>
        <w:t>)). For service as a member of the Board following the 2016 Annual Meeting, Executive shall, subject to the Company’s by-laws, certificate of incorporation and Corporate Governance Guidelines, as such may be amended from time to time, hold office as a director until the expiration of the term for which he is elected and until his successor is elected and qualified or until his earlier resignation or removal. Executive agrees to resign from the Board upon the Board’s determination that Executive shall not be placed on the Board’s proposed slate of director nominees for Company stockholder approval, such resignation to take effect immediately prior to such stockholder vote. Executive, as a non-employee director, shall be eligible to receive equity award grants provided to Board members in accordance with Company standard practice for service following the 2016 Annual Meeting.</w:t>
      </w:r>
    </w:p>
    <w:p>
      <w:pPr>
        <w:spacing w:after="0" w:line="215" w:lineRule="exact"/>
        <w:rPr>
          <w:rFonts w:ascii="Arial" w:cs="Arial" w:eastAsia="Arial" w:hAnsi="Arial"/>
          <w:sz w:val="20"/>
          <w:szCs w:val="20"/>
          <w:color w:val="auto"/>
        </w:rPr>
      </w:pPr>
    </w:p>
    <w:p>
      <w:pPr>
        <w:jc w:val="both"/>
        <w:ind w:firstLine="1305"/>
        <w:spacing w:after="0" w:line="263" w:lineRule="auto"/>
        <w:tabs>
          <w:tab w:leader="none" w:pos="2107" w:val="left"/>
        </w:tabs>
        <w:numPr>
          <w:ilvl w:val="1"/>
          <w:numId w:val="39"/>
        </w:numPr>
        <w:rPr>
          <w:rFonts w:ascii="Arial" w:cs="Arial" w:eastAsia="Arial" w:hAnsi="Arial"/>
          <w:sz w:val="21"/>
          <w:szCs w:val="21"/>
          <w:color w:val="auto"/>
        </w:rPr>
      </w:pPr>
      <w:r>
        <w:rPr>
          <w:rFonts w:ascii="Arial" w:cs="Arial" w:eastAsia="Arial" w:hAnsi="Arial"/>
          <w:sz w:val="21"/>
          <w:szCs w:val="21"/>
          <w:u w:val="single" w:color="auto"/>
          <w:color w:val="auto"/>
        </w:rPr>
        <w:t>Equity Award Acceleration</w:t>
      </w:r>
      <w:r>
        <w:rPr>
          <w:rFonts w:ascii="Arial" w:cs="Arial" w:eastAsia="Arial" w:hAnsi="Arial"/>
          <w:sz w:val="21"/>
          <w:szCs w:val="21"/>
          <w:color w:val="auto"/>
        </w:rPr>
        <w:t>. Executive shall immediately vest in all outstanding Company stock options and restricted stock unit awards in the event of either Executive’s death or Disability or a Change in Control (as defined in the Plan), provided that Executive remains in the service of the Company as a member of the Board through such date. If any such award is to vest or the amount of any such award is to be determined based on the achievement of performance criteria, such award will vest as to one hundred percent (100%) assuming the performance criteria have been</w:t>
      </w:r>
    </w:p>
    <w:p>
      <w:pPr>
        <w:spacing w:after="0" w:line="20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132" w:right="239" w:bottom="1440" w:gutter="0" w:footer="0" w:header="0"/>
        </w:sectPr>
      </w:pPr>
    </w:p>
    <w:bookmarkStart w:id="61" w:name="page62"/>
    <w:bookmarkEnd w:id="61"/>
    <w:p>
      <w:pPr>
        <w:ind w:left="10240"/>
        <w:spacing w:after="0"/>
        <w:rPr>
          <w:sz w:val="20"/>
          <w:szCs w:val="20"/>
          <w:color w:val="auto"/>
        </w:rPr>
      </w:pPr>
      <w:r>
        <w:rPr>
          <w:rFonts w:ascii="Arial" w:cs="Arial" w:eastAsia="Arial" w:hAnsi="Arial"/>
          <w:sz w:val="19"/>
          <w:szCs w:val="19"/>
          <w:color w:val="auto"/>
        </w:rPr>
        <w:t>Exhibit 10.32</w:t>
      </w:r>
    </w:p>
    <w:p>
      <w:pPr>
        <w:spacing w:after="0" w:line="275" w:lineRule="exact"/>
        <w:rPr>
          <w:sz w:val="20"/>
          <w:szCs w:val="20"/>
          <w:color w:val="auto"/>
        </w:rPr>
      </w:pPr>
    </w:p>
    <w:p>
      <w:pPr>
        <w:jc w:val="both"/>
        <w:spacing w:after="0" w:line="315" w:lineRule="auto"/>
        <w:rPr>
          <w:sz w:val="20"/>
          <w:szCs w:val="20"/>
          <w:color w:val="auto"/>
        </w:rPr>
      </w:pPr>
      <w:r>
        <w:rPr>
          <w:rFonts w:ascii="Arial" w:cs="Arial" w:eastAsia="Arial" w:hAnsi="Arial"/>
          <w:sz w:val="19"/>
          <w:szCs w:val="19"/>
          <w:color w:val="auto"/>
        </w:rPr>
        <w:t>achieved at target levels for the relevant performance period(s). For purposes of this Agreement, “</w:t>
      </w:r>
      <w:r>
        <w:rPr>
          <w:rFonts w:ascii="Arial" w:cs="Arial" w:eastAsia="Arial" w:hAnsi="Arial"/>
          <w:sz w:val="19"/>
          <w:szCs w:val="19"/>
          <w:b w:val="1"/>
          <w:bCs w:val="1"/>
          <w:color w:val="auto"/>
        </w:rPr>
        <w:t>Disability</w:t>
      </w:r>
      <w:r>
        <w:rPr>
          <w:rFonts w:ascii="Arial" w:cs="Arial" w:eastAsia="Arial" w:hAnsi="Arial"/>
          <w:sz w:val="19"/>
          <w:szCs w:val="19"/>
          <w:color w:val="auto"/>
        </w:rPr>
        <w:t xml:space="preserve"> shall mean that the Executive has become so physically or mentally disabled as to be incapable of satisfactorily continuing service with the Company as a non-employee director of the Board for a period of one hundred and eighty (180) consecutive calendar days.</w:t>
      </w:r>
    </w:p>
    <w:p>
      <w:pPr>
        <w:spacing w:after="0" w:line="172" w:lineRule="exact"/>
        <w:rPr>
          <w:sz w:val="20"/>
          <w:szCs w:val="20"/>
          <w:color w:val="auto"/>
        </w:rPr>
      </w:pPr>
    </w:p>
    <w:p>
      <w:pPr>
        <w:jc w:val="both"/>
        <w:ind w:firstLine="656"/>
        <w:spacing w:after="0" w:line="292" w:lineRule="auto"/>
        <w:tabs>
          <w:tab w:leader="none" w:pos="1459"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Equity Awards &amp; Stock</w:t>
      </w:r>
      <w:r>
        <w:rPr>
          <w:rFonts w:ascii="Arial" w:cs="Arial" w:eastAsia="Arial" w:hAnsi="Arial"/>
          <w:sz w:val="19"/>
          <w:szCs w:val="19"/>
          <w:color w:val="auto"/>
        </w:rPr>
        <w:t xml:space="preserve">. The Parties agree that (a) Executive is the holder of 281,871 shares of Company Common Stock as of the Separation Date, (b) Executive will be considered to have vested in the Equity Awards through the Separation Date as provided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and (c) to the extent Executive provides continued service by reason of Executive’s position as a non-employee director of the Board, subject to the terms and conditions of the Stock Agreements, Executive shall continue to vest in the Equity Awards and any awards granted following the Effective Date, if any. Executive’s shares of Company Common Stock and each of Executive’s Equity Awards shall continue to be governed by the terms and conditions (including with respect to, but not limited to, vesting and exercisability) of the Stock Agreements, as applicable.</w:t>
      </w:r>
    </w:p>
    <w:p>
      <w:pPr>
        <w:spacing w:after="0" w:line="192" w:lineRule="exact"/>
        <w:rPr>
          <w:rFonts w:ascii="Arial" w:cs="Arial" w:eastAsia="Arial" w:hAnsi="Arial"/>
          <w:sz w:val="19"/>
          <w:szCs w:val="19"/>
          <w:color w:val="auto"/>
        </w:rPr>
      </w:pPr>
    </w:p>
    <w:p>
      <w:pPr>
        <w:jc w:val="both"/>
        <w:ind w:firstLine="656"/>
        <w:spacing w:after="0" w:line="259" w:lineRule="auto"/>
        <w:tabs>
          <w:tab w:leader="none" w:pos="1459"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Benefits; Healthcare Bonus</w:t>
      </w:r>
      <w:r>
        <w:rPr>
          <w:rFonts w:ascii="Arial" w:cs="Arial" w:eastAsia="Arial" w:hAnsi="Arial"/>
          <w:sz w:val="21"/>
          <w:szCs w:val="21"/>
          <w:color w:val="auto"/>
        </w:rPr>
        <w:t>. Executive’s group health insurance benefits shall cease as the last day of June 2015, subject to Executive’s right to continue his group health insurance coverage under Section 4980B of the Internal Revenue Code, and any state law equivalent (“</w:t>
      </w:r>
      <w:r>
        <w:rPr>
          <w:rFonts w:ascii="Arial" w:cs="Arial" w:eastAsia="Arial" w:hAnsi="Arial"/>
          <w:sz w:val="21"/>
          <w:szCs w:val="21"/>
          <w:b w:val="1"/>
          <w:bCs w:val="1"/>
          <w:color w:val="auto"/>
        </w:rPr>
        <w:t>COBRA</w:t>
      </w:r>
      <w:r>
        <w:rPr>
          <w:rFonts w:ascii="Arial" w:cs="Arial" w:eastAsia="Arial" w:hAnsi="Arial"/>
          <w:sz w:val="21"/>
          <w:szCs w:val="21"/>
          <w:color w:val="auto"/>
        </w:rPr>
        <w:t>”) and subject to Executive’s right to participate in any group health benefit plan under which members of the Board are eligible to participate, subject to the terms and conditions thereof. Except as specifically provided herein, Executive’s participation in all benefits and incidents of employment, including, but not limited to, vesting in stock options, and the accrual of salary, bonuses, vacation, paid time off, and other fringe benefits ceased as of the Separation Date. Executive shall receive a bonus in an amount equal to $25,000, less applicable withholdings, on the first regular payroll date following the Effective Date, which is intended to assist Executive with his post-termination medical care costs, but which may be used by Executive for any purpose.</w:t>
      </w:r>
    </w:p>
    <w:p>
      <w:pPr>
        <w:spacing w:after="0" w:line="220" w:lineRule="exact"/>
        <w:rPr>
          <w:rFonts w:ascii="Arial" w:cs="Arial" w:eastAsia="Arial" w:hAnsi="Arial"/>
          <w:sz w:val="21"/>
          <w:szCs w:val="21"/>
          <w:color w:val="auto"/>
        </w:rPr>
      </w:pPr>
    </w:p>
    <w:p>
      <w:pPr>
        <w:jc w:val="both"/>
        <w:ind w:firstLine="656"/>
        <w:spacing w:after="0" w:line="248" w:lineRule="auto"/>
        <w:tabs>
          <w:tab w:leader="none" w:pos="1459"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Payment of Salary and Receipt of All Benefits</w:t>
      </w:r>
      <w:r>
        <w:rPr>
          <w:rFonts w:ascii="Arial" w:cs="Arial" w:eastAsia="Arial" w:hAnsi="Arial"/>
          <w:sz w:val="22"/>
          <w:szCs w:val="22"/>
          <w:color w:val="auto"/>
        </w:rPr>
        <w:t>. Executive acknowledges and represents that, other than the consideration set forth in this Agreement, the Company has paid or provided all salary, wages, bonuses, accrued vacation, paid time off, premiums, leaves, housing allowances, relocation costs, interest, severance, outplacement costs, fees, reimbursable expenses, commissions, stock, equity award vesting, and any and all other benefits and compensation due to Executive through the Effective Date.</w:t>
      </w:r>
    </w:p>
    <w:p>
      <w:pPr>
        <w:spacing w:after="0" w:line="232" w:lineRule="exact"/>
        <w:rPr>
          <w:rFonts w:ascii="Arial" w:cs="Arial" w:eastAsia="Arial" w:hAnsi="Arial"/>
          <w:sz w:val="22"/>
          <w:szCs w:val="22"/>
          <w:color w:val="auto"/>
        </w:rPr>
      </w:pPr>
    </w:p>
    <w:p>
      <w:pPr>
        <w:jc w:val="both"/>
        <w:ind w:firstLine="656"/>
        <w:spacing w:after="0" w:line="260" w:lineRule="auto"/>
        <w:tabs>
          <w:tab w:leader="none" w:pos="1445" w:val="left"/>
        </w:tabs>
        <w:numPr>
          <w:ilvl w:val="0"/>
          <w:numId w:val="40"/>
        </w:numPr>
        <w:rPr>
          <w:rFonts w:ascii="Arial" w:cs="Arial" w:eastAsia="Arial" w:hAnsi="Arial"/>
          <w:sz w:val="19"/>
          <w:szCs w:val="19"/>
          <w:color w:val="auto"/>
        </w:rPr>
      </w:pPr>
      <w:r>
        <w:rPr>
          <w:rFonts w:ascii="Arial" w:cs="Arial" w:eastAsia="Arial" w:hAnsi="Arial"/>
          <w:sz w:val="21"/>
          <w:szCs w:val="21"/>
          <w:u w:val="single" w:color="auto"/>
          <w:color w:val="auto"/>
        </w:rPr>
        <w:t>Company’s Release of Claims</w:t>
      </w:r>
      <w:r>
        <w:rPr>
          <w:rFonts w:ascii="Arial" w:cs="Arial" w:eastAsia="Arial" w:hAnsi="Arial"/>
          <w:sz w:val="21"/>
          <w:szCs w:val="21"/>
          <w:color w:val="auto"/>
        </w:rPr>
        <w:t>. The Company agrees that the foregoing consideration represents settlement in full of all outstanding obligations owed to the Company by the Executive. The Company hereby and forever releases the Executive and his respective heirs, family members, executors, agents, and assigns, from, and agrees not to sue concerning, or in any manner to institute, prosecute, or pursue, any claim, complaint, charge, duty, obligation, demand, or cause of action relating to any matters of any kind, whether presently known or unknown, suspected or unsuspected, that the Company may possess against the Executive arising from any omissions, acts, facts, or damages that have occurred up until and including the Effective Date of this Agreement. Notwithstanding any release provided for herein, this Agreement shall not serve to release any claims by the Company against Executive for any claims relating to fraud, embezzlement, misappropriation of the Company’s trade secrets, or conduct that is violative of criminal law.</w:t>
      </w:r>
    </w:p>
    <w:p>
      <w:pPr>
        <w:spacing w:after="0" w:line="200" w:lineRule="exact"/>
        <w:rPr>
          <w:sz w:val="20"/>
          <w:szCs w:val="20"/>
          <w:color w:val="auto"/>
        </w:rPr>
      </w:pPr>
    </w:p>
    <w:p>
      <w:pPr>
        <w:spacing w:after="0" w:line="27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132"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color w:val="auto"/>
        </w:rPr>
        <w:t>Exhibit 10.32</w:t>
      </w:r>
    </w:p>
    <w:p>
      <w:pPr>
        <w:spacing w:after="0" w:line="247" w:lineRule="exact"/>
        <w:rPr>
          <w:sz w:val="20"/>
          <w:szCs w:val="20"/>
          <w:color w:val="auto"/>
        </w:rPr>
      </w:pPr>
    </w:p>
    <w:p>
      <w:pPr>
        <w:jc w:val="both"/>
        <w:ind w:firstLine="656"/>
        <w:spacing w:after="0" w:line="289" w:lineRule="auto"/>
        <w:tabs>
          <w:tab w:leader="none" w:pos="1459"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Executive’s Release of Claims</w:t>
      </w:r>
      <w:r>
        <w:rPr>
          <w:rFonts w:ascii="Arial" w:cs="Arial" w:eastAsia="Arial" w:hAnsi="Arial"/>
          <w:sz w:val="19"/>
          <w:szCs w:val="19"/>
          <w:color w:val="auto"/>
        </w:rPr>
        <w:t>. Executive agrees that the foregoing consideration represents settlement in full of all outstanding obligations owed to Executive by the Company and its current and former officers, directors, employees, agents, investors, attorneys, stockholders, administrators, affiliates, benefit plans, plan administrators, insurers, trustees, divisions, and subsidiaries, and predecessor and successor corporations and assigns (collectively, the “</w:t>
      </w:r>
      <w:r>
        <w:rPr>
          <w:rFonts w:ascii="Arial" w:cs="Arial" w:eastAsia="Arial" w:hAnsi="Arial"/>
          <w:sz w:val="19"/>
          <w:szCs w:val="19"/>
          <w:b w:val="1"/>
          <w:bCs w:val="1"/>
          <w:color w:val="auto"/>
        </w:rPr>
        <w:t>Releasees</w:t>
      </w:r>
      <w:r>
        <w:rPr>
          <w:rFonts w:ascii="Arial" w:cs="Arial" w:eastAsia="Arial" w:hAnsi="Arial"/>
          <w:sz w:val="19"/>
          <w:szCs w:val="19"/>
          <w:color w:val="auto"/>
        </w:rPr>
        <w:t>”). Executive, on his own behalf and on behalf of his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 possess against any of the Releasees arising from any omissions, acts, facts, or damages that have occurred up until and including the Effective Date of this Agreement, including, without limitation:</w:t>
      </w:r>
    </w:p>
    <w:p>
      <w:pPr>
        <w:spacing w:after="0" w:line="198" w:lineRule="exact"/>
        <w:rPr>
          <w:rFonts w:ascii="Arial" w:cs="Arial" w:eastAsia="Arial" w:hAnsi="Arial"/>
          <w:sz w:val="19"/>
          <w:szCs w:val="19"/>
          <w:color w:val="auto"/>
        </w:rPr>
      </w:pPr>
    </w:p>
    <w:p>
      <w:pPr>
        <w:ind w:firstLine="1305"/>
        <w:spacing w:after="0" w:line="263" w:lineRule="auto"/>
        <w:tabs>
          <w:tab w:leader="none" w:pos="1719" w:val="left"/>
        </w:tabs>
        <w:numPr>
          <w:ilvl w:val="1"/>
          <w:numId w:val="41"/>
        </w:numPr>
        <w:rPr>
          <w:rFonts w:ascii="Arial" w:cs="Arial" w:eastAsia="Arial" w:hAnsi="Arial"/>
          <w:sz w:val="22"/>
          <w:szCs w:val="22"/>
          <w:color w:val="auto"/>
        </w:rPr>
      </w:pPr>
      <w:r>
        <w:rPr>
          <w:rFonts w:ascii="Arial" w:cs="Arial" w:eastAsia="Arial" w:hAnsi="Arial"/>
          <w:sz w:val="22"/>
          <w:szCs w:val="22"/>
          <w:color w:val="auto"/>
        </w:rPr>
        <w:t>any and all claims relating to or arising from Executive’s employment relationship with the Company and the termination of that relationship;</w:t>
      </w:r>
    </w:p>
    <w:p>
      <w:pPr>
        <w:spacing w:after="0" w:line="215" w:lineRule="exact"/>
        <w:rPr>
          <w:rFonts w:ascii="Arial" w:cs="Arial" w:eastAsia="Arial" w:hAnsi="Arial"/>
          <w:sz w:val="22"/>
          <w:szCs w:val="22"/>
          <w:color w:val="auto"/>
        </w:rPr>
      </w:pPr>
    </w:p>
    <w:p>
      <w:pPr>
        <w:jc w:val="both"/>
        <w:ind w:firstLine="1305"/>
        <w:spacing w:after="0" w:line="271" w:lineRule="auto"/>
        <w:tabs>
          <w:tab w:leader="none" w:pos="1758" w:val="left"/>
        </w:tabs>
        <w:numPr>
          <w:ilvl w:val="1"/>
          <w:numId w:val="41"/>
        </w:numPr>
        <w:rPr>
          <w:rFonts w:ascii="Arial" w:cs="Arial" w:eastAsia="Arial" w:hAnsi="Arial"/>
          <w:sz w:val="21"/>
          <w:szCs w:val="21"/>
          <w:color w:val="auto"/>
        </w:rPr>
      </w:pPr>
      <w:r>
        <w:rPr>
          <w:rFonts w:ascii="Arial" w:cs="Arial" w:eastAsia="Arial" w:hAnsi="Arial"/>
          <w:sz w:val="21"/>
          <w:szCs w:val="21"/>
          <w:color w:val="auto"/>
        </w:rPr>
        <w:t>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208" w:lineRule="exact"/>
        <w:rPr>
          <w:rFonts w:ascii="Arial" w:cs="Arial" w:eastAsia="Arial" w:hAnsi="Arial"/>
          <w:sz w:val="21"/>
          <w:szCs w:val="21"/>
          <w:color w:val="auto"/>
        </w:rPr>
      </w:pPr>
    </w:p>
    <w:p>
      <w:pPr>
        <w:jc w:val="both"/>
        <w:ind w:firstLine="1305"/>
        <w:spacing w:after="0" w:line="247" w:lineRule="auto"/>
        <w:tabs>
          <w:tab w:leader="none" w:pos="1918" w:val="left"/>
        </w:tabs>
        <w:numPr>
          <w:ilvl w:val="1"/>
          <w:numId w:val="41"/>
        </w:numPr>
        <w:rPr>
          <w:rFonts w:ascii="Arial" w:cs="Arial" w:eastAsia="Arial" w:hAnsi="Arial"/>
          <w:sz w:val="22"/>
          <w:szCs w:val="22"/>
          <w:color w:val="auto"/>
        </w:rPr>
      </w:pPr>
      <w:r>
        <w:rPr>
          <w:rFonts w:ascii="Arial" w:cs="Arial" w:eastAsia="Arial" w:hAnsi="Arial"/>
          <w:sz w:val="22"/>
          <w:szCs w:val="22"/>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234" w:lineRule="exact"/>
        <w:rPr>
          <w:rFonts w:ascii="Arial" w:cs="Arial" w:eastAsia="Arial" w:hAnsi="Arial"/>
          <w:sz w:val="22"/>
          <w:szCs w:val="22"/>
          <w:color w:val="auto"/>
        </w:rPr>
      </w:pPr>
    </w:p>
    <w:p>
      <w:pPr>
        <w:jc w:val="both"/>
        <w:ind w:firstLine="1305"/>
        <w:spacing w:after="0" w:line="260" w:lineRule="auto"/>
        <w:tabs>
          <w:tab w:leader="none" w:pos="1686" w:val="left"/>
        </w:tabs>
        <w:numPr>
          <w:ilvl w:val="1"/>
          <w:numId w:val="41"/>
        </w:numPr>
        <w:rPr>
          <w:rFonts w:ascii="Arial" w:cs="Arial" w:eastAsia="Arial" w:hAnsi="Arial"/>
          <w:sz w:val="21"/>
          <w:szCs w:val="21"/>
          <w:color w:val="auto"/>
        </w:rPr>
      </w:pPr>
      <w:r>
        <w:rPr>
          <w:rFonts w:ascii="Arial" w:cs="Arial" w:eastAsia="Arial" w:hAnsi="Arial"/>
          <w:sz w:val="21"/>
          <w:szCs w:val="21"/>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Immigration Control and Reform Act; the California Family Rights Act; the California Labor Code; the California Workers’ Compensation Act; and the California Fair Employment and Housing Act;</w:t>
      </w:r>
    </w:p>
    <w:p>
      <w:pPr>
        <w:spacing w:after="0" w:line="221" w:lineRule="exact"/>
        <w:rPr>
          <w:rFonts w:ascii="Arial" w:cs="Arial" w:eastAsia="Arial" w:hAnsi="Arial"/>
          <w:sz w:val="21"/>
          <w:szCs w:val="21"/>
          <w:color w:val="auto"/>
        </w:rPr>
      </w:pPr>
    </w:p>
    <w:p>
      <w:pPr>
        <w:ind w:left="1680" w:hanging="375"/>
        <w:spacing w:after="0"/>
        <w:tabs>
          <w:tab w:leader="none" w:pos="1680" w:val="left"/>
        </w:tabs>
        <w:numPr>
          <w:ilvl w:val="1"/>
          <w:numId w:val="41"/>
        </w:numPr>
        <w:rPr>
          <w:rFonts w:ascii="Arial" w:cs="Arial" w:eastAsia="Arial" w:hAnsi="Arial"/>
          <w:sz w:val="22"/>
          <w:szCs w:val="22"/>
          <w:color w:val="auto"/>
        </w:rPr>
      </w:pPr>
      <w:r>
        <w:rPr>
          <w:rFonts w:ascii="Arial" w:cs="Arial" w:eastAsia="Arial" w:hAnsi="Arial"/>
          <w:sz w:val="22"/>
          <w:szCs w:val="22"/>
          <w:color w:val="auto"/>
        </w:rPr>
        <w:t>any and all claims for violation of the federal or any state constitution;</w:t>
      </w:r>
    </w:p>
    <w:p>
      <w:pPr>
        <w:spacing w:after="0" w:line="260" w:lineRule="exact"/>
        <w:rPr>
          <w:rFonts w:ascii="Arial" w:cs="Arial" w:eastAsia="Arial" w:hAnsi="Arial"/>
          <w:sz w:val="22"/>
          <w:szCs w:val="22"/>
          <w:color w:val="auto"/>
        </w:rPr>
      </w:pPr>
    </w:p>
    <w:p>
      <w:pPr>
        <w:ind w:left="1820" w:hanging="515"/>
        <w:spacing w:after="0"/>
        <w:tabs>
          <w:tab w:leader="none" w:pos="1820" w:val="left"/>
        </w:tabs>
        <w:numPr>
          <w:ilvl w:val="1"/>
          <w:numId w:val="41"/>
        </w:numPr>
        <w:rPr>
          <w:rFonts w:ascii="Arial" w:cs="Arial" w:eastAsia="Arial" w:hAnsi="Arial"/>
          <w:sz w:val="21"/>
          <w:szCs w:val="21"/>
          <w:color w:val="auto"/>
        </w:rPr>
      </w:pPr>
      <w:r>
        <w:rPr>
          <w:rFonts w:ascii="Arial" w:cs="Arial" w:eastAsia="Arial" w:hAnsi="Arial"/>
          <w:sz w:val="21"/>
          <w:szCs w:val="21"/>
          <w:color w:val="auto"/>
        </w:rPr>
        <w:t>any and all claims arising out of any other laws and regulations relating to employment or employment</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discrimination;</w:t>
      </w:r>
    </w:p>
    <w:p>
      <w:pPr>
        <w:spacing w:after="0" w:line="242" w:lineRule="exact"/>
        <w:rPr>
          <w:rFonts w:ascii="Arial" w:cs="Arial" w:eastAsia="Arial" w:hAnsi="Arial"/>
          <w:sz w:val="21"/>
          <w:szCs w:val="21"/>
          <w:color w:val="auto"/>
        </w:rPr>
      </w:pPr>
    </w:p>
    <w:p>
      <w:pPr>
        <w:ind w:firstLine="1305"/>
        <w:spacing w:after="0" w:line="263" w:lineRule="auto"/>
        <w:tabs>
          <w:tab w:leader="none" w:pos="1686" w:val="left"/>
        </w:tabs>
        <w:numPr>
          <w:ilvl w:val="1"/>
          <w:numId w:val="41"/>
        </w:numPr>
        <w:rPr>
          <w:rFonts w:ascii="Arial" w:cs="Arial" w:eastAsia="Arial" w:hAnsi="Arial"/>
          <w:sz w:val="22"/>
          <w:szCs w:val="22"/>
          <w:color w:val="auto"/>
        </w:rPr>
      </w:pPr>
      <w:r>
        <w:rPr>
          <w:rFonts w:ascii="Arial" w:cs="Arial" w:eastAsia="Arial" w:hAnsi="Arial"/>
          <w:sz w:val="22"/>
          <w:szCs w:val="22"/>
          <w:color w:val="auto"/>
        </w:rPr>
        <w:t>any claim for any loss, cost, damage, or expense arising out of any dispute over the nonwithholding or other tax treatment of any of the proceeds received by Executive as a result of this Agreement; and</w:t>
      </w:r>
    </w:p>
    <w:p>
      <w:pPr>
        <w:spacing w:after="0" w:line="20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132"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22"/>
          <w:szCs w:val="22"/>
          <w:color w:val="auto"/>
        </w:rPr>
        <w:t>Exhibit 10.32</w:t>
      </w:r>
    </w:p>
    <w:p>
      <w:pPr>
        <w:spacing w:after="0" w:line="200" w:lineRule="exact"/>
        <w:rPr>
          <w:sz w:val="20"/>
          <w:szCs w:val="20"/>
          <w:color w:val="auto"/>
        </w:rPr>
      </w:pPr>
    </w:p>
    <w:p>
      <w:pPr>
        <w:spacing w:after="0" w:line="303"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19"/>
          <w:szCs w:val="19"/>
          <w:color w:val="auto"/>
        </w:rPr>
        <w:t>any and all claims for attorneys’ fees and costs.</w:t>
      </w:r>
    </w:p>
    <w:p>
      <w:pPr>
        <w:spacing w:after="0" w:line="26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Executive agrees that the release set forth in this section shall be and remain in effect in all respects as a complete general release as to the matters released. This release does not extend to any obligations incurred under this Agreement. This release does not release claims that Executive may have for indemnification under any indemnification agreement with the Company or coverage under any D&amp;O Policy maintained by the Company. This release does not release claims that cannot be released as a matter of law, including, but not limited to,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any such filing or participation does not give Executive the right to recover any monetary damages against the Company; Executive’s release of claims herein bars Executive from recovering such monetary relief from the Company). Notwithstanding the foregoing, Executive acknowledges that any and all disputed wage claims that are released herein shall be subject to binding arbitration as set forth herein, except as required by applicable law. Executive represents that he has made no assignment or transfer of any right, claim, complaint, charge, duty, obligation, demand, cause of action, or other matter waived or released by this Section.</w:t>
      </w:r>
    </w:p>
    <w:p>
      <w:pPr>
        <w:spacing w:after="0" w:line="201" w:lineRule="exact"/>
        <w:rPr>
          <w:sz w:val="20"/>
          <w:szCs w:val="20"/>
          <w:color w:val="auto"/>
        </w:rPr>
      </w:pPr>
    </w:p>
    <w:p>
      <w:pPr>
        <w:jc w:val="both"/>
        <w:ind w:firstLine="656"/>
        <w:spacing w:after="0" w:line="286" w:lineRule="auto"/>
        <w:tabs>
          <w:tab w:leader="none" w:pos="1459"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Acknowledgment of Waiver of Claims under ADEA</w:t>
      </w:r>
      <w:r>
        <w:rPr>
          <w:rFonts w:ascii="Arial" w:cs="Arial" w:eastAsia="Arial" w:hAnsi="Arial"/>
          <w:sz w:val="19"/>
          <w:szCs w:val="19"/>
          <w:color w:val="auto"/>
        </w:rPr>
        <w:t>. Executive acknowledges that he is waiving and releasing any rights he may have under the Age Discrimination in Employment Act of 1967 ("</w:t>
      </w:r>
      <w:r>
        <w:rPr>
          <w:rFonts w:ascii="Arial" w:cs="Arial" w:eastAsia="Arial" w:hAnsi="Arial"/>
          <w:sz w:val="19"/>
          <w:szCs w:val="19"/>
          <w:b w:val="1"/>
          <w:bCs w:val="1"/>
          <w:color w:val="auto"/>
        </w:rPr>
        <w:t>ADEA</w:t>
      </w:r>
      <w:r>
        <w:rPr>
          <w:rFonts w:ascii="Arial" w:cs="Arial" w:eastAsia="Arial" w:hAnsi="Arial"/>
          <w:sz w:val="19"/>
          <w:szCs w:val="19"/>
          <w:color w:val="auto"/>
        </w:rPr>
        <w:t xml:space="preserve">"), and that this waiver and release is knowing and voluntary. Executive agrees that this waiver and release does not apply to any rights or claims that may arise under the ADEA after the Effective Date of this Agreement. Executive acknowledges that the consideration given for this waiver and release is in addition to anything of value to which Executive was already entitled. Executive further acknowledges that he has been advised by this writing that: (a) he should consult with an attorney </w:t>
      </w:r>
      <w:r>
        <w:rPr>
          <w:rFonts w:ascii="Arial" w:cs="Arial" w:eastAsia="Arial" w:hAnsi="Arial"/>
          <w:sz w:val="19"/>
          <w:szCs w:val="19"/>
          <w:u w:val="single" w:color="auto"/>
          <w:color w:val="auto"/>
        </w:rPr>
        <w:t>prior</w:t>
      </w:r>
      <w:r>
        <w:rPr>
          <w:rFonts w:ascii="Arial" w:cs="Arial" w:eastAsia="Arial" w:hAnsi="Arial"/>
          <w:sz w:val="19"/>
          <w:szCs w:val="19"/>
          <w:color w:val="auto"/>
        </w:rPr>
        <w:t xml:space="preserve"> to executing this Agreement; (b) he has twenty-one (21) days within which to consider this Agreement; (c) he has seven (7) days following his execution of this Agreement to revoke this Agreement;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twenty-one (21)-day period identified above, Executive hereby acknowledges that he has freely and voluntarily chosen to waive the time period allotted for considering this Agreement. Executive acknowledges and understands that revocation must be accomplished by a written notification to the person executing this Agreement on the Company’s behalf that is received prior to the Effective Date. The parties agree that changes, whether material or immaterial, do not restart the running of the twenty-one (21)-day period.</w:t>
      </w:r>
    </w:p>
    <w:p>
      <w:pPr>
        <w:spacing w:after="0" w:line="200" w:lineRule="exact"/>
        <w:rPr>
          <w:rFonts w:ascii="Arial" w:cs="Arial" w:eastAsia="Arial" w:hAnsi="Arial"/>
          <w:sz w:val="19"/>
          <w:szCs w:val="19"/>
          <w:color w:val="auto"/>
        </w:rPr>
      </w:pPr>
    </w:p>
    <w:p>
      <w:pPr>
        <w:jc w:val="both"/>
        <w:ind w:firstLine="656"/>
        <w:spacing w:after="0" w:line="253" w:lineRule="auto"/>
        <w:tabs>
          <w:tab w:leader="none" w:pos="1459"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California Civil Code Section 1542</w:t>
      </w:r>
      <w:r>
        <w:rPr>
          <w:rFonts w:ascii="Arial" w:cs="Arial" w:eastAsia="Arial" w:hAnsi="Arial"/>
          <w:sz w:val="22"/>
          <w:szCs w:val="22"/>
          <w:color w:val="auto"/>
        </w:rPr>
        <w:t>. The Parties acknowledge that they have been advised to consult with legal counsel and are familiar with the provisions of California Civil Code Section 1542, a statute that otherwise prohibits the release of unknown claims, which provides as follows:</w:t>
      </w:r>
    </w:p>
    <w:p>
      <w:pPr>
        <w:spacing w:after="0" w:line="200" w:lineRule="exact"/>
        <w:rPr>
          <w:sz w:val="20"/>
          <w:szCs w:val="20"/>
          <w:color w:val="auto"/>
        </w:rPr>
      </w:pPr>
    </w:p>
    <w:p>
      <w:pPr>
        <w:spacing w:after="0" w:line="27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132" w:right="239" w:bottom="1440" w:gutter="0" w:footer="0" w:header="0"/>
        </w:sectPr>
      </w:pPr>
    </w:p>
    <w:bookmarkStart w:id="64" w:name="page65"/>
    <w:bookmarkEnd w:id="64"/>
    <w:p>
      <w:pPr>
        <w:ind w:left="10240"/>
        <w:spacing w:after="0"/>
        <w:rPr>
          <w:sz w:val="20"/>
          <w:szCs w:val="20"/>
          <w:color w:val="auto"/>
        </w:rPr>
      </w:pPr>
      <w:r>
        <w:rPr>
          <w:rFonts w:ascii="Arial" w:cs="Arial" w:eastAsia="Arial" w:hAnsi="Arial"/>
          <w:sz w:val="19"/>
          <w:szCs w:val="19"/>
          <w:color w:val="auto"/>
        </w:rPr>
        <w:t>Exhibit 10.32</w:t>
      </w:r>
    </w:p>
    <w:p>
      <w:pPr>
        <w:spacing w:after="0" w:line="281" w:lineRule="exact"/>
        <w:rPr>
          <w:sz w:val="20"/>
          <w:szCs w:val="20"/>
          <w:color w:val="auto"/>
        </w:rPr>
      </w:pPr>
    </w:p>
    <w:p>
      <w:pPr>
        <w:jc w:val="both"/>
        <w:ind w:left="780"/>
        <w:spacing w:after="0" w:line="312" w:lineRule="auto"/>
        <w:rPr>
          <w:sz w:val="20"/>
          <w:szCs w:val="20"/>
          <w:color w:val="auto"/>
        </w:rPr>
      </w:pPr>
      <w:r>
        <w:rPr>
          <w:rFonts w:ascii="Arial" w:cs="Arial" w:eastAsia="Arial" w:hAnsi="Arial"/>
          <w:sz w:val="19"/>
          <w:szCs w:val="19"/>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74"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The Parties, being aware of said code section, agree to expressly waive any rights they may have thereunder, as well as under any other statute or common law principles of similar effect, except as provided for in Section 5 herein.</w:t>
      </w:r>
    </w:p>
    <w:p>
      <w:pPr>
        <w:spacing w:after="0" w:line="192" w:lineRule="exact"/>
        <w:rPr>
          <w:sz w:val="20"/>
          <w:szCs w:val="20"/>
          <w:color w:val="auto"/>
        </w:rPr>
      </w:pPr>
    </w:p>
    <w:p>
      <w:pPr>
        <w:jc w:val="both"/>
        <w:ind w:firstLine="656"/>
        <w:spacing w:after="0" w:line="250" w:lineRule="auto"/>
        <w:tabs>
          <w:tab w:leader="none" w:pos="1459"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No Pending or Future Lawsuits</w:t>
      </w:r>
      <w:r>
        <w:rPr>
          <w:rFonts w:ascii="Arial" w:cs="Arial" w:eastAsia="Arial" w:hAnsi="Arial"/>
          <w:sz w:val="22"/>
          <w:szCs w:val="22"/>
          <w:color w:val="auto"/>
        </w:rPr>
        <w:t>. Executive represents that he has no lawsuits, claims, or actions pending in his name, or on behalf of any other person or entity, against the Company or any of the other Releasees. Executive also represents that he does not intend to bring any claims on his own behalf or on behalf of any other person or entity against the Company or any of the other Releasees.</w:t>
      </w:r>
    </w:p>
    <w:p>
      <w:pPr>
        <w:spacing w:after="0" w:line="228" w:lineRule="exact"/>
        <w:rPr>
          <w:rFonts w:ascii="Arial" w:cs="Arial" w:eastAsia="Arial" w:hAnsi="Arial"/>
          <w:sz w:val="22"/>
          <w:szCs w:val="22"/>
          <w:color w:val="auto"/>
        </w:rPr>
      </w:pPr>
    </w:p>
    <w:p>
      <w:pPr>
        <w:jc w:val="both"/>
        <w:ind w:firstLine="656"/>
        <w:spacing w:after="0" w:line="253" w:lineRule="auto"/>
        <w:tabs>
          <w:tab w:leader="none" w:pos="1567"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Trade Secrets and Confidential Information</w:t>
      </w:r>
      <w:r>
        <w:rPr>
          <w:rFonts w:ascii="Arial" w:cs="Arial" w:eastAsia="Arial" w:hAnsi="Arial"/>
          <w:sz w:val="22"/>
          <w:szCs w:val="22"/>
          <w:color w:val="auto"/>
        </w:rPr>
        <w:t>. Executive reaffirms and agrees to observe and abide by the terms of the Proprietary Information Agreement, specifically including the provisions therein regarding nondisclosure of the Company’s trade secrets and confidential and proprietary information.</w:t>
      </w:r>
    </w:p>
    <w:p>
      <w:pPr>
        <w:spacing w:after="0" w:line="226" w:lineRule="exact"/>
        <w:rPr>
          <w:rFonts w:ascii="Arial" w:cs="Arial" w:eastAsia="Arial" w:hAnsi="Arial"/>
          <w:sz w:val="22"/>
          <w:szCs w:val="22"/>
          <w:color w:val="auto"/>
        </w:rPr>
      </w:pPr>
    </w:p>
    <w:p>
      <w:pPr>
        <w:jc w:val="both"/>
        <w:ind w:firstLine="656"/>
        <w:spacing w:after="0" w:line="253" w:lineRule="auto"/>
        <w:tabs>
          <w:tab w:leader="none" w:pos="1559"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Company Property</w:t>
      </w:r>
      <w:r>
        <w:rPr>
          <w:rFonts w:ascii="Arial" w:cs="Arial" w:eastAsia="Arial" w:hAnsi="Arial"/>
          <w:sz w:val="22"/>
          <w:szCs w:val="22"/>
          <w:color w:val="auto"/>
        </w:rPr>
        <w:t>. Executive’s signature below constitutes his certification under penalty of perjury that he has returned all documents and other items provided to Executive by the Company, developed or obtained by Executive in connection with his employment with the Company, or otherwise belonging to the Company.</w:t>
      </w:r>
    </w:p>
    <w:p>
      <w:pPr>
        <w:spacing w:after="0" w:line="226" w:lineRule="exact"/>
        <w:rPr>
          <w:rFonts w:ascii="Arial" w:cs="Arial" w:eastAsia="Arial" w:hAnsi="Arial"/>
          <w:sz w:val="22"/>
          <w:szCs w:val="22"/>
          <w:color w:val="auto"/>
        </w:rPr>
      </w:pPr>
    </w:p>
    <w:p>
      <w:pPr>
        <w:jc w:val="both"/>
        <w:ind w:firstLine="656"/>
        <w:spacing w:after="0" w:line="292" w:lineRule="auto"/>
        <w:tabs>
          <w:tab w:leader="none" w:pos="1567"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No Cooperation</w:t>
      </w:r>
      <w:r>
        <w:rPr>
          <w:rFonts w:ascii="Arial" w:cs="Arial" w:eastAsia="Arial" w:hAnsi="Arial"/>
          <w:sz w:val="19"/>
          <w:szCs w:val="19"/>
          <w:color w:val="auto"/>
        </w:rPr>
        <w:t>. Executive agrees that he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Agreement. Executive agrees both to immediately notify the Company upon receipt of any such subpoena or court order, and to furnish, within three (3) business days of its receipt, a copy of such subpoena or other court order. If approached by anyone for counsel or assistance in the presentation or prosecution of any disputes, differences, grievances, claims, charges, or complaints against any of the Releasees, Executive shall state no more than that he cannot provide counsel or assistance.</w:t>
      </w:r>
    </w:p>
    <w:p>
      <w:pPr>
        <w:spacing w:after="0" w:line="192" w:lineRule="exact"/>
        <w:rPr>
          <w:rFonts w:ascii="Arial" w:cs="Arial" w:eastAsia="Arial" w:hAnsi="Arial"/>
          <w:sz w:val="19"/>
          <w:szCs w:val="19"/>
          <w:color w:val="auto"/>
        </w:rPr>
      </w:pPr>
    </w:p>
    <w:p>
      <w:pPr>
        <w:jc w:val="both"/>
        <w:ind w:firstLine="656"/>
        <w:spacing w:after="0" w:line="294" w:lineRule="auto"/>
        <w:tabs>
          <w:tab w:leader="none" w:pos="1567"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Mutual Nondisparagement</w:t>
      </w:r>
      <w:r>
        <w:rPr>
          <w:rFonts w:ascii="Arial" w:cs="Arial" w:eastAsia="Arial" w:hAnsi="Arial"/>
          <w:sz w:val="19"/>
          <w:szCs w:val="19"/>
          <w:color w:val="auto"/>
        </w:rPr>
        <w:t>. Executive agrees to refrain from any disparagement, defamation, libel, or slander of any of the Releasees, and agrees to refrain from any tortious interference with the contracts and relationships of any of the Releasees. The Company agrees to refrain from any disparaging statements about Executive. Executive understands that the Company’s obligations under this paragraph extend only to the Company’s current executive officers and members of its Board of Directors and only for so long as each officer or member is an employee or Director of the Company. Executive shall direct any inquiries by potential future employers to the Company’s human resources department.</w:t>
      </w:r>
    </w:p>
    <w:p>
      <w:pPr>
        <w:spacing w:after="0" w:line="190" w:lineRule="exact"/>
        <w:rPr>
          <w:rFonts w:ascii="Arial" w:cs="Arial" w:eastAsia="Arial" w:hAnsi="Arial"/>
          <w:sz w:val="19"/>
          <w:szCs w:val="19"/>
          <w:color w:val="auto"/>
        </w:rPr>
      </w:pPr>
    </w:p>
    <w:p>
      <w:pPr>
        <w:jc w:val="both"/>
        <w:ind w:firstLine="656"/>
        <w:spacing w:after="0" w:line="253" w:lineRule="auto"/>
        <w:tabs>
          <w:tab w:leader="none" w:pos="1567"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Breach</w:t>
      </w:r>
      <w:r>
        <w:rPr>
          <w:rFonts w:ascii="Arial" w:cs="Arial" w:eastAsia="Arial" w:hAnsi="Arial"/>
          <w:sz w:val="22"/>
          <w:szCs w:val="22"/>
          <w:color w:val="auto"/>
        </w:rPr>
        <w:t>. In addition to the rights provided in the “Attorneys’ Fees” section below, Executive acknowledges and agrees that any material breach of this Agreement, unless such breach constitutes a legal action by Executive challenging or seeking a determination in good faith of the</w:t>
      </w:r>
    </w:p>
    <w:p>
      <w:pPr>
        <w:spacing w:after="0" w:line="21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132" w:right="239" w:bottom="1440" w:gutter="0" w:footer="0" w:header="0"/>
        </w:sectPr>
      </w:pPr>
    </w:p>
    <w:bookmarkStart w:id="65" w:name="page66"/>
    <w:bookmarkEnd w:id="65"/>
    <w:p>
      <w:pPr>
        <w:ind w:left="10240"/>
        <w:spacing w:after="0"/>
        <w:rPr>
          <w:sz w:val="20"/>
          <w:szCs w:val="20"/>
          <w:color w:val="auto"/>
        </w:rPr>
      </w:pPr>
      <w:r>
        <w:rPr>
          <w:rFonts w:ascii="Arial" w:cs="Arial" w:eastAsia="Arial" w:hAnsi="Arial"/>
          <w:sz w:val="19"/>
          <w:szCs w:val="19"/>
          <w:color w:val="auto"/>
        </w:rPr>
        <w:t>Exhibit 10.32</w:t>
      </w:r>
    </w:p>
    <w:p>
      <w:pPr>
        <w:spacing w:after="0" w:line="28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validity of the waiver herein under the ADEA, or of any provision of the Proprietary Information Agreement shall entitle the Company immediately to recover and/or cease providing the consideration provided to Executive under this Agreement and to obtain damages, except as provided by law.</w:t>
      </w:r>
    </w:p>
    <w:p>
      <w:pPr>
        <w:spacing w:after="0" w:line="226" w:lineRule="exact"/>
        <w:rPr>
          <w:sz w:val="20"/>
          <w:szCs w:val="20"/>
          <w:color w:val="auto"/>
        </w:rPr>
      </w:pPr>
    </w:p>
    <w:p>
      <w:pPr>
        <w:jc w:val="both"/>
        <w:ind w:firstLine="656"/>
        <w:spacing w:after="0" w:line="265" w:lineRule="auto"/>
        <w:tabs>
          <w:tab w:leader="none" w:pos="1567"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No Admission of Liability</w:t>
      </w:r>
      <w:r>
        <w:rPr>
          <w:rFonts w:ascii="Arial" w:cs="Arial" w:eastAsia="Arial" w:hAnsi="Arial"/>
          <w:sz w:val="21"/>
          <w:szCs w:val="21"/>
          <w:color w:val="auto"/>
        </w:rPr>
        <w:t>. The Parties understand and acknowledge that this Agreement constitutes a compromise and settlement of any and all actual or potential disputed claims. No action taken by the Parties hereto, either previously or in connection with this Agreement, shall be deemed or construed to be (a) an admission of the truth or falsity of any actual or potential claims or (b) an acknowledgment or admission by the Parties of any fault or liability whatsoever.</w:t>
      </w:r>
    </w:p>
    <w:p>
      <w:pPr>
        <w:spacing w:after="0" w:line="175" w:lineRule="exact"/>
        <w:rPr>
          <w:rFonts w:ascii="Arial" w:cs="Arial" w:eastAsia="Arial" w:hAnsi="Arial"/>
          <w:sz w:val="21"/>
          <w:szCs w:val="21"/>
          <w:color w:val="auto"/>
        </w:rPr>
      </w:pPr>
    </w:p>
    <w:p>
      <w:pPr>
        <w:jc w:val="both"/>
        <w:ind w:firstLine="656"/>
        <w:spacing w:after="0" w:line="253" w:lineRule="auto"/>
        <w:tabs>
          <w:tab w:leader="none" w:pos="1567"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Nonsolicitation</w:t>
      </w:r>
      <w:r>
        <w:rPr>
          <w:rFonts w:ascii="Arial" w:cs="Arial" w:eastAsia="Arial" w:hAnsi="Arial"/>
          <w:sz w:val="22"/>
          <w:szCs w:val="22"/>
          <w:color w:val="auto"/>
        </w:rPr>
        <w:t>. Executive reaffirms and agrees to abide by the terms of Section 8(a) of the Employment Agreement regarding the non-solicitation of Company employees for a period of twelve (12) months immediately following the Separation Date of this Agreement.</w:t>
      </w:r>
    </w:p>
    <w:p>
      <w:pPr>
        <w:spacing w:after="0" w:line="226" w:lineRule="exact"/>
        <w:rPr>
          <w:rFonts w:ascii="Arial" w:cs="Arial" w:eastAsia="Arial" w:hAnsi="Arial"/>
          <w:sz w:val="22"/>
          <w:szCs w:val="22"/>
          <w:color w:val="auto"/>
        </w:rPr>
      </w:pPr>
    </w:p>
    <w:p>
      <w:pPr>
        <w:ind w:firstLine="656"/>
        <w:spacing w:after="0" w:line="263" w:lineRule="auto"/>
        <w:tabs>
          <w:tab w:leader="none" w:pos="1567"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Costs</w:t>
      </w:r>
      <w:r>
        <w:rPr>
          <w:rFonts w:ascii="Arial" w:cs="Arial" w:eastAsia="Arial" w:hAnsi="Arial"/>
          <w:sz w:val="22"/>
          <w:szCs w:val="22"/>
          <w:color w:val="auto"/>
        </w:rPr>
        <w:t>. The Parties shall each bear their own costs, attorneys’ fees, and other fees incurred in connection with the preparation of this Agreement.</w:t>
      </w:r>
    </w:p>
    <w:p>
      <w:pPr>
        <w:spacing w:after="0" w:line="215" w:lineRule="exact"/>
        <w:rPr>
          <w:rFonts w:ascii="Arial" w:cs="Arial" w:eastAsia="Arial" w:hAnsi="Arial"/>
          <w:sz w:val="22"/>
          <w:szCs w:val="22"/>
          <w:color w:val="auto"/>
        </w:rPr>
      </w:pPr>
    </w:p>
    <w:p>
      <w:pPr>
        <w:jc w:val="both"/>
        <w:ind w:firstLine="656"/>
        <w:spacing w:after="0" w:line="256" w:lineRule="auto"/>
        <w:tabs>
          <w:tab w:leader="none" w:pos="1567"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ARBITRATION</w:t>
      </w:r>
      <w:r>
        <w:rPr>
          <w:rFonts w:ascii="Arial" w:cs="Arial" w:eastAsia="Arial" w:hAnsi="Arial"/>
          <w:sz w:val="21"/>
          <w:szCs w:val="21"/>
          <w:color w:val="auto"/>
        </w:rPr>
        <w:t>. THE PARTIES AGREE THAT ANY AND ALL DISPUTES ARISING OUT OF THE TERMS OF THIS AGREEMENT, THEIR INTERPRETATION, AND ANY OF THE MATTERS HEREIN RELEASED, SHALL BE SUBJECT TO ARBITRATION IN SANTA CLARA COUNTY, BEFORE JUDICIAL ARBITRATION &amp; MEDIATION SERVICES (“</w:t>
      </w:r>
      <w:r>
        <w:rPr>
          <w:rFonts w:ascii="Arial" w:cs="Arial" w:eastAsia="Arial" w:hAnsi="Arial"/>
          <w:sz w:val="21"/>
          <w:szCs w:val="21"/>
          <w:b w:val="1"/>
          <w:bCs w:val="1"/>
          <w:color w:val="auto"/>
        </w:rPr>
        <w:t>JAMS</w:t>
      </w:r>
      <w:r>
        <w:rPr>
          <w:rFonts w:ascii="Arial" w:cs="Arial" w:eastAsia="Arial" w:hAnsi="Arial"/>
          <w:sz w:val="21"/>
          <w:szCs w:val="21"/>
          <w:color w:val="auto"/>
        </w:rPr>
        <w:t>”), PURSUANT TO ITS EMPLOYMENT ARBITRATION RULES &amp; PROCEDURES (“</w:t>
      </w:r>
      <w:r>
        <w:rPr>
          <w:rFonts w:ascii="Arial" w:cs="Arial" w:eastAsia="Arial" w:hAnsi="Arial"/>
          <w:sz w:val="21"/>
          <w:szCs w:val="21"/>
          <w:b w:val="1"/>
          <w:bCs w:val="1"/>
          <w:color w:val="auto"/>
        </w:rPr>
        <w:t>JAMS RULES</w:t>
      </w:r>
      <w:r>
        <w:rPr>
          <w:rFonts w:ascii="Arial" w:cs="Arial" w:eastAsia="Arial" w:hAnsi="Arial"/>
          <w:sz w:val="21"/>
          <w:szCs w:val="21"/>
          <w:color w:val="auto"/>
        </w:rPr>
        <w:t>”). THE ARBITRATOR MAY GRANT INJUNCTIONS AND OTHER RELIEF IN SUCH DISPUTES. THE ARBITRATOR SHALL ADMINISTER AND CONDUCT ANY ARBITRATION IN ACCORDANCE WITH CALIFORNIA LAW, INCLUDING THE CALIFORNIA CODE OF CIVIL PROCEDURE, AND THE ARBITRATOR SHALL APPLY SUBSTANTIVE AND PROCEDURAL CALIFORNIA LAW TO ANY DISPUTE OR CLAIM, WITHOUT REFERENCE TO ANY CONFLICT-OF-LAW PROVISIONS OF ANY JURISDICTION. TO THE EXTENT THAT THE JAMS RULES CONFLICT WITH CALIFORNIA LAW, CALIFORNIA LAW SHALL TAKE PRECEDENCE. THE DECISION OF THE ARBITRATOR SHALL BE FINAL, CONCLUSIVE, AND BINDING ON THE PARTIES TO THE ARBITRATION. THE PARTIES AGREE THAT THE PREVAILING PARTY IN ANY ARBITRATION SHALL BE ENTITLED TO INJUNCTIVE RELIEF IN ANY COURT OF COMPETENT JURISDICTION TO ENFORCE THE ARBITRATION AWARD. THE PARTIES TO THE ARBITRATION SHALL EACH PAY AN EQUAL SHARE OF THE COSTS AND EXPENSES OF SUCH ARBITRATION, AND EACH PARTY SHALL SEPARATELY PAY FOR ITS RESPECTIVE COUNSEL FEES AND EXPENSES; PROVIDED, HOWEVER, THAT THE ARBITRATOR SHALL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SHALL GOVERN.</w:t>
      </w:r>
    </w:p>
    <w:p>
      <w:pPr>
        <w:spacing w:after="0" w:line="22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132"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22"/>
          <w:szCs w:val="22"/>
          <w:color w:val="auto"/>
        </w:rPr>
        <w:t>Exhibit 10.32</w:t>
      </w:r>
    </w:p>
    <w:p>
      <w:pPr>
        <w:spacing w:after="0" w:line="200" w:lineRule="exact"/>
        <w:rPr>
          <w:sz w:val="20"/>
          <w:szCs w:val="20"/>
          <w:color w:val="auto"/>
        </w:rPr>
      </w:pPr>
    </w:p>
    <w:p>
      <w:pPr>
        <w:spacing w:after="0" w:line="303" w:lineRule="exact"/>
        <w:rPr>
          <w:sz w:val="20"/>
          <w:szCs w:val="20"/>
          <w:color w:val="auto"/>
        </w:rPr>
      </w:pPr>
    </w:p>
    <w:p>
      <w:pPr>
        <w:jc w:val="both"/>
        <w:ind w:firstLine="656"/>
        <w:spacing w:after="0" w:line="259" w:lineRule="auto"/>
        <w:tabs>
          <w:tab w:leader="none" w:pos="1567"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Tax Consequences</w:t>
      </w:r>
      <w:r>
        <w:rPr>
          <w:rFonts w:ascii="Arial" w:cs="Arial" w:eastAsia="Arial" w:hAnsi="Arial"/>
          <w:sz w:val="21"/>
          <w:szCs w:val="21"/>
          <w:color w:val="auto"/>
        </w:rPr>
        <w:t>. The Company makes no representations or warranties with respect to the tax consequences of the payments and any other consideration provided to Executive or made on his behalf under the terms of this Agreement. Executive agrees and understands that he is responsible for payment, if any, of local, state, and/or federal taxes on the payments and any other consideration provided hereunder by the Company and any penalties or assessments thereon. Executive further agrees to indemnify and hold the Company harmless from any claims, demands, deficiencies, penalties, interest, assessments, executions, judgments, or recoveries by any government agency against the Company for any amounts claimed due on account of (a) Executive’s failure to pay or delayed payment of federal or state taxes, or (b) damages sustained by the Company by reason of any such claims, including attorneys’ fees and costs.</w:t>
      </w:r>
    </w:p>
    <w:p>
      <w:pPr>
        <w:spacing w:after="0" w:line="224" w:lineRule="exact"/>
        <w:rPr>
          <w:rFonts w:ascii="Arial" w:cs="Arial" w:eastAsia="Arial" w:hAnsi="Arial"/>
          <w:sz w:val="21"/>
          <w:szCs w:val="21"/>
          <w:color w:val="auto"/>
        </w:rPr>
      </w:pPr>
    </w:p>
    <w:p>
      <w:pPr>
        <w:jc w:val="both"/>
        <w:ind w:firstLine="656"/>
        <w:spacing w:after="0" w:line="259" w:lineRule="auto"/>
        <w:tabs>
          <w:tab w:leader="none" w:pos="1567"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Section 409A.</w:t>
      </w:r>
      <w:r>
        <w:rPr>
          <w:rFonts w:ascii="Arial" w:cs="Arial" w:eastAsia="Arial" w:hAnsi="Arial"/>
          <w:sz w:val="21"/>
          <w:szCs w:val="21"/>
          <w:color w:val="auto"/>
        </w:rPr>
        <w:t xml:space="preserve"> It is intended that this Agreement comply with, or be exempt from, Internal Revenue Code Section 409A and the final regulations and official guidance thereunder (“</w:t>
      </w:r>
      <w:r>
        <w:rPr>
          <w:rFonts w:ascii="Arial" w:cs="Arial" w:eastAsia="Arial" w:hAnsi="Arial"/>
          <w:sz w:val="21"/>
          <w:szCs w:val="21"/>
          <w:b w:val="1"/>
          <w:bCs w:val="1"/>
          <w:color w:val="auto"/>
        </w:rPr>
        <w:t>Section 409A</w:t>
      </w:r>
      <w:r>
        <w:rPr>
          <w:rFonts w:ascii="Arial" w:cs="Arial" w:eastAsia="Arial" w:hAnsi="Arial"/>
          <w:sz w:val="21"/>
          <w:szCs w:val="21"/>
          <w:color w:val="auto"/>
        </w:rPr>
        <w:t>”) and any ambiguities herein will be interpreted to so comply and/or be exempt from Section 409A. Each payment and benefit to be paid or provided under this Agreement is intended to constitute a series of separate payments for purposes of Section 1.409A-2(b)(2) of the Treasury Regulations. Cash payments under Section 1 of this Agreement will be made no later than March 15, 2016. The Company and Executive will work together in good faith to consider either (i) amendments to this Agreement, or (ii) revisions to this Agreement with respect to the payment of any awards, which are necessary or appropriate to avoid imposition of any additional tax or income recognition prior to the actual payment to Executive under Section 409A.</w:t>
      </w:r>
    </w:p>
    <w:p>
      <w:pPr>
        <w:spacing w:after="0" w:line="224" w:lineRule="exact"/>
        <w:rPr>
          <w:rFonts w:ascii="Arial" w:cs="Arial" w:eastAsia="Arial" w:hAnsi="Arial"/>
          <w:sz w:val="21"/>
          <w:szCs w:val="21"/>
          <w:color w:val="auto"/>
        </w:rPr>
      </w:pPr>
    </w:p>
    <w:p>
      <w:pPr>
        <w:jc w:val="both"/>
        <w:ind w:firstLine="656"/>
        <w:spacing w:after="0" w:line="297" w:lineRule="auto"/>
        <w:tabs>
          <w:tab w:leader="none" w:pos="1567"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Authority</w:t>
      </w:r>
      <w:r>
        <w:rPr>
          <w:rFonts w:ascii="Arial" w:cs="Arial" w:eastAsia="Arial" w:hAnsi="Arial"/>
          <w:sz w:val="19"/>
          <w:szCs w:val="19"/>
          <w:color w:val="auto"/>
        </w:rPr>
        <w:t>. The Company represents and warrants that the undersigned has the authority to act on behalf of the Company and to bind the Company and all who may claim through it to the terms and conditions of this Agreement. Executive represents and warrants that he has the capacity to act on his own behalf and on behalf of all who might claim through him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87" w:lineRule="exact"/>
        <w:rPr>
          <w:rFonts w:ascii="Arial" w:cs="Arial" w:eastAsia="Arial" w:hAnsi="Arial"/>
          <w:sz w:val="19"/>
          <w:szCs w:val="19"/>
          <w:color w:val="auto"/>
        </w:rPr>
      </w:pPr>
    </w:p>
    <w:p>
      <w:pPr>
        <w:jc w:val="both"/>
        <w:ind w:firstLine="656"/>
        <w:spacing w:after="0" w:line="271" w:lineRule="auto"/>
        <w:tabs>
          <w:tab w:leader="none" w:pos="1567"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No Representations</w:t>
      </w:r>
      <w:r>
        <w:rPr>
          <w:rFonts w:ascii="Arial" w:cs="Arial" w:eastAsia="Arial" w:hAnsi="Arial"/>
          <w:sz w:val="21"/>
          <w:szCs w:val="21"/>
          <w:color w:val="auto"/>
        </w:rPr>
        <w:t>. Executive represents that he has had an opportunity to consult with an attorney, and has carefully read and understands the scope and effect of the provisions of this Agreement. Executive has not relied upon any representations or statements made by the Company that are not specifically set forth in this Agreement.</w:t>
      </w:r>
    </w:p>
    <w:p>
      <w:pPr>
        <w:spacing w:after="0" w:line="208" w:lineRule="exact"/>
        <w:rPr>
          <w:rFonts w:ascii="Arial" w:cs="Arial" w:eastAsia="Arial" w:hAnsi="Arial"/>
          <w:sz w:val="21"/>
          <w:szCs w:val="21"/>
          <w:color w:val="auto"/>
        </w:rPr>
      </w:pPr>
    </w:p>
    <w:p>
      <w:pPr>
        <w:jc w:val="both"/>
        <w:ind w:firstLine="656"/>
        <w:spacing w:after="0" w:line="271" w:lineRule="auto"/>
        <w:tabs>
          <w:tab w:leader="none" w:pos="1567"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208" w:lineRule="exact"/>
        <w:rPr>
          <w:rFonts w:ascii="Arial" w:cs="Arial" w:eastAsia="Arial" w:hAnsi="Arial"/>
          <w:sz w:val="21"/>
          <w:szCs w:val="21"/>
          <w:color w:val="auto"/>
        </w:rPr>
      </w:pPr>
    </w:p>
    <w:p>
      <w:pPr>
        <w:jc w:val="both"/>
        <w:ind w:firstLine="656"/>
        <w:spacing w:after="0" w:line="265" w:lineRule="auto"/>
        <w:tabs>
          <w:tab w:leader="none" w:pos="1567"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Attorneys’ Fees</w:t>
      </w:r>
      <w:r>
        <w:rPr>
          <w:rFonts w:ascii="Arial" w:cs="Arial" w:eastAsia="Arial" w:hAnsi="Arial"/>
          <w:sz w:val="21"/>
          <w:szCs w:val="21"/>
          <w:color w:val="auto"/>
        </w:rPr>
        <w:t>. Except with regard to a legal action challenging or seeking a determination in good faith of the validity of the waiver herein under the ADEA, in the event that either Party brings an action to enforce or effect its rights under this Agreement, the prevailing Party shall be entitled to recover its costs and expenses, including the costs of mediation, arbitration, litigation, court fees, and reasonable attorneys’ fees incurred in connection with such an action.</w:t>
      </w:r>
    </w:p>
    <w:p>
      <w:pPr>
        <w:spacing w:after="0" w:line="200" w:lineRule="exact"/>
        <w:rPr>
          <w:sz w:val="20"/>
          <w:szCs w:val="20"/>
          <w:color w:val="auto"/>
        </w:rPr>
      </w:pPr>
    </w:p>
    <w:p>
      <w:pPr>
        <w:spacing w:after="0" w:line="26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132"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22"/>
          <w:szCs w:val="22"/>
          <w:color w:val="auto"/>
        </w:rPr>
        <w:t>Exhibit 10.32</w:t>
      </w:r>
    </w:p>
    <w:p>
      <w:pPr>
        <w:spacing w:after="0" w:line="247" w:lineRule="exact"/>
        <w:rPr>
          <w:sz w:val="20"/>
          <w:szCs w:val="20"/>
          <w:color w:val="auto"/>
        </w:rPr>
      </w:pPr>
    </w:p>
    <w:p>
      <w:pPr>
        <w:jc w:val="both"/>
        <w:ind w:firstLine="656"/>
        <w:spacing w:after="0" w:line="247" w:lineRule="auto"/>
        <w:tabs>
          <w:tab w:leader="none" w:pos="1567"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with the exception of Section 8(a) of the Employment Agreement, the Proprietary Information Agreement and the Stock Agreements, except as modified herein.</w:t>
      </w:r>
    </w:p>
    <w:p>
      <w:pPr>
        <w:spacing w:after="0" w:line="234" w:lineRule="exact"/>
        <w:rPr>
          <w:rFonts w:ascii="Arial" w:cs="Arial" w:eastAsia="Arial" w:hAnsi="Arial"/>
          <w:sz w:val="22"/>
          <w:szCs w:val="22"/>
          <w:color w:val="auto"/>
        </w:rPr>
      </w:pPr>
    </w:p>
    <w:p>
      <w:pPr>
        <w:ind w:right="20" w:firstLine="656"/>
        <w:spacing w:after="0" w:line="263" w:lineRule="auto"/>
        <w:tabs>
          <w:tab w:leader="none" w:pos="1567"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No Oral Modification</w:t>
      </w:r>
      <w:r>
        <w:rPr>
          <w:rFonts w:ascii="Arial" w:cs="Arial" w:eastAsia="Arial" w:hAnsi="Arial"/>
          <w:sz w:val="22"/>
          <w:szCs w:val="22"/>
          <w:color w:val="auto"/>
        </w:rPr>
        <w:t>. This Agreement may only be amended in a writing signed by Executive and the Company’s General Counsel.</w:t>
      </w:r>
    </w:p>
    <w:p>
      <w:pPr>
        <w:spacing w:after="0" w:line="215" w:lineRule="exact"/>
        <w:rPr>
          <w:rFonts w:ascii="Arial" w:cs="Arial" w:eastAsia="Arial" w:hAnsi="Arial"/>
          <w:sz w:val="22"/>
          <w:szCs w:val="22"/>
          <w:color w:val="auto"/>
        </w:rPr>
      </w:pPr>
    </w:p>
    <w:p>
      <w:pPr>
        <w:ind w:firstLine="656"/>
        <w:spacing w:after="0" w:line="287" w:lineRule="auto"/>
        <w:tabs>
          <w:tab w:leader="none" w:pos="1567"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the laws of the State of California, without regard for choice-of-law provisions. Executive consents to personal and exclusive jurisdiction and venue in the State of California.</w:t>
      </w:r>
    </w:p>
    <w:p>
      <w:pPr>
        <w:spacing w:after="0" w:line="192" w:lineRule="exact"/>
        <w:rPr>
          <w:rFonts w:ascii="Arial" w:cs="Arial" w:eastAsia="Arial" w:hAnsi="Arial"/>
          <w:sz w:val="21"/>
          <w:szCs w:val="21"/>
          <w:color w:val="auto"/>
        </w:rPr>
      </w:pPr>
    </w:p>
    <w:p>
      <w:pPr>
        <w:jc w:val="both"/>
        <w:ind w:firstLine="656"/>
        <w:spacing w:after="0" w:line="248" w:lineRule="auto"/>
        <w:tabs>
          <w:tab w:leader="none" w:pos="1567"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Executive understands that this Agreement shall be null and void if not executed by him by June 23, 2015 (i.e., within twenty one (21) days from the date Executive was provided this Agreement). Each Party has seven (7) days after that Party signs this Agreement to revoke it. This Agreement will become effective on the eighth (8th) day after Executive signed this Agreement, so long as it has been signed by the Parties and has not been revoked by either Party before that date (the “</w:t>
      </w:r>
      <w:r>
        <w:rPr>
          <w:rFonts w:ascii="Arial" w:cs="Arial" w:eastAsia="Arial" w:hAnsi="Arial"/>
          <w:sz w:val="22"/>
          <w:szCs w:val="22"/>
          <w:b w:val="1"/>
          <w:bCs w:val="1"/>
          <w:color w:val="auto"/>
        </w:rPr>
        <w:t>Effective Date</w:t>
      </w:r>
      <w:r>
        <w:rPr>
          <w:rFonts w:ascii="Arial" w:cs="Arial" w:eastAsia="Arial" w:hAnsi="Arial"/>
          <w:sz w:val="22"/>
          <w:szCs w:val="22"/>
          <w:color w:val="auto"/>
        </w:rPr>
        <w:t>”).</w:t>
      </w:r>
    </w:p>
    <w:p>
      <w:pPr>
        <w:spacing w:after="0" w:line="232" w:lineRule="exact"/>
        <w:rPr>
          <w:rFonts w:ascii="Arial" w:cs="Arial" w:eastAsia="Arial" w:hAnsi="Arial"/>
          <w:sz w:val="22"/>
          <w:szCs w:val="22"/>
          <w:color w:val="auto"/>
        </w:rPr>
      </w:pPr>
    </w:p>
    <w:p>
      <w:pPr>
        <w:jc w:val="both"/>
        <w:ind w:firstLine="656"/>
        <w:spacing w:after="0" w:line="253" w:lineRule="auto"/>
        <w:tabs>
          <w:tab w:leader="none" w:pos="1567"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and by facsimile, and each counterpart and facsimile shall have the same force and effect as an original and shall constitute an effective, binding agreement on the part of each of the undersigned.</w:t>
      </w:r>
    </w:p>
    <w:p>
      <w:pPr>
        <w:spacing w:after="0" w:line="226" w:lineRule="exact"/>
        <w:rPr>
          <w:rFonts w:ascii="Arial" w:cs="Arial" w:eastAsia="Arial" w:hAnsi="Arial"/>
          <w:sz w:val="22"/>
          <w:szCs w:val="22"/>
          <w:color w:val="auto"/>
        </w:rPr>
      </w:pPr>
    </w:p>
    <w:p>
      <w:pPr>
        <w:jc w:val="both"/>
        <w:ind w:firstLine="656"/>
        <w:spacing w:after="0" w:line="287" w:lineRule="auto"/>
        <w:tabs>
          <w:tab w:leader="none" w:pos="1567"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Protected Activity Not Prohibited</w:t>
      </w:r>
      <w:r>
        <w:rPr>
          <w:rFonts w:ascii="Arial" w:cs="Arial" w:eastAsia="Arial" w:hAnsi="Arial"/>
          <w:sz w:val="19"/>
          <w:szCs w:val="19"/>
          <w:color w:val="auto"/>
        </w:rPr>
        <w:t>. Executive understands that nothing in this Agreement shall in any way limit or prohibit Executive from engaging for a lawful purpose in any Protected Activity. For purposes of this Agreement, “Protected Activity” shall mean filing a charge or complaint, or otherwise communicating, cooperating, or participating with, any state, federal, or other governmental agency, including the Securities and Exchange Commission, the Equal Employment Opportunity Commission, and the National Labor Relations Board. Notwithstanding any restrictions set forth in this Agreement, Executive understands that he is not required to obtain authorization from the Company prior to disclosing information to, or communicating with, such agencies, nor is Executive obligated to advise the Company as to any such disclosures or communications. Notwithstanding, in making any such disclosures or communications, Executive agrees to take all reasonable precautions to prevent any unauthorized use or disclosure of any information that may constitute Company confidential information under the Proprietary Information Agreement to any parties other than the relevant government agencies. Executive further understands that “Protected Activity” does not include his disclosure of any Company attorney-client privileged communications, and that any such disclosure without the Company’s written consent shall constitute a material breach of this Agreement.</w:t>
      </w:r>
    </w:p>
    <w:p>
      <w:pPr>
        <w:spacing w:after="0" w:line="200" w:lineRule="exact"/>
        <w:rPr>
          <w:rFonts w:ascii="Arial" w:cs="Arial" w:eastAsia="Arial" w:hAnsi="Arial"/>
          <w:sz w:val="19"/>
          <w:szCs w:val="19"/>
          <w:color w:val="auto"/>
        </w:rPr>
      </w:pPr>
    </w:p>
    <w:p>
      <w:pPr>
        <w:jc w:val="both"/>
        <w:ind w:firstLine="656"/>
        <w:spacing w:after="0" w:line="271" w:lineRule="auto"/>
        <w:tabs>
          <w:tab w:leader="none" w:pos="1567"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Voluntary Execution of Agreement</w:t>
      </w:r>
      <w:r>
        <w:rPr>
          <w:rFonts w:ascii="Arial" w:cs="Arial" w:eastAsia="Arial" w:hAnsi="Arial"/>
          <w:sz w:val="21"/>
          <w:szCs w:val="21"/>
          <w:color w:val="auto"/>
        </w:rPr>
        <w:t>. Executive understands and agrees that he executed this Agreement voluntarily, without any duress or undue influence on the part or behalf of the Company or any third party, with the full intent of releasing all of his claims against the Company and any of the other Releasees. Executive acknowledges that:</w:t>
      </w:r>
    </w:p>
    <w:p>
      <w:pPr>
        <w:spacing w:after="0" w:line="19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132"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22"/>
          <w:szCs w:val="22"/>
          <w:color w:val="auto"/>
        </w:rPr>
        <w:t>Exhibit 10.32</w:t>
      </w:r>
    </w:p>
    <w:p>
      <w:pPr>
        <w:spacing w:after="0" w:line="200" w:lineRule="exact"/>
        <w:rPr>
          <w:sz w:val="20"/>
          <w:szCs w:val="20"/>
          <w:color w:val="auto"/>
        </w:rPr>
      </w:pPr>
    </w:p>
    <w:p>
      <w:pPr>
        <w:spacing w:after="0" w:line="303" w:lineRule="exact"/>
        <w:rPr>
          <w:sz w:val="20"/>
          <w:szCs w:val="20"/>
          <w:color w:val="auto"/>
        </w:rPr>
      </w:pPr>
    </w:p>
    <w:p>
      <w:pPr>
        <w:ind w:left="560" w:hanging="455"/>
        <w:spacing w:after="0"/>
        <w:tabs>
          <w:tab w:leader="none" w:pos="5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he has read this Agreement;</w:t>
      </w:r>
    </w:p>
    <w:p>
      <w:pPr>
        <w:spacing w:after="0" w:line="260" w:lineRule="exact"/>
        <w:rPr>
          <w:rFonts w:ascii="Arial" w:cs="Arial" w:eastAsia="Arial" w:hAnsi="Arial"/>
          <w:sz w:val="22"/>
          <w:szCs w:val="22"/>
          <w:color w:val="auto"/>
        </w:rPr>
      </w:pPr>
    </w:p>
    <w:p>
      <w:pPr>
        <w:ind w:left="760" w:hanging="655"/>
        <w:spacing w:after="0" w:line="263" w:lineRule="auto"/>
        <w:tabs>
          <w:tab w:leader="none" w:pos="7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he has been represented in the preparation, negotiation, and execution of this Agreement by legal counsel of his own choice or has elected not to retain legal counsel;</w:t>
      </w:r>
    </w:p>
    <w:p>
      <w:pPr>
        <w:spacing w:after="0" w:line="215" w:lineRule="exact"/>
        <w:rPr>
          <w:rFonts w:ascii="Arial" w:cs="Arial" w:eastAsia="Arial" w:hAnsi="Arial"/>
          <w:sz w:val="22"/>
          <w:szCs w:val="22"/>
          <w:color w:val="auto"/>
        </w:rPr>
      </w:pPr>
    </w:p>
    <w:p>
      <w:pPr>
        <w:ind w:left="760" w:hanging="655"/>
        <w:spacing w:after="0"/>
        <w:tabs>
          <w:tab w:leader="none" w:pos="760" w:val="left"/>
        </w:tabs>
        <w:numPr>
          <w:ilvl w:val="0"/>
          <w:numId w:val="47"/>
        </w:numPr>
        <w:rPr>
          <w:rFonts w:ascii="Arial" w:cs="Arial" w:eastAsia="Arial" w:hAnsi="Arial"/>
          <w:sz w:val="21"/>
          <w:szCs w:val="21"/>
          <w:color w:val="auto"/>
        </w:rPr>
      </w:pPr>
      <w:r>
        <w:rPr>
          <w:rFonts w:ascii="Arial" w:cs="Arial" w:eastAsia="Arial" w:hAnsi="Arial"/>
          <w:sz w:val="21"/>
          <w:szCs w:val="21"/>
          <w:color w:val="auto"/>
        </w:rPr>
        <w:t>he understands the terms and consequences of this Agreement and of the releases it contains; and</w:t>
      </w:r>
    </w:p>
    <w:p>
      <w:pPr>
        <w:spacing w:after="0" w:line="271" w:lineRule="exact"/>
        <w:rPr>
          <w:rFonts w:ascii="Arial" w:cs="Arial" w:eastAsia="Arial" w:hAnsi="Arial"/>
          <w:sz w:val="21"/>
          <w:szCs w:val="21"/>
          <w:color w:val="auto"/>
        </w:rPr>
      </w:pPr>
    </w:p>
    <w:p>
      <w:pPr>
        <w:ind w:left="580" w:hanging="475"/>
        <w:spacing w:after="0"/>
        <w:tabs>
          <w:tab w:leader="none" w:pos="580" w:val="left"/>
        </w:tabs>
        <w:numPr>
          <w:ilvl w:val="0"/>
          <w:numId w:val="47"/>
        </w:numPr>
        <w:rPr>
          <w:rFonts w:ascii="Arial" w:cs="Arial" w:eastAsia="Arial" w:hAnsi="Arial"/>
          <w:sz w:val="22"/>
          <w:szCs w:val="22"/>
          <w:color w:val="auto"/>
        </w:rPr>
      </w:pPr>
      <w:r>
        <w:rPr>
          <w:rFonts w:ascii="Arial" w:cs="Arial" w:eastAsia="Arial" w:hAnsi="Arial"/>
          <w:sz w:val="22"/>
          <w:szCs w:val="22"/>
          <w:color w:val="auto"/>
        </w:rPr>
        <w:t>he is fully aware of the legal and binding effect of this Agreement.</w:t>
      </w:r>
    </w:p>
    <w:p>
      <w:pPr>
        <w:spacing w:after="0" w:line="260" w:lineRule="exact"/>
        <w:rPr>
          <w:sz w:val="20"/>
          <w:szCs w:val="20"/>
          <w:color w:val="auto"/>
        </w:rPr>
      </w:pPr>
    </w:p>
    <w:p>
      <w:pPr>
        <w:ind w:left="3380"/>
        <w:spacing w:after="0"/>
        <w:rPr>
          <w:sz w:val="20"/>
          <w:szCs w:val="20"/>
          <w:color w:val="auto"/>
        </w:rPr>
      </w:pPr>
      <w:r>
        <w:rPr>
          <w:rFonts w:ascii="Arial" w:cs="Arial" w:eastAsia="Arial" w:hAnsi="Arial"/>
          <w:sz w:val="22"/>
          <w:szCs w:val="22"/>
          <w:i w:val="1"/>
          <w:iCs w:val="1"/>
          <w:color w:val="auto"/>
        </w:rPr>
        <w:t>(Signature page to follow)</w:t>
      </w:r>
    </w:p>
    <w:p>
      <w:pPr>
        <w:spacing w:after="0" w:line="251"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220"/>
          </w:cols>
          <w:pgMar w:left="1440" w:top="132"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22"/>
          <w:szCs w:val="22"/>
          <w:color w:val="auto"/>
        </w:rPr>
        <w:t>Exhibit 10.32</w:t>
      </w:r>
    </w:p>
    <w:p>
      <w:pPr>
        <w:spacing w:after="0" w:line="200" w:lineRule="exact"/>
        <w:rPr>
          <w:sz w:val="20"/>
          <w:szCs w:val="20"/>
          <w:color w:val="auto"/>
        </w:rPr>
      </w:pPr>
    </w:p>
    <w:p>
      <w:pPr>
        <w:spacing w:after="0" w:line="303" w:lineRule="exact"/>
        <w:rPr>
          <w:sz w:val="20"/>
          <w:szCs w:val="20"/>
          <w:color w:val="auto"/>
        </w:rPr>
      </w:pPr>
    </w:p>
    <w:p>
      <w:pPr>
        <w:ind w:left="620"/>
        <w:spacing w:after="0"/>
        <w:rPr>
          <w:sz w:val="20"/>
          <w:szCs w:val="20"/>
          <w:color w:val="auto"/>
        </w:rPr>
      </w:pPr>
      <w:r>
        <w:rPr>
          <w:rFonts w:ascii="Arial" w:cs="Arial" w:eastAsia="Arial" w:hAnsi="Arial"/>
          <w:sz w:val="22"/>
          <w:szCs w:val="22"/>
          <w:color w:val="auto"/>
        </w:rPr>
        <w:t>IN WITNESS WHEREOF, the Parties have executed this Agreement on the respective dates set forth below.</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4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5700" w:type="dxa"/>
            <w:vAlign w:val="bottom"/>
          </w:tcPr>
          <w:p>
            <w:pPr>
              <w:ind w:left="40"/>
              <w:spacing w:after="0"/>
              <w:rPr>
                <w:sz w:val="20"/>
                <w:szCs w:val="20"/>
                <w:color w:val="auto"/>
              </w:rPr>
            </w:pPr>
            <w:r>
              <w:rPr>
                <w:rFonts w:ascii="Arial" w:cs="Arial" w:eastAsia="Arial" w:hAnsi="Arial"/>
                <w:sz w:val="22"/>
                <w:szCs w:val="22"/>
                <w:color w:val="auto"/>
              </w:rPr>
              <w:t>THOMAS M. PRESCOTT, an individual</w:t>
            </w:r>
          </w:p>
        </w:tc>
      </w:tr>
      <w:tr>
        <w:trPr>
          <w:trHeight w:val="632"/>
        </w:trPr>
        <w:tc>
          <w:tcPr>
            <w:tcW w:w="3480" w:type="dxa"/>
            <w:vAlign w:val="bottom"/>
          </w:tcPr>
          <w:p>
            <w:pPr>
              <w:spacing w:after="0"/>
              <w:rPr>
                <w:sz w:val="20"/>
                <w:szCs w:val="20"/>
                <w:color w:val="auto"/>
              </w:rPr>
            </w:pPr>
            <w:r>
              <w:rPr>
                <w:rFonts w:ascii="Arial" w:cs="Arial" w:eastAsia="Arial" w:hAnsi="Arial"/>
                <w:sz w:val="22"/>
                <w:szCs w:val="22"/>
                <w:color w:val="auto"/>
              </w:rPr>
              <w:t>Dated: June 5, 2015</w:t>
            </w:r>
          </w:p>
        </w:tc>
        <w:tc>
          <w:tcPr>
            <w:tcW w:w="2180" w:type="dxa"/>
            <w:vAlign w:val="bottom"/>
          </w:tcPr>
          <w:p>
            <w:pPr>
              <w:spacing w:after="0"/>
              <w:rPr>
                <w:sz w:val="24"/>
                <w:szCs w:val="24"/>
                <w:color w:val="auto"/>
              </w:rPr>
            </w:pPr>
          </w:p>
        </w:tc>
        <w:tc>
          <w:tcPr>
            <w:tcW w:w="57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Thomas M. Prescott</w:t>
            </w:r>
          </w:p>
        </w:tc>
      </w:tr>
      <w:tr>
        <w:trPr>
          <w:trHeight w:val="243"/>
        </w:trPr>
        <w:tc>
          <w:tcPr>
            <w:tcW w:w="34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5700" w:type="dxa"/>
            <w:vAlign w:val="bottom"/>
          </w:tcPr>
          <w:p>
            <w:pPr>
              <w:ind w:left="40"/>
              <w:spacing w:after="0"/>
              <w:rPr>
                <w:sz w:val="20"/>
                <w:szCs w:val="20"/>
                <w:color w:val="auto"/>
              </w:rPr>
            </w:pPr>
            <w:r>
              <w:rPr>
                <w:rFonts w:ascii="Arial" w:cs="Arial" w:eastAsia="Arial" w:hAnsi="Arial"/>
                <w:sz w:val="18"/>
                <w:szCs w:val="18"/>
                <w:color w:val="auto"/>
              </w:rPr>
              <w:t>Thomas M. Prescott</w:t>
            </w:r>
          </w:p>
        </w:tc>
      </w:tr>
      <w:tr>
        <w:trPr>
          <w:trHeight w:val="847"/>
        </w:trPr>
        <w:tc>
          <w:tcPr>
            <w:tcW w:w="3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700" w:type="dxa"/>
            <w:vAlign w:val="bottom"/>
          </w:tcPr>
          <w:p>
            <w:pPr>
              <w:ind w:left="40"/>
              <w:spacing w:after="0"/>
              <w:rPr>
                <w:sz w:val="20"/>
                <w:szCs w:val="20"/>
                <w:color w:val="auto"/>
              </w:rPr>
            </w:pPr>
            <w:r>
              <w:rPr>
                <w:rFonts w:ascii="Arial" w:cs="Arial" w:eastAsia="Arial" w:hAnsi="Arial"/>
                <w:sz w:val="22"/>
                <w:szCs w:val="22"/>
                <w:color w:val="auto"/>
              </w:rPr>
              <w:t>ALIGN TECHNOLOGY, INC.</w:t>
            </w:r>
          </w:p>
        </w:tc>
      </w:tr>
      <w:tr>
        <w:trPr>
          <w:trHeight w:val="632"/>
        </w:trPr>
        <w:tc>
          <w:tcPr>
            <w:tcW w:w="3480" w:type="dxa"/>
            <w:vAlign w:val="bottom"/>
          </w:tcPr>
          <w:p>
            <w:pPr>
              <w:spacing w:after="0"/>
              <w:rPr>
                <w:sz w:val="20"/>
                <w:szCs w:val="20"/>
                <w:color w:val="auto"/>
              </w:rPr>
            </w:pPr>
            <w:r>
              <w:rPr>
                <w:rFonts w:ascii="Arial" w:cs="Arial" w:eastAsia="Arial" w:hAnsi="Arial"/>
                <w:sz w:val="22"/>
                <w:szCs w:val="22"/>
                <w:color w:val="auto"/>
              </w:rPr>
              <w:t>Dated: June 3, 2015</w:t>
            </w:r>
          </w:p>
        </w:tc>
        <w:tc>
          <w:tcPr>
            <w:tcW w:w="7880" w:type="dxa"/>
            <w:vAlign w:val="bottom"/>
            <w:gridSpan w:val="2"/>
          </w:tcPr>
          <w:p>
            <w:pPr>
              <w:ind w:left="17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21"/>
                <w:szCs w:val="21"/>
                <w:color w:val="auto"/>
              </w:rPr>
              <w:t>/s/ Roger E. George</w:t>
            </w:r>
          </w:p>
        </w:tc>
      </w:tr>
      <w:tr>
        <w:trPr>
          <w:trHeight w:val="280"/>
        </w:trPr>
        <w:tc>
          <w:tcPr>
            <w:tcW w:w="3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70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rPr>
              <w:t>Roger E. George</w:t>
            </w:r>
          </w:p>
        </w:tc>
      </w:tr>
      <w:tr>
        <w:trPr>
          <w:trHeight w:val="297"/>
        </w:trPr>
        <w:tc>
          <w:tcPr>
            <w:tcW w:w="3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700" w:type="dxa"/>
            <w:vAlign w:val="bottom"/>
          </w:tcPr>
          <w:p>
            <w:pPr>
              <w:ind w:left="40"/>
              <w:spacing w:after="0"/>
              <w:rPr>
                <w:sz w:val="20"/>
                <w:szCs w:val="20"/>
                <w:color w:val="auto"/>
              </w:rPr>
            </w:pPr>
            <w:r>
              <w:rPr>
                <w:rFonts w:ascii="Arial" w:cs="Arial" w:eastAsia="Arial" w:hAnsi="Arial"/>
                <w:sz w:val="22"/>
                <w:szCs w:val="22"/>
                <w:color w:val="auto"/>
              </w:rPr>
              <w:t>Vice President, Corporate &amp; Legal Affairs and</w:t>
            </w:r>
          </w:p>
        </w:tc>
      </w:tr>
      <w:tr>
        <w:trPr>
          <w:trHeight w:val="297"/>
        </w:trPr>
        <w:tc>
          <w:tcPr>
            <w:tcW w:w="3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700" w:type="dxa"/>
            <w:vAlign w:val="bottom"/>
          </w:tcPr>
          <w:p>
            <w:pPr>
              <w:ind w:left="40"/>
              <w:spacing w:after="0"/>
              <w:rPr>
                <w:sz w:val="20"/>
                <w:szCs w:val="20"/>
                <w:color w:val="auto"/>
              </w:rPr>
            </w:pPr>
            <w:r>
              <w:rPr>
                <w:rFonts w:ascii="Arial" w:cs="Arial" w:eastAsia="Arial" w:hAnsi="Arial"/>
                <w:sz w:val="22"/>
                <w:szCs w:val="22"/>
                <w:color w:val="auto"/>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380"/>
          </w:cols>
          <w:pgMar w:left="280" w:top="132"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22"/>
          <w:szCs w:val="22"/>
          <w:color w:val="auto"/>
        </w:rPr>
        <w:t>Exhibit 10.32</w:t>
      </w:r>
    </w:p>
    <w:p>
      <w:pPr>
        <w:spacing w:after="0" w:line="241" w:lineRule="exact"/>
        <w:rPr>
          <w:sz w:val="20"/>
          <w:szCs w:val="20"/>
          <w:color w:val="auto"/>
        </w:rPr>
      </w:pPr>
    </w:p>
    <w:p>
      <w:pPr>
        <w:ind w:left="3940"/>
        <w:spacing w:after="0"/>
        <w:rPr>
          <w:sz w:val="20"/>
          <w:szCs w:val="20"/>
          <w:color w:val="auto"/>
        </w:rPr>
      </w:pPr>
      <w:r>
        <w:rPr>
          <w:rFonts w:ascii="Arial" w:cs="Arial" w:eastAsia="Arial" w:hAnsi="Arial"/>
          <w:sz w:val="22"/>
          <w:szCs w:val="22"/>
          <w:b w:val="1"/>
          <w:bCs w:val="1"/>
          <w:u w:val="single" w:color="auto"/>
          <w:color w:val="auto"/>
        </w:rPr>
        <w:t>EXHIBIT A</w:t>
      </w:r>
    </w:p>
    <w:p>
      <w:pPr>
        <w:spacing w:after="0" w:line="200" w:lineRule="exact"/>
        <w:rPr>
          <w:sz w:val="20"/>
          <w:szCs w:val="20"/>
          <w:color w:val="auto"/>
        </w:rPr>
      </w:pPr>
    </w:p>
    <w:p>
      <w:pPr>
        <w:spacing w:after="0" w:line="323"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0220"/>
          </w:cols>
          <w:pgMar w:left="1440" w:top="132"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28,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Fixed Dollar Accelerated Share Repurchase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Align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2560 Orchard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 95131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purpose of this letter agreement (this “Confirmation”) is to confirm the terms and conditions of the Transaction entered into between Morgan Stanley &amp; Co. LLC (“Dealer”) and Align Technology, Inc. (“Issuer”) on the Trade Date specified below (the “Transaction”). This confirmation constitutes a “Confirmation” as referred to in the Agreement specified below.</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definitions and provisions contained in the 2002 ISDA Equity Derivatives Definitions (as published by the International Swaps and Derivatives Association, Inc. (“ISDA”)) (the “Equity Definitions”) are incorporated into this Confirmation. The Transaction is a Share Forward Transaction for purposes of the Equity Definitions. Any reference to a currency shall have the meaning contained in Section 1.7 of the 2006 ISDA Definitions, as published by ISDA.</w:t>
      </w:r>
    </w:p>
    <w:p>
      <w:pPr>
        <w:spacing w:after="0" w:line="174" w:lineRule="exact"/>
        <w:rPr>
          <w:sz w:val="20"/>
          <w:szCs w:val="20"/>
          <w:color w:val="auto"/>
        </w:rPr>
      </w:pPr>
    </w:p>
    <w:p>
      <w:pPr>
        <w:jc w:val="both"/>
        <w:ind w:firstLine="656"/>
        <w:spacing w:after="0" w:line="334" w:lineRule="auto"/>
        <w:tabs>
          <w:tab w:leader="none" w:pos="1431"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This Confirmation evidences a complete and binding agreement between Dealer and Issuer as to the terms of the Transaction to which this Confirmation relates and shall supersede all prior or contemporaneous written or oral communications with respect thereto. This Confirmation shall be subject to an agreement (the “Agreement”) in the form of the 2002 ISDA Master Agreement as if Dealer and Issuer had executed an agreement in such form without any Schedule but with the elections set forth in this Confirmation (and (1) the election of USD as the Termination Currency, (2) the election that subparagraph</w:t>
      </w:r>
    </w:p>
    <w:p>
      <w:pPr>
        <w:spacing w:after="0" w:line="2" w:lineRule="exact"/>
        <w:rPr>
          <w:rFonts w:ascii="Arial" w:cs="Arial" w:eastAsia="Arial" w:hAnsi="Arial"/>
          <w:sz w:val="16"/>
          <w:szCs w:val="16"/>
          <w:color w:val="auto"/>
        </w:rPr>
      </w:pPr>
    </w:p>
    <w:p>
      <w:pPr>
        <w:jc w:val="both"/>
        <w:ind w:firstLine="8"/>
        <w:spacing w:after="0" w:line="302" w:lineRule="auto"/>
        <w:tabs>
          <w:tab w:leader="none" w:pos="271" w:val="left"/>
        </w:tabs>
        <w:numPr>
          <w:ilvl w:val="0"/>
          <w:numId w:val="49"/>
        </w:numPr>
        <w:rPr>
          <w:rFonts w:ascii="Arial" w:cs="Arial" w:eastAsia="Arial" w:hAnsi="Arial"/>
          <w:sz w:val="18"/>
          <w:szCs w:val="18"/>
          <w:color w:val="auto"/>
        </w:rPr>
      </w:pPr>
      <w:r>
        <w:rPr>
          <w:rFonts w:ascii="Arial" w:cs="Arial" w:eastAsia="Arial" w:hAnsi="Arial"/>
          <w:sz w:val="18"/>
          <w:szCs w:val="18"/>
          <w:color w:val="auto"/>
        </w:rPr>
        <w:t>of Section 2(c) will not apply to the Transactions and (3) the election that the “Cross Default” provisions of Section 5(a)(vi) shall apply to Dealer, with a “Threshold Amount” of 3% of Dealer shareholders’ equity for Dealer (provided that (a) the phrase “or becoming capable at such time of being declared” shall be deleted from clause (1) of such Section 5(a)(vi) of the Agreement and (b) the following sentence shall be added to the end thereof: “Notwithstanding the foregoing, a default hereunder shall not constitute an Event of Default if (i) the default was caused solely by error or omission of an administrative or operational nature; (ii) funds were available to enable the party to make the payment when due; and (iii) the payment is made within two Local Business Days of such party’s receipt of written notice of its failure to pay)”.</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Transaction shall be the only transaction under the Agreement. If there exists any ISDA Master Agreement between Dealer and Issuer or any confirmation or other agreement between Dealer and Issuer pursuant to which an ISDA Master Agreement is deemed to exist between Dealer and Issuer, then, notwithstanding anything to the contrary in such ISDA Master Agreement, such confirmation or agreement or any other agreement to which Dealer and Issuer are parties, the Transaction shall not be considered a transaction under, or otherwise governed by, such existing or deemed to be existing ISDA Master Agreement.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there is any inconsistency between the Agreement, this Confirmation and the Equity Definitions, the following will prevail for purposes of the Transaction in the order of precedence indicated: (i) this Master Confirmation; (ii) the Equity Definitions; and (iii) the Agreement.</w:t>
      </w:r>
    </w:p>
    <w:p>
      <w:pPr>
        <w:spacing w:after="0" w:line="188" w:lineRule="exact"/>
        <w:rPr>
          <w:sz w:val="20"/>
          <w:szCs w:val="20"/>
          <w:color w:val="auto"/>
        </w:rPr>
      </w:pPr>
    </w:p>
    <w:p>
      <w:pPr>
        <w:ind w:left="1000" w:hanging="344"/>
        <w:spacing w:after="0"/>
        <w:tabs>
          <w:tab w:leader="none" w:pos="1000" w:val="left"/>
        </w:tabs>
        <w:numPr>
          <w:ilvl w:val="0"/>
          <w:numId w:val="50"/>
        </w:numPr>
        <w:rPr>
          <w:rFonts w:ascii="Arial" w:cs="Arial" w:eastAsia="Arial" w:hAnsi="Arial"/>
          <w:sz w:val="22"/>
          <w:szCs w:val="22"/>
          <w:color w:val="auto"/>
        </w:rPr>
      </w:pPr>
      <w:r>
        <w:rPr>
          <w:rFonts w:ascii="Arial" w:cs="Arial" w:eastAsia="Arial" w:hAnsi="Arial"/>
          <w:sz w:val="18"/>
          <w:szCs w:val="18"/>
          <w:color w:val="auto"/>
        </w:rPr>
        <w:t>The terms of the particular Transaction to which this Confirmation relates are as follows: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w:t>
      </w:r>
    </w:p>
    <w:p>
      <w:pPr>
        <w:sectPr>
          <w:pgSz w:w="11900" w:h="16838" w:orient="portrait"/>
          <w:cols w:equalWidth="0" w:num="1">
            <w:col w:w="11420"/>
          </w:cols>
          <w:pgMar w:left="240" w:top="341" w:right="239"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11"/>
          <w:szCs w:val="11"/>
          <w:color w:val="auto"/>
        </w:rPr>
        <w:t>Page 2</w:t>
      </w:r>
    </w:p>
    <w:p>
      <w:pPr>
        <w:sectPr>
          <w:pgSz w:w="11900" w:h="16838" w:orient="portrait"/>
          <w:cols w:equalWidth="0" w:num="1">
            <w:col w:w="11360"/>
          </w:cols>
          <w:pgMar w:left="280" w:top="33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As specified in Schedule I</w:t>
      </w:r>
    </w:p>
    <w:p>
      <w:pPr>
        <w:spacing w:after="0" w:line="86" w:lineRule="exact"/>
        <w:rPr>
          <w:sz w:val="20"/>
          <w:szCs w:val="20"/>
          <w:color w:val="auto"/>
        </w:rPr>
      </w:pPr>
    </w:p>
    <w:p>
      <w:pPr>
        <w:sectPr>
          <w:pgSz w:w="11900" w:h="16838" w:orient="portrait"/>
          <w:cols w:equalWidth="0" w:num="2">
            <w:col w:w="2240" w:space="720"/>
            <w:col w:w="8400"/>
          </w:cols>
          <w:pgMar w:left="280" w:top="337" w:right="259" w:bottom="1440" w:gutter="0" w:footer="0" w:header="0"/>
          <w:type w:val="continuous"/>
        </w:sectPr>
      </w:pPr>
    </w:p>
    <w:p>
      <w:pPr>
        <w:spacing w:after="0"/>
        <w:rPr>
          <w:sz w:val="20"/>
          <w:szCs w:val="20"/>
          <w:color w:val="auto"/>
        </w:rPr>
      </w:pPr>
      <w:r>
        <w:rPr>
          <w:rFonts w:ascii="Arial" w:cs="Arial" w:eastAsia="Arial" w:hAnsi="Arial"/>
          <w:sz w:val="16"/>
          <w:szCs w:val="16"/>
          <w:color w:val="auto"/>
        </w:rPr>
        <w:t>Buyer: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Issuer</w:t>
      </w:r>
    </w:p>
    <w:p>
      <w:pPr>
        <w:spacing w:after="0" w:line="86" w:lineRule="exact"/>
        <w:rPr>
          <w:sz w:val="20"/>
          <w:szCs w:val="20"/>
          <w:color w:val="auto"/>
        </w:rPr>
      </w:pPr>
    </w:p>
    <w:p>
      <w:pPr>
        <w:sectPr>
          <w:pgSz w:w="11900" w:h="16838" w:orient="portrait"/>
          <w:cols w:equalWidth="0" w:num="2">
            <w:col w:w="2240" w:space="720"/>
            <w:col w:w="8400"/>
          </w:cols>
          <w:pgMar w:left="280" w:top="337" w:right="259" w:bottom="1440" w:gutter="0" w:footer="0" w:header="0"/>
          <w:type w:val="continuous"/>
        </w:sectPr>
      </w:pPr>
    </w:p>
    <w:p>
      <w:pPr>
        <w:spacing w:after="0"/>
        <w:rPr>
          <w:sz w:val="20"/>
          <w:szCs w:val="20"/>
          <w:color w:val="auto"/>
        </w:rPr>
      </w:pPr>
      <w:r>
        <w:rPr>
          <w:rFonts w:ascii="Arial" w:cs="Arial" w:eastAsia="Arial" w:hAnsi="Arial"/>
          <w:sz w:val="16"/>
          <w:szCs w:val="16"/>
          <w:color w:val="auto"/>
        </w:rPr>
        <w:t>Seller: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Dealer</w:t>
      </w:r>
    </w:p>
    <w:p>
      <w:pPr>
        <w:spacing w:after="0" w:line="86" w:lineRule="exact"/>
        <w:rPr>
          <w:sz w:val="20"/>
          <w:szCs w:val="20"/>
          <w:color w:val="auto"/>
        </w:rPr>
      </w:pPr>
    </w:p>
    <w:p>
      <w:pPr>
        <w:sectPr>
          <w:pgSz w:w="11900" w:h="16838" w:orient="portrait"/>
          <w:cols w:equalWidth="0" w:num="2">
            <w:col w:w="2240" w:space="720"/>
            <w:col w:w="8400"/>
          </w:cols>
          <w:pgMar w:left="280" w:top="337" w:right="259" w:bottom="1440" w:gutter="0" w:footer="0" w:header="0"/>
          <w:type w:val="continuous"/>
        </w:sectPr>
      </w:pPr>
    </w:p>
    <w:p>
      <w:pPr>
        <w:spacing w:after="0"/>
        <w:rPr>
          <w:sz w:val="20"/>
          <w:szCs w:val="20"/>
          <w:color w:val="auto"/>
        </w:rPr>
      </w:pPr>
      <w:r>
        <w:rPr>
          <w:rFonts w:ascii="Arial" w:cs="Arial" w:eastAsia="Arial" w:hAnsi="Arial"/>
          <w:sz w:val="15"/>
          <w:szCs w:val="15"/>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Common Stock, par value USD 0.0001 per share, of Issuer (Ticker: ALGN)</w:t>
      </w:r>
    </w:p>
    <w:p>
      <w:pPr>
        <w:spacing w:after="0" w:line="86" w:lineRule="exact"/>
        <w:rPr>
          <w:sz w:val="20"/>
          <w:szCs w:val="20"/>
          <w:color w:val="auto"/>
        </w:rPr>
      </w:pPr>
    </w:p>
    <w:p>
      <w:pPr>
        <w:sectPr>
          <w:pgSz w:w="11900" w:h="16838" w:orient="portrait"/>
          <w:cols w:equalWidth="0" w:num="2">
            <w:col w:w="2240" w:space="720"/>
            <w:col w:w="8400"/>
          </w:cols>
          <w:pgMar w:left="280" w:top="337" w:right="259" w:bottom="1440" w:gutter="0" w:footer="0" w:header="0"/>
          <w:type w:val="continuous"/>
        </w:sectPr>
      </w:pPr>
    </w:p>
    <w:p>
      <w:pPr>
        <w:spacing w:after="0"/>
        <w:rPr>
          <w:sz w:val="20"/>
          <w:szCs w:val="20"/>
          <w:color w:val="auto"/>
        </w:rPr>
      </w:pPr>
      <w:r>
        <w:rPr>
          <w:rFonts w:ascii="Arial" w:cs="Arial" w:eastAsia="Arial" w:hAnsi="Arial"/>
          <w:sz w:val="16"/>
          <w:szCs w:val="16"/>
          <w:color w:val="auto"/>
        </w:rPr>
        <w:t>Forward Price:</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A price per Share (as determined by the Calculation Agent) equal to the greater of (A) (i) the arithmetic mean (not a weighted average) of the 10b-18 VWAP on each Observation Date that is a Trading Day during the Calculation Period minus (ii) the Discount and (B) $5.00.</w:t>
      </w:r>
    </w:p>
    <w:p>
      <w:pPr>
        <w:spacing w:after="0" w:line="19" w:lineRule="exact"/>
        <w:rPr>
          <w:sz w:val="20"/>
          <w:szCs w:val="20"/>
          <w:color w:val="auto"/>
        </w:rPr>
      </w:pPr>
    </w:p>
    <w:p>
      <w:pPr>
        <w:sectPr>
          <w:pgSz w:w="11900" w:h="16838" w:orient="portrait"/>
          <w:cols w:equalWidth="0" w:num="2">
            <w:col w:w="2240" w:space="720"/>
            <w:col w:w="8400"/>
          </w:cols>
          <w:pgMar w:left="280" w:top="337" w:right="259" w:bottom="1440" w:gutter="0" w:footer="0" w:header="0"/>
          <w:type w:val="continuous"/>
        </w:sectPr>
      </w:pPr>
    </w:p>
    <w:p>
      <w:pPr>
        <w:spacing w:after="0"/>
        <w:rPr>
          <w:sz w:val="20"/>
          <w:szCs w:val="20"/>
          <w:color w:val="auto"/>
        </w:rPr>
      </w:pPr>
      <w:r>
        <w:rPr>
          <w:rFonts w:ascii="Arial" w:cs="Arial" w:eastAsia="Arial" w:hAnsi="Arial"/>
          <w:sz w:val="16"/>
          <w:szCs w:val="16"/>
          <w:color w:val="auto"/>
        </w:rPr>
        <w:t>Discount: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specified in Schedule I</w:t>
      </w:r>
    </w:p>
    <w:p>
      <w:pPr>
        <w:spacing w:after="0" w:line="86" w:lineRule="exact"/>
        <w:rPr>
          <w:sz w:val="20"/>
          <w:szCs w:val="20"/>
          <w:color w:val="auto"/>
        </w:rPr>
      </w:pPr>
    </w:p>
    <w:p>
      <w:pPr>
        <w:sectPr>
          <w:pgSz w:w="11900" w:h="16838" w:orient="portrait"/>
          <w:cols w:equalWidth="0" w:num="2">
            <w:col w:w="2240" w:space="720"/>
            <w:col w:w="8400"/>
          </w:cols>
          <w:pgMar w:left="280" w:top="337"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10b-18 VWAP:</w:t>
      </w:r>
    </w:p>
    <w:p>
      <w:pPr>
        <w:spacing w:after="0" w:line="20" w:lineRule="exact"/>
        <w:rPr>
          <w:sz w:val="20"/>
          <w:szCs w:val="20"/>
          <w:color w:val="auto"/>
        </w:rPr>
      </w:pPr>
      <w:r>
        <w:rPr>
          <w:sz w:val="20"/>
          <w:szCs w:val="20"/>
          <w:color w:val="auto"/>
        </w:rPr>
        <w:br w:type="column"/>
      </w:r>
    </w:p>
    <w:p>
      <w:pPr>
        <w:jc w:val="both"/>
        <w:spacing w:after="0" w:line="288" w:lineRule="auto"/>
        <w:rPr>
          <w:sz w:val="20"/>
          <w:szCs w:val="20"/>
          <w:color w:val="auto"/>
        </w:rPr>
      </w:pPr>
      <w:r>
        <w:rPr>
          <w:rFonts w:ascii="Arial" w:cs="Arial" w:eastAsia="Arial" w:hAnsi="Arial"/>
          <w:sz w:val="16"/>
          <w:szCs w:val="16"/>
          <w:color w:val="auto"/>
        </w:rPr>
        <w:t>On any Trading Day, a price per Share equal to the volume-weighted average price of the Rule 10b-18 eligible trades in the Shares for the entirety of such Trading Day as determined by the Calculation Agent by reference to the screen entitled “ALGN &lt;Equity&gt; AQR SEC” or any successor page as reported by Bloomberg L.P. or any successor (excluding (i) trades that do not settle regular way, (ii) opening (regular way) reported trades in the consolidated system on such Scheduled Trading Day, (iii) trades that occur in the last ten minutes before the scheduled close of trading on the Exchange on such Scheduled Trading Day and ten minutes before the scheduled close of the primary trading in the market where the trade is effected, and (iv) trades on such Scheduled Trading Day that do not satisfy the requirements of Rule 10b-18(b)(5) of the Securities Exchange Act of 1934, as amended (the “Exchange Act”) on such Trading Day) or, if the price displayed on such screen is clearly erroneous, as determined by the Calculation Agent in good faith and in a commercially reasonable manner.</w:t>
      </w:r>
    </w:p>
    <w:p>
      <w:pPr>
        <w:spacing w:after="0" w:line="7" w:lineRule="exact"/>
        <w:rPr>
          <w:sz w:val="20"/>
          <w:szCs w:val="20"/>
          <w:color w:val="auto"/>
        </w:rPr>
      </w:pPr>
    </w:p>
    <w:p>
      <w:pPr>
        <w:sectPr>
          <w:pgSz w:w="11900" w:h="16838" w:orient="portrait"/>
          <w:cols w:equalWidth="0" w:num="2">
            <w:col w:w="2240" w:space="720"/>
            <w:col w:w="8400"/>
          </w:cols>
          <w:pgMar w:left="280" w:top="337" w:right="259" w:bottom="1440" w:gutter="0" w:footer="0" w:header="0"/>
          <w:type w:val="continuous"/>
        </w:sectPr>
      </w:pPr>
    </w:p>
    <w:p>
      <w:pPr>
        <w:spacing w:after="0"/>
        <w:rPr>
          <w:sz w:val="20"/>
          <w:szCs w:val="20"/>
          <w:color w:val="auto"/>
        </w:rPr>
      </w:pPr>
      <w:r>
        <w:rPr>
          <w:rFonts w:ascii="Arial" w:cs="Arial" w:eastAsia="Arial" w:hAnsi="Arial"/>
          <w:sz w:val="16"/>
          <w:szCs w:val="16"/>
          <w:color w:val="auto"/>
        </w:rPr>
        <w:t>Observation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specified in Schedule I</w:t>
      </w:r>
    </w:p>
    <w:p>
      <w:pPr>
        <w:spacing w:after="0" w:line="86" w:lineRule="exact"/>
        <w:rPr>
          <w:sz w:val="20"/>
          <w:szCs w:val="20"/>
          <w:color w:val="auto"/>
        </w:rPr>
      </w:pPr>
    </w:p>
    <w:p>
      <w:pPr>
        <w:sectPr>
          <w:pgSz w:w="11900" w:h="16838" w:orient="portrait"/>
          <w:cols w:equalWidth="0" w:num="2">
            <w:col w:w="2240" w:space="720"/>
            <w:col w:w="8400"/>
          </w:cols>
          <w:pgMar w:left="280" w:top="337" w:right="259" w:bottom="1440" w:gutter="0" w:footer="0" w:header="0"/>
          <w:type w:val="continuous"/>
        </w:sectPr>
      </w:pPr>
    </w:p>
    <w:p>
      <w:pPr>
        <w:spacing w:after="0"/>
        <w:rPr>
          <w:sz w:val="20"/>
          <w:szCs w:val="20"/>
          <w:color w:val="auto"/>
        </w:rPr>
      </w:pPr>
      <w:r>
        <w:rPr>
          <w:rFonts w:ascii="Arial" w:cs="Arial" w:eastAsia="Arial" w:hAnsi="Arial"/>
          <w:sz w:val="16"/>
          <w:szCs w:val="16"/>
          <w:color w:val="auto"/>
        </w:rPr>
        <w:t>Calculation Period:</w:t>
      </w:r>
    </w:p>
    <w:p>
      <w:pPr>
        <w:spacing w:after="0" w:line="20" w:lineRule="exact"/>
        <w:rPr>
          <w:sz w:val="20"/>
          <w:szCs w:val="20"/>
          <w:color w:val="auto"/>
        </w:rPr>
      </w:pPr>
      <w:r>
        <w:rPr>
          <w:sz w:val="20"/>
          <w:szCs w:val="20"/>
          <w:color w:val="auto"/>
        </w:rPr>
        <w:br w:type="column"/>
      </w:r>
    </w:p>
    <w:p>
      <w:pPr>
        <w:jc w:val="both"/>
        <w:spacing w:after="0" w:line="299" w:lineRule="auto"/>
        <w:rPr>
          <w:sz w:val="20"/>
          <w:szCs w:val="20"/>
          <w:color w:val="auto"/>
        </w:rPr>
      </w:pPr>
      <w:r>
        <w:rPr>
          <w:rFonts w:ascii="Arial" w:cs="Arial" w:eastAsia="Arial" w:hAnsi="Arial"/>
          <w:sz w:val="16"/>
          <w:szCs w:val="16"/>
          <w:color w:val="auto"/>
        </w:rPr>
        <w:t>The period from, and including, the first Observation Date that is a Trading Day that occurs on or after the Prepayment Date to, but excluding, the relevant Valuation Date; provided, however, that if the Valuation Date is the Scheduled Valuation Date, then the Valuation Date shall be included in the Calculation Period; provided further that in no event shall any Scheduled Valuation Date be postponed to a date later than the Final Termination Date.</w:t>
      </w:r>
    </w:p>
    <w:p>
      <w:pPr>
        <w:spacing w:after="0" w:line="1" w:lineRule="exact"/>
        <w:rPr>
          <w:sz w:val="20"/>
          <w:szCs w:val="20"/>
          <w:color w:val="auto"/>
        </w:rPr>
      </w:pPr>
    </w:p>
    <w:p>
      <w:pPr>
        <w:sectPr>
          <w:pgSz w:w="11900" w:h="16838" w:orient="portrait"/>
          <w:cols w:equalWidth="0" w:num="2">
            <w:col w:w="2240" w:space="720"/>
            <w:col w:w="8400"/>
          </w:cols>
          <w:pgMar w:left="280" w:top="337" w:right="259" w:bottom="1440" w:gutter="0" w:footer="0" w:header="0"/>
          <w:type w:val="continuous"/>
        </w:sectPr>
      </w:pPr>
    </w:p>
    <w:p>
      <w:pPr>
        <w:spacing w:after="0"/>
        <w:rPr>
          <w:sz w:val="20"/>
          <w:szCs w:val="20"/>
          <w:color w:val="auto"/>
        </w:rPr>
      </w:pPr>
      <w:r>
        <w:rPr>
          <w:rFonts w:ascii="Arial" w:cs="Arial" w:eastAsia="Arial" w:hAnsi="Arial"/>
          <w:sz w:val="16"/>
          <w:szCs w:val="16"/>
          <w:color w:val="auto"/>
        </w:rPr>
        <w:t>Final Termination Date:</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As specified in Schedule I; provided that if a Market Disruption Event has occurred pursuant to Section 7 of this Confirmation, such Final Termination Date shall be postponed by one Trading Day for every Trading Day that is a Disrupted Day as a result of such Merger Transaction during the Calculation Period</w:t>
      </w:r>
    </w:p>
    <w:p>
      <w:pPr>
        <w:spacing w:after="0" w:line="19" w:lineRule="exact"/>
        <w:rPr>
          <w:sz w:val="20"/>
          <w:szCs w:val="20"/>
          <w:color w:val="auto"/>
        </w:rPr>
      </w:pPr>
    </w:p>
    <w:p>
      <w:pPr>
        <w:sectPr>
          <w:pgSz w:w="11900" w:h="16838" w:orient="portrait"/>
          <w:cols w:equalWidth="0" w:num="2">
            <w:col w:w="2240" w:space="720"/>
            <w:col w:w="8400"/>
          </w:cols>
          <w:pgMar w:left="280" w:top="337" w:right="259" w:bottom="1440" w:gutter="0" w:footer="0" w:header="0"/>
          <w:type w:val="continuous"/>
        </w:sectPr>
      </w:pPr>
    </w:p>
    <w:p>
      <w:pPr>
        <w:spacing w:after="0"/>
        <w:rPr>
          <w:sz w:val="20"/>
          <w:szCs w:val="20"/>
          <w:color w:val="auto"/>
        </w:rPr>
      </w:pPr>
      <w:r>
        <w:rPr>
          <w:rFonts w:ascii="Arial" w:cs="Arial" w:eastAsia="Arial" w:hAnsi="Arial"/>
          <w:sz w:val="16"/>
          <w:szCs w:val="16"/>
          <w:color w:val="auto"/>
        </w:rPr>
        <w:t>Trading Day: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Any Exchange Business Day that is not a Disrupted Day in whole</w:t>
      </w:r>
    </w:p>
    <w:p>
      <w:pPr>
        <w:spacing w:after="0" w:line="86" w:lineRule="exact"/>
        <w:rPr>
          <w:sz w:val="20"/>
          <w:szCs w:val="20"/>
          <w:color w:val="auto"/>
        </w:rPr>
      </w:pPr>
    </w:p>
    <w:p>
      <w:pPr>
        <w:sectPr>
          <w:pgSz w:w="11900" w:h="16838" w:orient="portrait"/>
          <w:cols w:equalWidth="0" w:num="2">
            <w:col w:w="2240" w:space="720"/>
            <w:col w:w="8400"/>
          </w:cols>
          <w:pgMar w:left="280" w:top="337" w:right="259" w:bottom="1440" w:gutter="0" w:footer="0" w:header="0"/>
          <w:type w:val="continuous"/>
        </w:sectPr>
      </w:pPr>
    </w:p>
    <w:p>
      <w:pPr>
        <w:spacing w:after="0"/>
        <w:rPr>
          <w:sz w:val="20"/>
          <w:szCs w:val="20"/>
          <w:color w:val="auto"/>
        </w:rPr>
      </w:pPr>
      <w:r>
        <w:rPr>
          <w:rFonts w:ascii="Arial" w:cs="Arial" w:eastAsia="Arial" w:hAnsi="Arial"/>
          <w:sz w:val="16"/>
          <w:szCs w:val="16"/>
          <w:color w:val="auto"/>
        </w:rPr>
        <w:t>Initial Shares:</w:t>
      </w:r>
    </w:p>
    <w:p>
      <w:pPr>
        <w:spacing w:after="0" w:line="20" w:lineRule="exact"/>
        <w:rPr>
          <w:sz w:val="20"/>
          <w:szCs w:val="20"/>
          <w:color w:val="auto"/>
        </w:rPr>
      </w:pPr>
      <w:r>
        <w:rPr>
          <w:sz w:val="20"/>
          <w:szCs w:val="20"/>
          <w:color w:val="auto"/>
        </w:rPr>
        <w:br w:type="column"/>
      </w:r>
    </w:p>
    <w:p>
      <w:pPr>
        <w:jc w:val="both"/>
        <w:spacing w:after="0" w:line="271" w:lineRule="auto"/>
        <w:rPr>
          <w:sz w:val="20"/>
          <w:szCs w:val="20"/>
          <w:color w:val="auto"/>
        </w:rPr>
      </w:pPr>
      <w:r>
        <w:rPr>
          <w:rFonts w:ascii="Arial" w:cs="Arial" w:eastAsia="Arial" w:hAnsi="Arial"/>
          <w:sz w:val="17"/>
          <w:szCs w:val="17"/>
          <w:color w:val="auto"/>
        </w:rPr>
        <w:t>As specified in Schedule I; provided that if Dealer is unable to borrow or otherwise acquire a number of Shares equal to the Initial Shares for delivery to Issuer on the Initial Share Delivery Date, the Initial Shares delivered on the Initial Share Delivery Date shall be reduced to such number of Shares that Dealer is able to so borrow or otherwise acquire, and thereafter Dealer shall continue to use commercially reasonable efforts to borrow or otherwise acquire a number of Shares, at a stock borrow cost no greater than the Initial Stock Loan Rate, equal to the shortfall in the Initial Shares and to deliver such additional Shares as soon as reasonably practicable. For the avoidance of doubt, the aggregate of all shares delivered to Dealer in respect of the Transaction pursuant to this paragraph shall be the “Initial Shares” for purposes of determining the “Settlement Amount” below.</w:t>
      </w:r>
    </w:p>
    <w:p>
      <w:pPr>
        <w:spacing w:after="0" w:line="17" w:lineRule="exact"/>
        <w:rPr>
          <w:sz w:val="20"/>
          <w:szCs w:val="20"/>
          <w:color w:val="auto"/>
        </w:rPr>
      </w:pPr>
    </w:p>
    <w:p>
      <w:pPr>
        <w:sectPr>
          <w:pgSz w:w="11900" w:h="16838" w:orient="portrait"/>
          <w:cols w:equalWidth="0" w:num="2">
            <w:col w:w="2240" w:space="720"/>
            <w:col w:w="8400"/>
          </w:cols>
          <w:pgMar w:left="280" w:top="337" w:right="259" w:bottom="1440" w:gutter="0" w:footer="0" w:header="0"/>
          <w:type w:val="continuous"/>
        </w:sectPr>
      </w:pPr>
    </w:p>
    <w:p>
      <w:pPr>
        <w:spacing w:after="0"/>
        <w:rPr>
          <w:sz w:val="20"/>
          <w:szCs w:val="20"/>
          <w:color w:val="auto"/>
        </w:rPr>
      </w:pPr>
      <w:r>
        <w:rPr>
          <w:rFonts w:ascii="Arial" w:cs="Arial" w:eastAsia="Arial" w:hAnsi="Arial"/>
          <w:sz w:val="16"/>
          <w:szCs w:val="16"/>
          <w:color w:val="auto"/>
        </w:rPr>
        <w:t>Initial Share Delivery Date:</w:t>
      </w:r>
    </w:p>
    <w:p>
      <w:pPr>
        <w:spacing w:after="0" w:line="20" w:lineRule="exact"/>
        <w:rPr>
          <w:sz w:val="20"/>
          <w:szCs w:val="20"/>
          <w:color w:val="auto"/>
        </w:rPr>
      </w:pPr>
      <w:r>
        <w:rPr>
          <w:sz w:val="20"/>
          <w:szCs w:val="20"/>
          <w:color w:val="auto"/>
        </w:rPr>
        <w:br w:type="column"/>
      </w:r>
    </w:p>
    <w:p>
      <w:pPr>
        <w:jc w:val="both"/>
        <w:ind w:right="20"/>
        <w:spacing w:after="0" w:line="286" w:lineRule="auto"/>
        <w:rPr>
          <w:sz w:val="20"/>
          <w:szCs w:val="20"/>
          <w:color w:val="auto"/>
        </w:rPr>
      </w:pPr>
      <w:r>
        <w:rPr>
          <w:rFonts w:ascii="Arial" w:cs="Arial" w:eastAsia="Arial" w:hAnsi="Arial"/>
          <w:sz w:val="17"/>
          <w:szCs w:val="17"/>
          <w:color w:val="auto"/>
        </w:rPr>
        <w:t>One Exchange Business Day following the Trade Date. On the Initial Share Delivery Date, Seller shall deliver to Buyer a number of Shares equal to the Initial Shares in accordance with Section 9.4 of the Equity Definitions, with the Initial Share Delivery Date being deemed to be a “Settlement Date” for purposes of such Section 9.4.</w:t>
      </w:r>
    </w:p>
    <w:p>
      <w:pPr>
        <w:spacing w:after="0" w:line="3" w:lineRule="exact"/>
        <w:rPr>
          <w:sz w:val="20"/>
          <w:szCs w:val="20"/>
          <w:color w:val="auto"/>
        </w:rPr>
      </w:pPr>
    </w:p>
    <w:p>
      <w:pPr>
        <w:sectPr>
          <w:pgSz w:w="11900" w:h="16838" w:orient="portrait"/>
          <w:cols w:equalWidth="0" w:num="2">
            <w:col w:w="2240" w:space="720"/>
            <w:col w:w="8400"/>
          </w:cols>
          <w:pgMar w:left="280" w:top="337" w:right="259" w:bottom="1440" w:gutter="0" w:footer="0" w:header="0"/>
          <w:type w:val="continuous"/>
        </w:sectPr>
      </w:pPr>
    </w:p>
    <w:p>
      <w:pPr>
        <w:spacing w:after="0"/>
        <w:rPr>
          <w:sz w:val="20"/>
          <w:szCs w:val="20"/>
          <w:color w:val="auto"/>
        </w:rPr>
      </w:pPr>
      <w:r>
        <w:rPr>
          <w:rFonts w:ascii="Arial" w:cs="Arial" w:eastAsia="Arial" w:hAnsi="Arial"/>
          <w:sz w:val="15"/>
          <w:szCs w:val="15"/>
          <w:color w:val="auto"/>
        </w:rPr>
        <w:t>Prepayment: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Applicable</w:t>
      </w:r>
    </w:p>
    <w:p>
      <w:pPr>
        <w:spacing w:after="0" w:line="75" w:lineRule="exact"/>
        <w:rPr>
          <w:sz w:val="20"/>
          <w:szCs w:val="20"/>
          <w:color w:val="auto"/>
        </w:rPr>
      </w:pPr>
    </w:p>
    <w:p>
      <w:pPr>
        <w:sectPr>
          <w:pgSz w:w="11900" w:h="16838" w:orient="portrait"/>
          <w:cols w:equalWidth="0" w:num="2">
            <w:col w:w="2240" w:space="720"/>
            <w:col w:w="8400"/>
          </w:cols>
          <w:pgMar w:left="280" w:top="337" w:right="259" w:bottom="1440" w:gutter="0" w:footer="0" w:header="0"/>
          <w:type w:val="continuous"/>
        </w:sectPr>
      </w:pPr>
    </w:p>
    <w:p>
      <w:pPr>
        <w:spacing w:after="0"/>
        <w:rPr>
          <w:sz w:val="20"/>
          <w:szCs w:val="20"/>
          <w:color w:val="auto"/>
        </w:rPr>
      </w:pPr>
      <w:r>
        <w:rPr>
          <w:rFonts w:ascii="Arial" w:cs="Arial" w:eastAsia="Arial" w:hAnsi="Arial"/>
          <w:sz w:val="16"/>
          <w:szCs w:val="16"/>
          <w:color w:val="auto"/>
        </w:rPr>
        <w:t>Prepayment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specified in Schedule I</w:t>
      </w:r>
    </w:p>
    <w:p>
      <w:pPr>
        <w:spacing w:after="0" w:line="86" w:lineRule="exact"/>
        <w:rPr>
          <w:sz w:val="20"/>
          <w:szCs w:val="20"/>
          <w:color w:val="auto"/>
        </w:rPr>
      </w:pPr>
    </w:p>
    <w:p>
      <w:pPr>
        <w:sectPr>
          <w:pgSz w:w="11900" w:h="16838" w:orient="portrait"/>
          <w:cols w:equalWidth="0" w:num="2">
            <w:col w:w="2240" w:space="720"/>
            <w:col w:w="8400"/>
          </w:cols>
          <w:pgMar w:left="280" w:top="337" w:right="259" w:bottom="1440" w:gutter="0" w:footer="0" w:header="0"/>
          <w:type w:val="continuous"/>
        </w:sectPr>
      </w:pPr>
    </w:p>
    <w:p>
      <w:pPr>
        <w:spacing w:after="0"/>
        <w:rPr>
          <w:sz w:val="20"/>
          <w:szCs w:val="20"/>
          <w:color w:val="auto"/>
        </w:rPr>
      </w:pPr>
      <w:r>
        <w:rPr>
          <w:rFonts w:ascii="Arial" w:cs="Arial" w:eastAsia="Arial" w:hAnsi="Arial"/>
          <w:sz w:val="15"/>
          <w:szCs w:val="15"/>
          <w:color w:val="auto"/>
        </w:rPr>
        <w:t>Prepayment Date:</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One Exchange Business Day following the Trade Date. On the Prepayment Date, Buyer shall pay to Seller the Prepayment Amount.</w:t>
      </w:r>
    </w:p>
    <w:p>
      <w:pPr>
        <w:sectPr>
          <w:pgSz w:w="11900" w:h="16838" w:orient="portrait"/>
          <w:cols w:equalWidth="0" w:num="2">
            <w:col w:w="2240" w:space="720"/>
            <w:col w:w="8400"/>
          </w:cols>
          <w:pgMar w:left="280" w:top="337" w:right="259" w:bottom="1440" w:gutter="0" w:footer="0" w:header="0"/>
          <w:type w:val="continuous"/>
        </w:sectPr>
      </w:pPr>
    </w:p>
    <w:bookmarkStart w:id="73" w:name="page74"/>
    <w:bookmarkEnd w:id="73"/>
    <w:p>
      <w:pPr>
        <w:jc w:val="center"/>
        <w:ind w:right="-19"/>
        <w:spacing w:after="0"/>
        <w:rPr>
          <w:sz w:val="20"/>
          <w:szCs w:val="20"/>
          <w:color w:val="auto"/>
        </w:rPr>
      </w:pPr>
      <w:r>
        <w:rPr>
          <w:rFonts w:ascii="Arial" w:cs="Arial" w:eastAsia="Arial" w:hAnsi="Arial"/>
          <w:sz w:val="11"/>
          <w:szCs w:val="11"/>
          <w:color w:val="auto"/>
        </w:rPr>
        <w:t>Page 3</w:t>
      </w:r>
    </w:p>
    <w:p>
      <w:pPr>
        <w:sectPr>
          <w:pgSz w:w="11900" w:h="16838" w:orient="portrait"/>
          <w:cols w:equalWidth="0" w:num="1">
            <w:col w:w="11400"/>
          </w:cols>
          <w:pgMar w:left="240" w:top="33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Exchange: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NASDAQ</w:t>
      </w:r>
    </w:p>
    <w:p>
      <w:pPr>
        <w:spacing w:after="0" w:line="75" w:lineRule="exact"/>
        <w:rPr>
          <w:sz w:val="20"/>
          <w:szCs w:val="20"/>
          <w:color w:val="auto"/>
        </w:rPr>
      </w:pPr>
    </w:p>
    <w:p>
      <w:pPr>
        <w:sectPr>
          <w:pgSz w:w="11900" w:h="16838" w:orient="portrait"/>
          <w:cols w:equalWidth="0" w:num="2">
            <w:col w:w="2280" w:space="720"/>
            <w:col w:w="8400"/>
          </w:cols>
          <w:pgMar w:left="240" w:top="337" w:right="25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Related Exchange:</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All Exchanges; provided that Section 1.26 of the Equity Definitions shall be amended to add the words “United States” before the word “exchange” in the tenth line of such Section.</w:t>
      </w:r>
    </w:p>
    <w:p>
      <w:pPr>
        <w:spacing w:after="0" w:line="8" w:lineRule="exact"/>
        <w:rPr>
          <w:sz w:val="20"/>
          <w:szCs w:val="20"/>
          <w:color w:val="auto"/>
        </w:rPr>
      </w:pPr>
    </w:p>
    <w:p>
      <w:pPr>
        <w:sectPr>
          <w:pgSz w:w="11900" w:h="16838" w:orient="portrait"/>
          <w:cols w:equalWidth="0" w:num="2">
            <w:col w:w="2280" w:space="720"/>
            <w:col w:w="8400"/>
          </w:cols>
          <w:pgMar w:left="240" w:top="337"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Market Disruption Event:</w:t>
      </w:r>
    </w:p>
    <w:p>
      <w:pPr>
        <w:spacing w:after="0" w:line="20" w:lineRule="exact"/>
        <w:rPr>
          <w:sz w:val="20"/>
          <w:szCs w:val="20"/>
          <w:color w:val="auto"/>
        </w:rPr>
      </w:pPr>
      <w:r>
        <w:rPr>
          <w:sz w:val="20"/>
          <w:szCs w:val="20"/>
          <w:color w:val="auto"/>
        </w:rPr>
        <w:br w:type="column"/>
      </w:r>
    </w:p>
    <w:p>
      <w:pPr>
        <w:jc w:val="both"/>
        <w:ind w:right="20"/>
        <w:spacing w:after="0" w:line="312" w:lineRule="auto"/>
        <w:rPr>
          <w:sz w:val="20"/>
          <w:szCs w:val="20"/>
          <w:color w:val="auto"/>
        </w:rPr>
      </w:pPr>
      <w:r>
        <w:rPr>
          <w:rFonts w:ascii="Arial" w:cs="Arial" w:eastAsia="Arial" w:hAnsi="Arial"/>
          <w:sz w:val="16"/>
          <w:szCs w:val="16"/>
          <w:color w:val="auto"/>
        </w:rPr>
        <w:t>The definition of “Market Disruption Event” in Section 6.3(a) of the Equity Definitions is hereby amended by deleting the words “at any time during the one-hour period that ends at the relevant Valuation Time, Latest Exercise Time, Knock-in Valuation Time or Knock-out Valuation Time, as the case may be,” starting in the third line thereof.</w:t>
      </w:r>
    </w:p>
    <w:p>
      <w:pPr>
        <w:spacing w:after="0" w:line="147" w:lineRule="exact"/>
        <w:rPr>
          <w:sz w:val="20"/>
          <w:szCs w:val="20"/>
          <w:color w:val="auto"/>
        </w:rPr>
      </w:pPr>
    </w:p>
    <w:p>
      <w:pPr>
        <w:sectPr>
          <w:pgSz w:w="11900" w:h="16838" w:orient="portrait"/>
          <w:cols w:equalWidth="0" w:num="2">
            <w:col w:w="2280" w:space="720"/>
            <w:col w:w="8400"/>
          </w:cols>
          <w:pgMar w:left="240" w:top="337" w:right="259" w:bottom="1440" w:gutter="0" w:footer="0" w:header="0"/>
          <w:type w:val="continuous"/>
        </w:sectPr>
      </w:pPr>
    </w:p>
    <w:p>
      <w:pPr>
        <w:ind w:left="3000" w:right="20"/>
        <w:spacing w:after="0" w:line="277" w:lineRule="auto"/>
        <w:rPr>
          <w:sz w:val="20"/>
          <w:szCs w:val="20"/>
          <w:color w:val="auto"/>
        </w:rPr>
      </w:pPr>
      <w:r>
        <w:rPr>
          <w:rFonts w:ascii="Arial" w:cs="Arial" w:eastAsia="Arial" w:hAnsi="Arial"/>
          <w:sz w:val="18"/>
          <w:szCs w:val="18"/>
          <w:color w:val="auto"/>
        </w:rPr>
        <w:t>Section 6.3(d) of the Equity Definitions is hereby amended by deleting the remainder of the provision following the term “Scheduled Closing Time” in the fourth line thereof.</w:t>
      </w:r>
    </w:p>
    <w:p>
      <w:pPr>
        <w:spacing w:after="0" w:line="170" w:lineRule="exact"/>
        <w:rPr>
          <w:sz w:val="20"/>
          <w:szCs w:val="20"/>
          <w:color w:val="auto"/>
        </w:rPr>
      </w:pPr>
    </w:p>
    <w:p>
      <w:pPr>
        <w:jc w:val="both"/>
        <w:ind w:left="3000"/>
        <w:spacing w:after="0" w:line="269" w:lineRule="auto"/>
        <w:rPr>
          <w:sz w:val="20"/>
          <w:szCs w:val="20"/>
          <w:color w:val="auto"/>
        </w:rPr>
      </w:pPr>
      <w:r>
        <w:rPr>
          <w:rFonts w:ascii="Arial" w:cs="Arial" w:eastAsia="Arial" w:hAnsi="Arial"/>
          <w:sz w:val="17"/>
          <w:szCs w:val="17"/>
          <w:color w:val="auto"/>
        </w:rPr>
        <w:t>Notwithstanding anything to the contrary in the Equity Definitions, if any Exchange Business Day in the Calculation Period is a Disrupted Day, the Calculation Agent shall have the option, in its reasonable discretion, to take one or more of the following actions in a good faith and commercially reasonable manner: (i) determine that such Exchange Business Day is a Disrupted Day in part, in which case the Calculation Agent shall (x) determine the 10b-18 VWAP on such Exchange Business Day based on Rule 10b-18 eligible trades in the Shares on such day taking into account the nature and duration of the relevant Market Disruption Event and (y) determine the Forward Price using an appropriately weighted average of 10b-18 VWAPs instead of an arithmetic mean, and/or (ii) elect to postpone the Scheduled Valuation Date by up to one Observation Date for every Observation Date that is a Disrupted Day during the Calculation Period; provided that in no event shall any Scheduled Valuation Date be postponed to a date later than the Final Termination Date. For the avoidance of doubt, if the Calculation Agent takes the action described in clause (i) above, then such Disrupted Day shall be a Trading Day for purposes of calculating the Forward Price.</w:t>
      </w:r>
    </w:p>
    <w:p>
      <w:pPr>
        <w:spacing w:after="0" w:line="180"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Any Exchange Business Day on which, as of the date hereof, the Exchange is scheduled to close prior to its normal</w:t>
      </w:r>
    </w:p>
    <w:p>
      <w:pPr>
        <w:spacing w:after="0" w:line="46"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close of trading shall be deemed not to be an Exchange Business Day; if a closure of the Exchange prior to its</w:t>
      </w:r>
    </w:p>
    <w:p>
      <w:pPr>
        <w:spacing w:after="0" w:line="21"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normal close of trading on any Exchange Business Day is scheduled following the date hereof, then such Exchange</w:t>
      </w:r>
    </w:p>
    <w:p>
      <w:pPr>
        <w:spacing w:after="0" w:line="32"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Business Day shall be deemed to be a Disrupted Day in full.</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If a Disrupted Day occurs during the Calculation Period and each of the nine immediately following Scheduled</w:t>
      </w:r>
    </w:p>
    <w:p>
      <w:pPr>
        <w:spacing w:after="0" w:line="21"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Trading Days is a Disrupted Day, then the Calculation Agent may, in its good faith and commercially reasonable</w:t>
      </w:r>
    </w:p>
    <w:p>
      <w:pPr>
        <w:spacing w:after="0" w:line="21"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discretion, deem such ninth Scheduled Trading Day to be an Exchange Business Day that is not a Disrupted Day</w:t>
      </w:r>
    </w:p>
    <w:p>
      <w:pPr>
        <w:spacing w:after="0" w:line="32"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and determine the VWAP Price for such ninth Scheduled Trading Day using its good faith and commercially</w:t>
      </w:r>
    </w:p>
    <w:p>
      <w:pPr>
        <w:spacing w:after="0" w:line="21"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reasonable estimate of the value of the Shares on such ninth Scheduled Trading Day based on the volume, historical</w:t>
      </w:r>
    </w:p>
    <w:p>
      <w:pPr>
        <w:spacing w:after="0" w:line="32"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trading patterns and trading price of the Shares.</w:t>
      </w:r>
    </w:p>
    <w:p>
      <w:pPr>
        <w:sectPr>
          <w:pgSz w:w="11900" w:h="16838" w:orient="portrait"/>
          <w:cols w:equalWidth="0" w:num="1">
            <w:col w:w="11400"/>
          </w:cols>
          <w:pgMar w:left="240" w:top="337" w:right="25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w:t>
      </w:r>
    </w:p>
    <w:p>
      <w:pPr>
        <w:sectPr>
          <w:pgSz w:w="11900" w:h="16838" w:orient="portrait"/>
          <w:cols w:equalWidth="0" w:num="1">
            <w:col w:w="11400"/>
          </w:cols>
          <w:pgMar w:left="240" w:top="337" w:right="259" w:bottom="1440" w:gutter="0" w:footer="0" w:header="0"/>
          <w:type w:val="continuous"/>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Valuation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Scheduled Valuation Date:</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Lock-Out Date: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TERMS: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Physical Settlement:</w:t>
      </w:r>
    </w:p>
    <w:p>
      <w:pPr>
        <w:spacing w:after="0" w:line="20" w:lineRule="exact"/>
        <w:rPr>
          <w:sz w:val="20"/>
          <w:szCs w:val="20"/>
          <w:color w:val="auto"/>
        </w:rPr>
      </w:pPr>
      <w:r>
        <w:rPr>
          <w:sz w:val="20"/>
          <w:szCs w:val="20"/>
          <w:color w:val="auto"/>
        </w:rPr>
        <w:br w:type="column"/>
      </w:r>
    </w:p>
    <w:p>
      <w:pPr>
        <w:ind w:left="2520"/>
        <w:spacing w:after="0"/>
        <w:rPr>
          <w:sz w:val="20"/>
          <w:szCs w:val="20"/>
          <w:color w:val="auto"/>
        </w:rPr>
      </w:pPr>
      <w:r>
        <w:rPr>
          <w:rFonts w:ascii="Arial" w:cs="Arial" w:eastAsia="Arial" w:hAnsi="Arial"/>
          <w:sz w:val="14"/>
          <w:szCs w:val="14"/>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earlier of (i) the Scheduled Valuation Date and (ii) any earlier accelerated Valuation Date as a result of Dealer’s election in accordance with the immediately succeeding paragraph.</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Dealer shall have the right, in its absolute discretion but subject to the limitation set forth in the immediately succeeding paragraph, to accelerate the Valuation Date, in whole or in part (an “</w:t>
      </w:r>
      <w:r>
        <w:rPr>
          <w:rFonts w:ascii="Arial" w:cs="Arial" w:eastAsia="Arial" w:hAnsi="Arial"/>
          <w:sz w:val="18"/>
          <w:szCs w:val="18"/>
          <w:b w:val="1"/>
          <w:bCs w:val="1"/>
          <w:color w:val="auto"/>
        </w:rPr>
        <w:t>Acceleration</w:t>
      </w:r>
      <w:r>
        <w:rPr>
          <w:rFonts w:ascii="Arial" w:cs="Arial" w:eastAsia="Arial" w:hAnsi="Arial"/>
          <w:sz w:val="18"/>
          <w:szCs w:val="18"/>
          <w:color w:val="auto"/>
        </w:rPr>
        <w:t>”), to any Exchange Business Day that is on or after the Lock-Out Date and prior to the Scheduled Valuation Date by notice (each such notice, an “</w:t>
      </w:r>
      <w:r>
        <w:rPr>
          <w:rFonts w:ascii="Arial" w:cs="Arial" w:eastAsia="Arial" w:hAnsi="Arial"/>
          <w:sz w:val="18"/>
          <w:szCs w:val="18"/>
          <w:b w:val="1"/>
          <w:bCs w:val="1"/>
          <w:color w:val="auto"/>
        </w:rPr>
        <w:t>Acceleration Notice</w:t>
      </w:r>
      <w:r>
        <w:rPr>
          <w:rFonts w:ascii="Arial" w:cs="Arial" w:eastAsia="Arial" w:hAnsi="Arial"/>
          <w:sz w:val="18"/>
          <w:szCs w:val="18"/>
          <w:color w:val="auto"/>
        </w:rPr>
        <w:t xml:space="preserve">”) to Issuer by 9:00 p.m., New York City time, on the Exchange Business Day immediately following the accelerated Valuation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any time after the Lock-Out Date Dealer expects the Settlement Amount to be a negative number, then Dealer shall provide Issuer notice of any such expectation.</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Dealer shall specify in each Acceleration Notice the portion of the Prepayment Amount that is subject to acceleration (which may be less than the full Prepayment Amount, but only so long as such portion is not less than USD 25,000,000). If the portion of the Prepayment Amount that is subject to acceleration is less than the full Prepayment Amount, then the Calculation Agent shall adjust the terms of the Transaction as appropriate in order to take into account the occurrence of such accelerated Valuation Date (including cumulative adjustments to take into account all prior accelerated Valuation Dates).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On each Valuation Date, the Calculation Agent shall calculate the Settlement Amount.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specified in Schedule I, subject to postponement in accordance with “Market Disruption Event”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specified in Schedule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On the Settlement Date, Seller shall deliver to Buyer a number of Shares equal to (a) (i) the Prepayment Amount </w:t>
      </w:r>
      <w:r>
        <w:rPr>
          <w:rFonts w:ascii="Arial" w:cs="Arial" w:eastAsia="Arial" w:hAnsi="Arial"/>
          <w:sz w:val="16"/>
          <w:szCs w:val="16"/>
          <w:u w:val="single" w:color="auto"/>
          <w:color w:val="auto"/>
        </w:rPr>
        <w:t>divided by</w:t>
      </w:r>
      <w:r>
        <w:rPr>
          <w:rFonts w:ascii="Arial" w:cs="Arial" w:eastAsia="Arial" w:hAnsi="Arial"/>
          <w:sz w:val="16"/>
          <w:szCs w:val="16"/>
          <w:color w:val="auto"/>
        </w:rPr>
        <w:t xml:space="preserve"> (ii) the Forward Price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Initial Shares (such number of Shares, the “</w:t>
      </w:r>
      <w:r>
        <w:rPr>
          <w:rFonts w:ascii="Arial" w:cs="Arial" w:eastAsia="Arial" w:hAnsi="Arial"/>
          <w:sz w:val="16"/>
          <w:szCs w:val="16"/>
          <w:b w:val="1"/>
          <w:bCs w:val="1"/>
          <w:color w:val="auto"/>
        </w:rPr>
        <w:t>Settlement Amount</w:t>
      </w:r>
      <w:r>
        <w:rPr>
          <w:rFonts w:ascii="Arial" w:cs="Arial" w:eastAsia="Arial" w:hAnsi="Arial"/>
          <w:sz w:val="16"/>
          <w:szCs w:val="16"/>
          <w:color w:val="auto"/>
        </w:rPr>
        <w:t xml:space="preserve">”), rounded to the nearest whole number of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Settlement Amount is less than zero, then Buyer shall deliver to Seller on the Settlement Date a number of Shares satisfying the conditions set forth in Section 8(a) below (the “</w:t>
      </w:r>
      <w:r>
        <w:rPr>
          <w:rFonts w:ascii="Arial" w:cs="Arial" w:eastAsia="Arial" w:hAnsi="Arial"/>
          <w:sz w:val="16"/>
          <w:szCs w:val="16"/>
          <w:b w:val="1"/>
          <w:bCs w:val="1"/>
          <w:color w:val="auto"/>
        </w:rPr>
        <w:t>Registered Payment Shares</w:t>
      </w:r>
      <w:r>
        <w:rPr>
          <w:rFonts w:ascii="Arial" w:cs="Arial" w:eastAsia="Arial" w:hAnsi="Arial"/>
          <w:sz w:val="16"/>
          <w:szCs w:val="16"/>
          <w:color w:val="auto"/>
        </w:rPr>
        <w:t>”), or a number of Shares not satisfying such conditions (the “</w:t>
      </w:r>
      <w:r>
        <w:rPr>
          <w:rFonts w:ascii="Arial" w:cs="Arial" w:eastAsia="Arial" w:hAnsi="Arial"/>
          <w:sz w:val="16"/>
          <w:szCs w:val="16"/>
          <w:b w:val="1"/>
          <w:bCs w:val="1"/>
          <w:color w:val="auto"/>
        </w:rPr>
        <w:t>Unregistered Payment Shares</w:t>
      </w:r>
      <w:r>
        <w:rPr>
          <w:rFonts w:ascii="Arial" w:cs="Arial" w:eastAsia="Arial" w:hAnsi="Arial"/>
          <w:sz w:val="16"/>
          <w:szCs w:val="16"/>
          <w:color w:val="auto"/>
        </w:rPr>
        <w:t>”) pursuant to Section 8(b) below, in either case (i) with a value equal to the absolute value of the Forward Cash Settlement Amount, with such Shares’ value determined by the Calculation Agent (which value shall, in the case of Unregistered Payment Shares, take into account a commercially reasonable illiquidity discount), in each case as determined by the Calculation Agent and (ii) as if such Shares were “Early Settlement Shares” or “Make-Whole Shares” under Section 8 below, and references in Section 8 to “Early Settlement Payment” were deemed to be references to the absolute value of the Forward Cash Settlement Amount.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Notwithstanding the proviso above, if the Settlement Amount is less than zero, Buyer may elect, in its sole discretion, to cash settle its obligation to deliver Shares by delivering to Seller a notice by no later than the Valuation Date (or, in the event of an Acceleration, the two (2) Business Days after Dealer delivers an Acceleration Notice) electing to cash settle its obligation to deliver Shares, in which case “Cash Settlement” shall be Applicable. Any such Cash Settlement shall be effected in accordance with “Cash Settlement” below.</w:t>
      </w:r>
    </w:p>
    <w:p>
      <w:pPr>
        <w:sectPr>
          <w:pgSz w:w="11900" w:h="16838" w:orient="portrait"/>
          <w:cols w:equalWidth="0" w:num="2">
            <w:col w:w="2280" w:space="720"/>
            <w:col w:w="8400"/>
          </w:cols>
          <w:pgMar w:left="240" w:top="337" w:right="259" w:bottom="1440" w:gutter="0" w:footer="0" w:header="0"/>
        </w:sectPr>
      </w:pPr>
    </w:p>
    <w:bookmarkStart w:id="75" w:name="page76"/>
    <w:bookmarkEnd w:id="75"/>
    <w:p>
      <w:pPr>
        <w:jc w:val="center"/>
        <w:ind w:right="20"/>
        <w:spacing w:after="0"/>
        <w:rPr>
          <w:sz w:val="20"/>
          <w:szCs w:val="20"/>
          <w:color w:val="auto"/>
        </w:rPr>
      </w:pPr>
      <w:r>
        <w:rPr>
          <w:rFonts w:ascii="Arial" w:cs="Arial" w:eastAsia="Arial" w:hAnsi="Arial"/>
          <w:sz w:val="11"/>
          <w:szCs w:val="11"/>
          <w:color w:val="auto"/>
        </w:rPr>
        <w:t>Page 5</w:t>
      </w:r>
    </w:p>
    <w:p>
      <w:pPr>
        <w:sectPr>
          <w:pgSz w:w="11900" w:h="16838" w:orient="portrait"/>
          <w:cols w:equalWidth="0" w:num="1">
            <w:col w:w="11360"/>
          </w:cols>
          <w:pgMar w:left="280" w:top="33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Settlement Currency: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Settlement Valuation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Forward Cash Settlement Amount: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Cash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Other Applicable Provisions: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USD</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date that falls one Settlement Cycle after the relevant Valuation Date, or, if the Settlement Amount is less than zero, the date one Settlement Cycle following the last day of the Settlement Valuation Period.</w:t>
      </w: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the Settlement Amount is less than zero, and whether or not Physical Settlement or Cash Settlement is applicable, on the Exchange Business Day immediately following the Valuation Date, Seller may begin purchasing Shares in a commercially reasonable manner in an amount equal to the Settlement Amount (all such Shares purchased, “</w:t>
      </w:r>
      <w:r>
        <w:rPr>
          <w:rFonts w:ascii="Arial" w:cs="Arial" w:eastAsia="Arial" w:hAnsi="Arial"/>
          <w:sz w:val="16"/>
          <w:szCs w:val="16"/>
          <w:b w:val="1"/>
          <w:bCs w:val="1"/>
          <w:color w:val="auto"/>
        </w:rPr>
        <w:t>Hedge</w:t>
      </w:r>
      <w:r>
        <w:rPr>
          <w:rFonts w:ascii="Arial" w:cs="Arial" w:eastAsia="Arial" w:hAnsi="Arial"/>
          <w:sz w:val="16"/>
          <w:szCs w:val="16"/>
          <w:color w:val="auto"/>
        </w:rPr>
        <w:t xml:space="preserve"> </w:t>
      </w:r>
      <w:r>
        <w:rPr>
          <w:rFonts w:ascii="Arial" w:cs="Arial" w:eastAsia="Arial" w:hAnsi="Arial"/>
          <w:sz w:val="16"/>
          <w:szCs w:val="16"/>
          <w:b w:val="1"/>
          <w:bCs w:val="1"/>
          <w:color w:val="auto"/>
        </w:rPr>
        <w:t>Close-out Shares</w:t>
      </w:r>
      <w:r>
        <w:rPr>
          <w:rFonts w:ascii="Arial" w:cs="Arial" w:eastAsia="Arial" w:hAnsi="Arial"/>
          <w:sz w:val="16"/>
          <w:szCs w:val="16"/>
          <w:color w:val="auto"/>
        </w:rPr>
        <w:t>”, and the period from and including the Exchange Business Day immediately following the</w:t>
      </w:r>
      <w:r>
        <w:rPr>
          <w:rFonts w:ascii="Arial" w:cs="Arial" w:eastAsia="Arial" w:hAnsi="Arial"/>
          <w:sz w:val="16"/>
          <w:szCs w:val="16"/>
          <w:b w:val="1"/>
          <w:bCs w:val="1"/>
          <w:color w:val="auto"/>
        </w:rPr>
        <w:t xml:space="preserve"> </w:t>
      </w:r>
      <w:r>
        <w:rPr>
          <w:rFonts w:ascii="Arial" w:cs="Arial" w:eastAsia="Arial" w:hAnsi="Arial"/>
          <w:sz w:val="16"/>
          <w:szCs w:val="16"/>
          <w:color w:val="auto"/>
        </w:rPr>
        <w:t>Valuation Date to and including the day on which Seller completes its purchases of Hedge Close-out Shares, the “</w:t>
      </w:r>
      <w:r>
        <w:rPr>
          <w:rFonts w:ascii="Arial" w:cs="Arial" w:eastAsia="Arial" w:hAnsi="Arial"/>
          <w:sz w:val="16"/>
          <w:szCs w:val="16"/>
          <w:b w:val="1"/>
          <w:bCs w:val="1"/>
          <w:color w:val="auto"/>
        </w:rPr>
        <w:t>Settlement Valuation Period</w:t>
      </w:r>
      <w:r>
        <w:rPr>
          <w:rFonts w:ascii="Arial" w:cs="Arial" w:eastAsia="Arial" w:hAnsi="Arial"/>
          <w:sz w:val="16"/>
          <w:szCs w:val="16"/>
          <w:color w:val="auto"/>
        </w:rPr>
        <w:t>”). In making any purchases of Hedge Close-out Shares contemplated by this paragraph, Dealer shall use commercially reasonable efforts to purchase such Shares in a manner that would qualify for the safe harbor provided by Rule 10b-18 under the Exchange Act (“</w:t>
      </w:r>
      <w:r>
        <w:rPr>
          <w:rFonts w:ascii="Arial" w:cs="Arial" w:eastAsia="Arial" w:hAnsi="Arial"/>
          <w:sz w:val="16"/>
          <w:szCs w:val="16"/>
          <w:b w:val="1"/>
          <w:bCs w:val="1"/>
          <w:color w:val="auto"/>
        </w:rPr>
        <w:t>Rule 10b-18</w:t>
      </w:r>
      <w:r>
        <w:rPr>
          <w:rFonts w:ascii="Arial" w:cs="Arial" w:eastAsia="Arial" w:hAnsi="Arial"/>
          <w:sz w:val="16"/>
          <w:szCs w:val="16"/>
          <w:color w:val="auto"/>
        </w:rPr>
        <w:t>”) if such purchases were made by or on behalf of Issuer. The Settlement Valuation Period shall be considered to be part of the Calculation Period for purposes of the representations, warranties and covenants and other provisions herein as the context requires (but, for the avoidance of doubt, not for purposes of determining the Forward Price).</w:t>
      </w:r>
    </w:p>
    <w:p>
      <w:pPr>
        <w:spacing w:after="0" w:line="20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aggregate purchase price (including commissions that are reasonable and customary for transactions of this type) of the Hedge Close-out Shares purchased during the Settlement Valuation Period.</w:t>
      </w:r>
    </w:p>
    <w:p>
      <w:pPr>
        <w:spacing w:after="0" w:line="20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If Cash Settlement is applicable, then on the Settlement Date, Buyer shall deliver to Seller an amount in USD equal to (x) 103% of the absolute value of the Settlement Amount multiplied by (y) a price per Share as reasonably determined by the Calculation Agent (such cash amount, the “</w:t>
      </w:r>
      <w:r>
        <w:rPr>
          <w:rFonts w:ascii="Arial" w:cs="Arial" w:eastAsia="Arial" w:hAnsi="Arial"/>
          <w:sz w:val="16"/>
          <w:szCs w:val="16"/>
          <w:b w:val="1"/>
          <w:bCs w:val="1"/>
          <w:color w:val="auto"/>
        </w:rPr>
        <w:t>Initial Cash Settlement Amount</w:t>
      </w:r>
      <w:r>
        <w:rPr>
          <w:rFonts w:ascii="Arial" w:cs="Arial" w:eastAsia="Arial" w:hAnsi="Arial"/>
          <w:sz w:val="16"/>
          <w:szCs w:val="16"/>
          <w:color w:val="auto"/>
        </w:rPr>
        <w:t>”). On the Valuation Date (i) a notional Share balance (the “</w:t>
      </w:r>
      <w:r>
        <w:rPr>
          <w:rFonts w:ascii="Arial" w:cs="Arial" w:eastAsia="Arial" w:hAnsi="Arial"/>
          <w:sz w:val="16"/>
          <w:szCs w:val="16"/>
          <w:b w:val="1"/>
          <w:bCs w:val="1"/>
          <w:color w:val="auto"/>
        </w:rPr>
        <w:t>Settlement Balance</w:t>
      </w:r>
      <w:r>
        <w:rPr>
          <w:rFonts w:ascii="Arial" w:cs="Arial" w:eastAsia="Arial" w:hAnsi="Arial"/>
          <w:sz w:val="16"/>
          <w:szCs w:val="16"/>
          <w:color w:val="auto"/>
        </w:rPr>
        <w:t>”) shall be created with an initial balance equal to the absolute value of the Settlement Amount and (ii) a notional cash balance (the “</w:t>
      </w:r>
      <w:r>
        <w:rPr>
          <w:rFonts w:ascii="Arial" w:cs="Arial" w:eastAsia="Arial" w:hAnsi="Arial"/>
          <w:sz w:val="16"/>
          <w:szCs w:val="16"/>
          <w:b w:val="1"/>
          <w:bCs w:val="1"/>
          <w:color w:val="auto"/>
        </w:rPr>
        <w:t>Cash Balance</w:t>
      </w:r>
      <w:r>
        <w:rPr>
          <w:rFonts w:ascii="Arial" w:cs="Arial" w:eastAsia="Arial" w:hAnsi="Arial"/>
          <w:sz w:val="16"/>
          <w:szCs w:val="16"/>
          <w:color w:val="auto"/>
        </w:rPr>
        <w:t>”) shall be created with an initial balance equal to the Initial Cash Settlement Amount. At the end of each Exchange Business Day on which Seller purchases Hedge Close-out Shares, Seller shall reduce (i) the Settlement Balance by the number of Hedge Close-out Shares purchased on such Exchange Business Day and (ii) the Cash Balance by the aggregate purchase price (including commissions that are reasonable and customary for transactions of this type) of the Hedge Close-out Shares purchased on such Exchange Business Day. If, on any Exchange Business Day, the Cash Balance is reduced to or below zero but the Settlement Balance is greater than zero, the Buyer shall (i) deliver to Seller or as directed by Seller on the next Currency Business Day after such Exchange Business Day an additional amount in USD (an “</w:t>
      </w:r>
      <w:r>
        <w:rPr>
          <w:rFonts w:ascii="Arial" w:cs="Arial" w:eastAsia="Arial" w:hAnsi="Arial"/>
          <w:sz w:val="16"/>
          <w:szCs w:val="16"/>
          <w:b w:val="1"/>
          <w:bCs w:val="1"/>
          <w:color w:val="auto"/>
        </w:rPr>
        <w:t>Additional Cash Settlement Amount</w:t>
      </w:r>
      <w:r>
        <w:rPr>
          <w:rFonts w:ascii="Arial" w:cs="Arial" w:eastAsia="Arial" w:hAnsi="Arial"/>
          <w:sz w:val="16"/>
          <w:szCs w:val="16"/>
          <w:color w:val="auto"/>
        </w:rPr>
        <w:t>”) equal to the Settlement Balance as of such Exchange Business Day multiplied by a price per Share as reasonably determined in a good faith manner by the Calculation Agent, and the Cash Balance shall be increased by such amount. This provision shall be applied successively until the Settlement Balance is reduced to zero. On the Currency Business Day immediately following the Exchange Business Day that the Settlement Balance is reduced to zero, Seller shall return to Buyer an amount in USD equal to the remaining Cash Balance, if any, as of such Exchange Business Day.</w:t>
      </w:r>
    </w:p>
    <w:p>
      <w:pPr>
        <w:spacing w:after="0" w:line="20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last sentence of Section 9.2, Sections 9.8, 9.9, 9.10 and 9.11 (except that the Representation and Agreement contained in Section 9.11 of the Equity Definitions shall be modified by excluding any representations therein relating to restrictions, obligations, limitations or requirements under applicable securities laws arising as a result of the fact that Buyer is the issuer of the Shares) and Section 9.12 of the Equity Definitions will be applicable to the Transaction.</w:t>
      </w:r>
    </w:p>
    <w:p>
      <w:pPr>
        <w:sectPr>
          <w:pgSz w:w="11900" w:h="16838" w:orient="portrait"/>
          <w:cols w:equalWidth="0" w:num="2">
            <w:col w:w="2500" w:space="460"/>
            <w:col w:w="8400"/>
          </w:cols>
          <w:pgMar w:left="280" w:top="337" w:right="259" w:bottom="1440" w:gutter="0" w:footer="0" w:header="0"/>
          <w:type w:val="continuous"/>
        </w:sectPr>
      </w:pPr>
    </w:p>
    <w:bookmarkStart w:id="76" w:name="page77"/>
    <w:bookmarkEnd w:id="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ADJUSTMENTS: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Potential Adjustment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Extraordinary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Method of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EXTRAORDINARY EVENTS: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Consequences of Merger Events: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Share-for-Share:</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Share-for-Other:</w:t>
      </w: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Share-for-Combined:</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Tender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Consequences of Tender Offers:</w:t>
      </w:r>
    </w:p>
    <w:p>
      <w:pPr>
        <w:spacing w:after="0" w:line="20" w:lineRule="exact"/>
        <w:rPr>
          <w:sz w:val="20"/>
          <w:szCs w:val="20"/>
          <w:color w:val="auto"/>
        </w:rPr>
      </w:pPr>
      <w:r>
        <w:rPr>
          <w:sz w:val="20"/>
          <w:szCs w:val="20"/>
          <w:color w:val="auto"/>
        </w:rPr>
        <w:br w:type="column"/>
      </w:r>
    </w:p>
    <w:p>
      <w:pPr>
        <w:ind w:left="2520"/>
        <w:spacing w:after="0"/>
        <w:rPr>
          <w:sz w:val="20"/>
          <w:szCs w:val="20"/>
          <w:color w:val="auto"/>
        </w:rPr>
      </w:pPr>
      <w:r>
        <w:rPr>
          <w:rFonts w:ascii="Arial" w:cs="Arial" w:eastAsia="Arial" w:hAnsi="Arial"/>
          <w:sz w:val="14"/>
          <w:szCs w:val="14"/>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Notwithstanding anything to the contrary in Section 11.2(e) of the Equity Definitions, an Extraordinary Dividend shall not constitute a Potential Adjustment Event.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 shall constitute a Potential Adjustment Event if a Disrupted Day occurs or, pursuant to Section 11 below, is deemed to occur (in whole or in part) on any Trading Day on or prior to the Valuation Date.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dividend or distribution on the Shares with an ex-dividend date occurring during the period from, and including, the Trade Date to, and including, the last day of the Calculation Period (other than any dividend or distribution of the type described in Section 11.2(e)(i), Section 11.2(e)(ii)(A) or Section 11.2(e)(ii)(B) of the Equity Definitions).</w:t>
      </w:r>
    </w:p>
    <w:p>
      <w:pPr>
        <w:spacing w:after="0" w:line="24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Calculation Agent Adjustment;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parties hereto agree that any Share repurchases by the Issuer, whether pursuant to Rule 10b-18 of the Exchange Act, Rule 10b5-1 of the Exchange Act on customary terms, at prevailing market prices, or VWAP (subject to any discounts thereto) shall not be considered Potential Adjustment Events;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adjustments for any Potential Adjustment Event (other than pursuant to any Potential Adjustment Event defined in Sections 11.2(e)(i), 11.2(e)(ii)(A) and 11.2(e)(iii) of the Equity Definitions) may be made to account for changes in volatility, stock loan rate or liquidity relevant to the Shares or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Modified Calculation Agent Adjustment</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Cancellation and Payment on that portion of the Other Consideration that consists of cash; Modified Calculation Agent Adjustment on the remainder of the Other Consideration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Component Adjustment</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definition of “Tender Offer” in Section 12.1 of the Equity Definitions will be amended by replacing the phrase “greater than 10% and less than 100% of the outstanding voting shares of the Issuer” in the third and fourth line thereof with “(a) greater than 15% and less than 100% of the outstanding Shares of the Issuer in the event that such Tender Offer is being made by any entity or person other than the Issuer or any subsidiary thereof or (b) greater than 20% and less than 100% of the outstanding Shares of the Issuer in the event that such Tender Offer is being made by the Issuer or any subsidiary thereof”.</w:t>
      </w:r>
    </w:p>
    <w:p>
      <w:pPr>
        <w:sectPr>
          <w:pgSz w:w="11900" w:h="16838" w:orient="portrait"/>
          <w:cols w:equalWidth="0" w:num="2">
            <w:col w:w="2440" w:space="560"/>
            <w:col w:w="8400"/>
          </w:cols>
          <w:pgMar w:left="240" w:top="337" w:right="25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4"/>
          <w:szCs w:val="14"/>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2980" w:val="left"/>
        </w:tabs>
        <w:rPr>
          <w:sz w:val="20"/>
          <w:szCs w:val="20"/>
          <w:color w:val="auto"/>
        </w:rPr>
      </w:pPr>
      <w:r>
        <w:rPr>
          <w:rFonts w:ascii="Arial" w:cs="Arial" w:eastAsia="Arial" w:hAnsi="Arial"/>
          <w:sz w:val="18"/>
          <w:szCs w:val="18"/>
          <w:color w:val="auto"/>
        </w:rPr>
        <w:t>Share-for-Share:</w:t>
      </w:r>
      <w:r>
        <w:rPr>
          <w:sz w:val="20"/>
          <w:szCs w:val="20"/>
          <w:color w:val="auto"/>
        </w:rPr>
        <w:tab/>
      </w:r>
      <w:r>
        <w:rPr>
          <w:rFonts w:ascii="Arial" w:cs="Arial" w:eastAsia="Arial" w:hAnsi="Arial"/>
          <w:sz w:val="16"/>
          <w:szCs w:val="16"/>
          <w:color w:val="auto"/>
        </w:rPr>
        <w:t>Modified Calculation Agent Adjustment</w:t>
      </w:r>
    </w:p>
    <w:p>
      <w:pPr>
        <w:spacing w:after="0" w:line="252" w:lineRule="exact"/>
        <w:rPr>
          <w:sz w:val="20"/>
          <w:szCs w:val="20"/>
          <w:color w:val="auto"/>
        </w:rPr>
      </w:pPr>
    </w:p>
    <w:p>
      <w:pPr>
        <w:ind w:left="40"/>
        <w:spacing w:after="0"/>
        <w:tabs>
          <w:tab w:leader="none" w:pos="2980" w:val="left"/>
        </w:tabs>
        <w:rPr>
          <w:sz w:val="20"/>
          <w:szCs w:val="20"/>
          <w:color w:val="auto"/>
        </w:rPr>
      </w:pPr>
      <w:r>
        <w:rPr>
          <w:rFonts w:ascii="Arial" w:cs="Arial" w:eastAsia="Arial" w:hAnsi="Arial"/>
          <w:sz w:val="18"/>
          <w:szCs w:val="18"/>
          <w:color w:val="auto"/>
        </w:rPr>
        <w:t>Share-for-Other:</w:t>
      </w:r>
      <w:r>
        <w:rPr>
          <w:sz w:val="20"/>
          <w:szCs w:val="20"/>
          <w:color w:val="auto"/>
        </w:rPr>
        <w:tab/>
      </w:r>
      <w:r>
        <w:rPr>
          <w:rFonts w:ascii="Arial" w:cs="Arial" w:eastAsia="Arial" w:hAnsi="Arial"/>
          <w:sz w:val="16"/>
          <w:szCs w:val="16"/>
          <w:color w:val="auto"/>
        </w:rPr>
        <w:t>Modified Calculation Agent Adjustment</w:t>
      </w:r>
    </w:p>
    <w:p>
      <w:pPr>
        <w:spacing w:after="0" w:line="252" w:lineRule="exact"/>
        <w:rPr>
          <w:sz w:val="20"/>
          <w:szCs w:val="20"/>
          <w:color w:val="auto"/>
        </w:rPr>
      </w:pPr>
    </w:p>
    <w:p>
      <w:pPr>
        <w:ind w:left="40"/>
        <w:spacing w:after="0"/>
        <w:tabs>
          <w:tab w:leader="none" w:pos="2980" w:val="left"/>
        </w:tabs>
        <w:rPr>
          <w:sz w:val="20"/>
          <w:szCs w:val="20"/>
          <w:color w:val="auto"/>
        </w:rPr>
      </w:pPr>
      <w:r>
        <w:rPr>
          <w:rFonts w:ascii="Arial" w:cs="Arial" w:eastAsia="Arial" w:hAnsi="Arial"/>
          <w:sz w:val="18"/>
          <w:szCs w:val="18"/>
          <w:color w:val="auto"/>
        </w:rPr>
        <w:t>Share-for-Combined:</w:t>
      </w:r>
      <w:r>
        <w:rPr>
          <w:sz w:val="20"/>
          <w:szCs w:val="20"/>
          <w:color w:val="auto"/>
        </w:rPr>
        <w:tab/>
      </w:r>
      <w:r>
        <w:rPr>
          <w:rFonts w:ascii="Arial" w:cs="Arial" w:eastAsia="Arial" w:hAnsi="Arial"/>
          <w:sz w:val="16"/>
          <w:szCs w:val="16"/>
          <w:color w:val="auto"/>
        </w:rPr>
        <w:t>Modified Calculation Agent Adjustment</w:t>
      </w:r>
    </w:p>
    <w:p>
      <w:pPr>
        <w:spacing w:after="0" w:line="252" w:lineRule="exact"/>
        <w:rPr>
          <w:sz w:val="20"/>
          <w:szCs w:val="20"/>
          <w:color w:val="auto"/>
        </w:rPr>
      </w:pPr>
    </w:p>
    <w:p>
      <w:pPr>
        <w:ind w:left="40"/>
        <w:spacing w:after="0"/>
        <w:tabs>
          <w:tab w:leader="none" w:pos="2980" w:val="left"/>
        </w:tabs>
        <w:rPr>
          <w:sz w:val="20"/>
          <w:szCs w:val="20"/>
          <w:color w:val="auto"/>
        </w:rPr>
      </w:pPr>
      <w:r>
        <w:rPr>
          <w:rFonts w:ascii="Arial" w:cs="Arial" w:eastAsia="Arial" w:hAnsi="Arial"/>
          <w:sz w:val="18"/>
          <w:szCs w:val="18"/>
          <w:color w:val="auto"/>
        </w:rPr>
        <w:t>New Shares:</w:t>
      </w:r>
      <w:r>
        <w:rPr>
          <w:sz w:val="20"/>
          <w:szCs w:val="20"/>
          <w:color w:val="auto"/>
        </w:rPr>
        <w:tab/>
      </w:r>
      <w:r>
        <w:rPr>
          <w:rFonts w:ascii="Arial" w:cs="Arial" w:eastAsia="Arial" w:hAnsi="Arial"/>
          <w:sz w:val="17"/>
          <w:szCs w:val="17"/>
          <w:color w:val="auto"/>
        </w:rPr>
        <w:t>In the definition of New Shares in Section 12.1(i) of the Equity Definitions, the text in clause (i) thereof shall be</w:t>
      </w:r>
    </w:p>
    <w:p>
      <w:pPr>
        <w:spacing w:after="0" w:line="23"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deleted in its entirety (including the word “and” following such clause (i)) and replaced with “publicly quoted,</w:t>
      </w:r>
    </w:p>
    <w:p>
      <w:pPr>
        <w:spacing w:after="0" w:line="21"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traded or listed on any of the New York Stock Exchange, The NASDAQ Global Select Market or The NASDAQ</w:t>
      </w:r>
    </w:p>
    <w:p>
      <w:pPr>
        <w:spacing w:after="0" w:line="2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Global Market (or their respective successors)”.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Transaction,</w:t>
      </w:r>
    </w:p>
    <w:p>
      <w:pPr>
        <w:spacing w:after="0" w:line="252" w:lineRule="exact"/>
        <w:rPr>
          <w:sz w:val="20"/>
          <w:szCs w:val="20"/>
          <w:color w:val="auto"/>
        </w:rPr>
      </w:pPr>
    </w:p>
    <w:p>
      <w:pPr>
        <w:ind w:left="1300" w:hanging="644"/>
        <w:spacing w:after="0" w:line="271" w:lineRule="auto"/>
        <w:tabs>
          <w:tab w:leader="none" w:pos="1300" w:val="left"/>
        </w:tabs>
        <w:numPr>
          <w:ilvl w:val="0"/>
          <w:numId w:val="51"/>
        </w:numPr>
        <w:rPr>
          <w:rFonts w:ascii="Arial" w:cs="Arial" w:eastAsia="Arial" w:hAnsi="Arial"/>
          <w:sz w:val="22"/>
          <w:szCs w:val="22"/>
          <w:color w:val="auto"/>
        </w:rPr>
      </w:pPr>
      <w:r>
        <w:rPr>
          <w:rFonts w:ascii="Arial" w:cs="Arial" w:eastAsia="Arial" w:hAnsi="Arial"/>
          <w:sz w:val="18"/>
          <w:szCs w:val="18"/>
          <w:color w:val="auto"/>
        </w:rPr>
        <w:t>the definition of Merger Date in Section 12.1(c) of the Equity Definitions shall be amended to read, “Merger Date shall mean the Announcement Date.”;</w:t>
      </w:r>
    </w:p>
    <w:p>
      <w:pPr>
        <w:spacing w:after="0" w:line="209" w:lineRule="exact"/>
        <w:rPr>
          <w:rFonts w:ascii="Arial" w:cs="Arial" w:eastAsia="Arial" w:hAnsi="Arial"/>
          <w:sz w:val="22"/>
          <w:szCs w:val="22"/>
          <w:color w:val="auto"/>
        </w:rPr>
      </w:pPr>
    </w:p>
    <w:p>
      <w:pPr>
        <w:ind w:left="1300" w:right="20" w:hanging="644"/>
        <w:spacing w:after="0" w:line="271" w:lineRule="auto"/>
        <w:tabs>
          <w:tab w:leader="none" w:pos="1300" w:val="left"/>
        </w:tabs>
        <w:numPr>
          <w:ilvl w:val="0"/>
          <w:numId w:val="51"/>
        </w:numPr>
        <w:rPr>
          <w:rFonts w:ascii="Arial" w:cs="Arial" w:eastAsia="Arial" w:hAnsi="Arial"/>
          <w:sz w:val="22"/>
          <w:szCs w:val="22"/>
          <w:color w:val="auto"/>
        </w:rPr>
      </w:pPr>
      <w:r>
        <w:rPr>
          <w:rFonts w:ascii="Arial" w:cs="Arial" w:eastAsia="Arial" w:hAnsi="Arial"/>
          <w:sz w:val="18"/>
          <w:szCs w:val="18"/>
          <w:color w:val="auto"/>
        </w:rPr>
        <w:t>the definition of Tender Offer Date in Section 12.1(e) of the Equity Definitions shall be amended to read, “Tender Offer Date shall mean the Announcement Date.”;</w:t>
      </w:r>
    </w:p>
    <w:p>
      <w:pPr>
        <w:spacing w:after="0" w:line="209" w:lineRule="exact"/>
        <w:rPr>
          <w:rFonts w:ascii="Arial" w:cs="Arial" w:eastAsia="Arial" w:hAnsi="Arial"/>
          <w:sz w:val="22"/>
          <w:szCs w:val="22"/>
          <w:color w:val="auto"/>
        </w:rPr>
      </w:pPr>
    </w:p>
    <w:p>
      <w:pPr>
        <w:jc w:val="both"/>
        <w:ind w:left="1300" w:hanging="644"/>
        <w:spacing w:after="0" w:line="291" w:lineRule="auto"/>
        <w:tabs>
          <w:tab w:leader="none" w:pos="1300" w:val="left"/>
        </w:tabs>
        <w:numPr>
          <w:ilvl w:val="0"/>
          <w:numId w:val="51"/>
        </w:numPr>
        <w:rPr>
          <w:rFonts w:ascii="Arial" w:cs="Arial" w:eastAsia="Arial" w:hAnsi="Arial"/>
          <w:sz w:val="22"/>
          <w:szCs w:val="22"/>
          <w:color w:val="auto"/>
        </w:rPr>
      </w:pPr>
      <w:r>
        <w:rPr>
          <w:rFonts w:ascii="Arial" w:cs="Arial" w:eastAsia="Arial" w:hAnsi="Arial"/>
          <w:sz w:val="18"/>
          <w:szCs w:val="18"/>
          <w:color w:val="auto"/>
        </w:rPr>
        <w:t>the definition of “Announcement Date” in Section 12.1(l) of the Equity Definitions is hereby amended by (a) replacing the words “a firm” with the word “any bona fide” in the second and fourth lines thereof, (b) replacing the word “leads to the” with the words “, if completed, would lead to a” in the third and the fifth lines thereof, (c) replacing the words “voting shares” with the word “Shares” in the fifth line thereof, (d) inserting the words “by any bona fide entity that is reasonably likely to be a party to the transaction” after the word “announcement” in the second and the fourth lines thereof, (e) inserting the words “or to explore the possibility of engaging in” after the words “engage in” in the second line thereof and (f) inserting the words “or to explore the possibility of purchasing or otherwise obtaining” after the word “obtain” in the fourth line thereof; and</w:t>
      </w:r>
    </w:p>
    <w:p>
      <w:pPr>
        <w:spacing w:after="0" w:line="199" w:lineRule="exact"/>
        <w:rPr>
          <w:rFonts w:ascii="Arial" w:cs="Arial" w:eastAsia="Arial" w:hAnsi="Arial"/>
          <w:sz w:val="22"/>
          <w:szCs w:val="22"/>
          <w:color w:val="auto"/>
        </w:rPr>
      </w:pPr>
    </w:p>
    <w:p>
      <w:pPr>
        <w:ind w:left="1300" w:hanging="644"/>
        <w:spacing w:after="0" w:line="271" w:lineRule="auto"/>
        <w:tabs>
          <w:tab w:leader="none" w:pos="1300" w:val="left"/>
        </w:tabs>
        <w:numPr>
          <w:ilvl w:val="0"/>
          <w:numId w:val="51"/>
        </w:numPr>
        <w:rPr>
          <w:rFonts w:ascii="Arial" w:cs="Arial" w:eastAsia="Arial" w:hAnsi="Arial"/>
          <w:sz w:val="22"/>
          <w:szCs w:val="22"/>
          <w:color w:val="auto"/>
        </w:rPr>
      </w:pPr>
      <w:r>
        <w:rPr>
          <w:rFonts w:ascii="Arial" w:cs="Arial" w:eastAsia="Arial" w:hAnsi="Arial"/>
          <w:sz w:val="18"/>
          <w:szCs w:val="18"/>
          <w:color w:val="auto"/>
        </w:rPr>
        <w:t>Section 12.2 of the Equity Definitions is hereby amended by inserting the words “Announcement Date in respect of any Merger Event or any potential” before the words “Merger Event” in the final line thereof.</w:t>
      </w:r>
    </w:p>
    <w:p>
      <w:pPr>
        <w:sectPr>
          <w:pgSz w:w="11900" w:h="16838" w:orient="portrait"/>
          <w:cols w:equalWidth="0" w:num="1">
            <w:col w:w="11420"/>
          </w:cols>
          <w:pgMar w:left="240" w:top="337" w:right="239" w:bottom="1440" w:gutter="0" w:footer="0" w:header="0"/>
        </w:sectPr>
      </w:pPr>
    </w:p>
    <w:p>
      <w:pPr>
        <w:spacing w:after="0" w:line="318" w:lineRule="exact"/>
        <w:rPr>
          <w:sz w:val="20"/>
          <w:szCs w:val="20"/>
          <w:color w:val="auto"/>
        </w:rPr>
      </w:pPr>
    </w:p>
    <w:p>
      <w:pPr>
        <w:ind w:left="40" w:right="320"/>
        <w:spacing w:after="0" w:line="308" w:lineRule="auto"/>
        <w:rPr>
          <w:sz w:val="20"/>
          <w:szCs w:val="20"/>
          <w:color w:val="auto"/>
        </w:rPr>
      </w:pPr>
      <w:r>
        <w:rPr>
          <w:rFonts w:ascii="Arial" w:cs="Arial" w:eastAsia="Arial" w:hAnsi="Arial"/>
          <w:sz w:val="17"/>
          <w:szCs w:val="17"/>
          <w:color w:val="auto"/>
        </w:rPr>
        <w:t>Composition of Combined Consideration:</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Nationalization, Insolvency or</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Delisting: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Arial" w:cs="Arial" w:eastAsia="Arial" w:hAnsi="Arial"/>
          <w:sz w:val="17"/>
          <w:szCs w:val="17"/>
          <w:color w:val="auto"/>
        </w:rPr>
        <w:t>Additional Disruption Events: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 xml:space="preserve">Cancellation and 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addition to the provisions of Section 12.6(a)(iii) of the Equity Definitions, it shall constitute a Delisting if the Exchange is located in the United States and the Shares are not immediately re-listed, re-traded or re-quoted on any of the New York Stock Exchange, The NASDAQ Global Market or The NASDAQ Global Select Market (or their respective successors); if the Shares are immediately re-listed, re-traded or re-quoted on any such exchange or quotation system, such exchange or quotation system shall thereafter be deemed to be the Exchange.</w:t>
      </w:r>
    </w:p>
    <w:p>
      <w:pPr>
        <w:sectPr>
          <w:pgSz w:w="11900" w:h="16838" w:orient="portrait"/>
          <w:cols w:equalWidth="0" w:num="2">
            <w:col w:w="2280" w:space="720"/>
            <w:col w:w="8420"/>
          </w:cols>
          <w:pgMar w:left="240" w:top="337" w:right="239" w:bottom="1440" w:gutter="0" w:footer="0" w:header="0"/>
          <w:type w:val="continuous"/>
        </w:sectPr>
      </w:pPr>
    </w:p>
    <w:bookmarkStart w:id="78" w:name="page79"/>
    <w:bookmarkEnd w:id="78"/>
    <w:p>
      <w:pPr>
        <w:jc w:val="center"/>
        <w:ind w:right="-39"/>
        <w:spacing w:after="0"/>
        <w:rPr>
          <w:sz w:val="20"/>
          <w:szCs w:val="20"/>
          <w:color w:val="auto"/>
        </w:rPr>
      </w:pPr>
      <w:r>
        <w:rPr>
          <w:rFonts w:ascii="Arial" w:cs="Arial" w:eastAsia="Arial" w:hAnsi="Arial"/>
          <w:sz w:val="11"/>
          <w:szCs w:val="11"/>
          <w:color w:val="auto"/>
        </w:rPr>
        <w:t>Page 8</w:t>
      </w:r>
    </w:p>
    <w:p>
      <w:pPr>
        <w:sectPr>
          <w:pgSz w:w="11900" w:h="16838" w:orient="portrait"/>
          <w:cols w:equalWidth="0" w:num="1">
            <w:col w:w="11300"/>
          </w:cols>
          <w:pgMar w:left="280" w:top="33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Change in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Failure to Deliver: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Insolvency Filing: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Hedging Disruption: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Increased Cost of Hedging: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Loss of Stock Borrow:</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Maximum Stock Loan Rate: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Increased Cost of Stock Borrow:</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Initial Stock Loan Rate: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Determining Party: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Hedging Party: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Non-Reliance:</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Agreements and Acknowledgements Regarding Hedging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Additional Acknowledgments: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determination as to whether (A) the adoption of or any change in any applicable law or regulation (including, for the avoidance of doubt and without limitation, (x) any tax law or (y) adoption or promulgation of new regulations authorized or mandated by existing statute) or (B) the promulgation of or any change in the interpretation by any court, tribunal or regulatory authority with competent jurisdiction of any applicable law or regulation (including any action taken by a taxing authority), in each case, constitutes a “Change in Law” shall be made without regard to Section 739 of the Dodd-Frank Wall Street Reform and Consumer Protection Act of 2010 or any similar legal certainty provision in any legislation enacted, or rule or regulation promulgated, on or after the Trade Date, (ii) Section 12.9(a)(ii) of the Equity Definitions is hereby amended by replacing the parenthetical beginning after the word “regulation” in the second line thereof the words “(including, for the avoidance of doubt and without limitation, (x) any tax law or (y) adoption or promulgation of new regulations authorized or mandated by existing statute)” and (iii) by, immediately following the word “Transaction” in clause (x) thereof, adding the phrase “in the manner contemplated by the Hedging Party on the Trade Date”.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279" w:lineRule="exact"/>
        <w:rPr>
          <w:sz w:val="20"/>
          <w:szCs w:val="20"/>
          <w:color w:val="auto"/>
        </w:rPr>
      </w:pPr>
    </w:p>
    <w:p>
      <w:pPr>
        <w:ind w:left="320" w:hanging="314"/>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bps</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Applicable</w:t>
      </w:r>
    </w:p>
    <w:p>
      <w:pPr>
        <w:spacing w:after="0" w:line="252" w:lineRule="exact"/>
        <w:rPr>
          <w:rFonts w:ascii="Arial" w:cs="Arial" w:eastAsia="Arial" w:hAnsi="Arial"/>
          <w:sz w:val="18"/>
          <w:szCs w:val="18"/>
          <w:color w:val="auto"/>
        </w:rPr>
      </w:pPr>
    </w:p>
    <w:p>
      <w:pPr>
        <w:ind w:left="240" w:hanging="234"/>
        <w:spacing w:after="0"/>
        <w:tabs>
          <w:tab w:leader="none" w:pos="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bps</w:t>
      </w:r>
    </w:p>
    <w:p>
      <w:pPr>
        <w:spacing w:after="0" w:line="252" w:lineRule="exact"/>
        <w:rPr>
          <w:rFonts w:ascii="Arial" w:cs="Arial" w:eastAsia="Arial" w:hAnsi="Arial"/>
          <w:sz w:val="18"/>
          <w:szCs w:val="18"/>
          <w:color w:val="auto"/>
        </w:rPr>
      </w:pPr>
    </w:p>
    <w:p>
      <w:pPr>
        <w:jc w:val="both"/>
        <w:ind w:right="6000"/>
        <w:spacing w:after="0" w:line="532" w:lineRule="auto"/>
        <w:rPr>
          <w:rFonts w:ascii="Arial" w:cs="Arial" w:eastAsia="Arial" w:hAnsi="Arial"/>
          <w:sz w:val="18"/>
          <w:szCs w:val="18"/>
          <w:color w:val="auto"/>
        </w:rPr>
      </w:pPr>
      <w:r>
        <w:rPr>
          <w:rFonts w:ascii="Arial" w:cs="Arial" w:eastAsia="Arial" w:hAnsi="Arial"/>
          <w:sz w:val="18"/>
          <w:szCs w:val="18"/>
          <w:color w:val="auto"/>
        </w:rPr>
        <w:t>For all applicable events, Dealer For all applicable events, Dealer Applicable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Applicable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ectPr>
          <w:pgSz w:w="11900" w:h="16838" w:orient="portrait"/>
          <w:cols w:equalWidth="0" w:num="2">
            <w:col w:w="2640" w:space="320"/>
            <w:col w:w="8340"/>
          </w:cols>
          <w:pgMar w:left="280" w:top="337" w:right="319" w:bottom="1440" w:gutter="0" w:footer="0" w:header="0"/>
          <w:type w:val="continuous"/>
        </w:sectPr>
      </w:pPr>
    </w:p>
    <w:bookmarkStart w:id="79" w:name="page80"/>
    <w:bookmarkEnd w:id="79"/>
    <w:p>
      <w:pPr>
        <w:jc w:val="center"/>
        <w:ind w:right="-91"/>
        <w:spacing w:after="0"/>
        <w:rPr>
          <w:sz w:val="20"/>
          <w:szCs w:val="20"/>
          <w:color w:val="auto"/>
        </w:rPr>
      </w:pPr>
      <w:r>
        <w:rPr>
          <w:rFonts w:ascii="Arial" w:cs="Arial" w:eastAsia="Arial" w:hAnsi="Arial"/>
          <w:sz w:val="11"/>
          <w:szCs w:val="11"/>
          <w:color w:val="auto"/>
        </w:rPr>
        <w:t>Page 9</w:t>
      </w:r>
    </w:p>
    <w:p>
      <w:pPr>
        <w:sectPr>
          <w:pgSz w:w="11900" w:h="16838" w:orient="portrait"/>
          <w:cols w:equalWidth="0" w:num="1">
            <w:col w:w="11312"/>
          </w:cols>
          <w:pgMar w:left="248"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72" w:hanging="345"/>
        <w:spacing w:after="0"/>
        <w:tabs>
          <w:tab w:leader="none" w:pos="372" w:val="left"/>
        </w:tabs>
        <w:numPr>
          <w:ilvl w:val="0"/>
          <w:numId w:val="54"/>
        </w:numPr>
        <w:rPr>
          <w:rFonts w:ascii="Arial" w:cs="Arial" w:eastAsia="Arial" w:hAnsi="Arial"/>
          <w:sz w:val="22"/>
          <w:szCs w:val="22"/>
          <w:color w:val="auto"/>
        </w:rPr>
      </w:pPr>
      <w:r>
        <w:rPr>
          <w:rFonts w:ascii="Arial" w:cs="Arial" w:eastAsia="Arial" w:hAnsi="Arial"/>
          <w:sz w:val="18"/>
          <w:szCs w:val="18"/>
          <w:u w:val="single" w:color="auto"/>
          <w:color w:val="auto"/>
        </w:rPr>
        <w:t>Calculation Agent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52" w:hanging="352"/>
        <w:spacing w:after="0"/>
        <w:tabs>
          <w:tab w:leader="none" w:pos="352" w:val="left"/>
        </w:tabs>
        <w:numPr>
          <w:ilvl w:val="0"/>
          <w:numId w:val="55"/>
        </w:numPr>
        <w:rPr>
          <w:rFonts w:ascii="Arial" w:cs="Arial" w:eastAsia="Arial" w:hAnsi="Arial"/>
          <w:sz w:val="19"/>
          <w:szCs w:val="19"/>
          <w:color w:val="auto"/>
        </w:rPr>
      </w:pPr>
      <w:r>
        <w:rPr>
          <w:rFonts w:ascii="Arial" w:cs="Arial" w:eastAsia="Arial" w:hAnsi="Arial"/>
          <w:sz w:val="16"/>
          <w:szCs w:val="16"/>
          <w:u w:val="single" w:color="auto"/>
          <w:color w:val="auto"/>
        </w:rPr>
        <w:t>Account Details and Notices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Dealer;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following the occurrence of an Event of Default of the type described in Section 5(a)(vii) of the Agreement with respect to which Dealer is the sole Defaulting Party, if the Calculation Agent fails to timely make any calculation, adjustment or determination required to be made by the Calculation Agent hereunder or to perform any obligation of the Calculation Agent hereunder and such failure continues for five (5) Exchange Business Days following notice to the Calculation Agent by Issuer of such failure the Issuer shall have the right to designate a nationally recognized third-party dealer in over-the-counter corporate equity derivatives to act, during the period commencing on the date such Event of Default occurred and ending on the Early Termination Date with respect to such Event of Default, as the Calculation Agent.</w:t>
      </w:r>
    </w:p>
    <w:p>
      <w:pPr>
        <w:spacing w:after="0" w:line="17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All calculations and determinations by the Calculation Agent shall be made in good faith and in a commercially reasonable manner. Following any calculation made by the Calculation Agent hereunder, upon a prior written request by the Issuer, the Calculation Agent will provide to the Issuer by email to the email address provided by the Issuer in such prior written request a report (in a commonly used file format for the storage and manipulation of financial data) displaying in reasonable detail the basis for such calculation and specifying the particular section of the Confirmation pursuant to which such calculation or determination is being made (and in the event that more than one section of the Confirmation would permit the Calculation Agent to make an adjustment upon the occurrence of a specific event, then the Calculation Agent shall specify the particular section number pursuant to which the Calculation Agent is making the adjustment hereunder);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in no event will the Calculation Agent be obligated to share with the Issuer any proprietary or confidential data or information or any proprietary models used by it.</w:t>
      </w:r>
    </w:p>
    <w:p>
      <w:pPr>
        <w:spacing w:after="0" w:line="668" w:lineRule="exact"/>
        <w:rPr>
          <w:sz w:val="20"/>
          <w:szCs w:val="20"/>
          <w:color w:val="auto"/>
        </w:rPr>
      </w:pPr>
    </w:p>
    <w:p>
      <w:pPr>
        <w:sectPr>
          <w:pgSz w:w="11900" w:h="16838" w:orient="portrait"/>
          <w:cols w:equalWidth="0" w:num="2">
            <w:col w:w="2452" w:space="540"/>
            <w:col w:w="8320"/>
          </w:cols>
          <w:pgMar w:left="248" w:top="337" w:right="339" w:bottom="1440" w:gutter="0" w:footer="0" w:header="0"/>
          <w:type w:val="continuous"/>
        </w:sectPr>
      </w:pPr>
    </w:p>
    <w:p>
      <w:pPr>
        <w:spacing w:after="0" w:line="27" w:lineRule="exact"/>
        <w:rPr>
          <w:sz w:val="20"/>
          <w:szCs w:val="20"/>
          <w:color w:val="auto"/>
        </w:rPr>
      </w:pPr>
    </w:p>
    <w:p>
      <w:pPr>
        <w:ind w:left="652"/>
        <w:spacing w:after="0"/>
        <w:tabs>
          <w:tab w:leader="none" w:pos="992"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Account for delivery of Shares to Issuer:</w:t>
      </w:r>
    </w:p>
    <w:p>
      <w:pPr>
        <w:spacing w:after="0" w:line="266" w:lineRule="exact"/>
        <w:rPr>
          <w:sz w:val="20"/>
          <w:szCs w:val="20"/>
          <w:color w:val="auto"/>
        </w:rPr>
      </w:pPr>
    </w:p>
    <w:p>
      <w:pPr>
        <w:ind w:left="652"/>
        <w:spacing w:after="0"/>
        <w:rPr>
          <w:sz w:val="20"/>
          <w:szCs w:val="20"/>
          <w:color w:val="auto"/>
        </w:rPr>
      </w:pPr>
      <w:r>
        <w:rPr>
          <w:rFonts w:ascii="Arial" w:cs="Arial" w:eastAsia="Arial" w:hAnsi="Arial"/>
          <w:sz w:val="18"/>
          <w:szCs w:val="18"/>
          <w:color w:val="auto"/>
        </w:rPr>
        <w:t>Shares to be delivered to:</w:t>
      </w:r>
    </w:p>
    <w:p>
      <w:pPr>
        <w:spacing w:after="0" w:line="23" w:lineRule="exact"/>
        <w:rPr>
          <w:sz w:val="20"/>
          <w:szCs w:val="20"/>
          <w:color w:val="auto"/>
        </w:rPr>
      </w:pPr>
    </w:p>
    <w:p>
      <w:pPr>
        <w:ind w:left="652"/>
        <w:spacing w:after="0"/>
        <w:rPr>
          <w:sz w:val="20"/>
          <w:szCs w:val="20"/>
          <w:color w:val="auto"/>
        </w:rPr>
      </w:pPr>
      <w:r>
        <w:rPr>
          <w:rFonts w:ascii="Arial" w:cs="Arial" w:eastAsia="Arial" w:hAnsi="Arial"/>
          <w:sz w:val="18"/>
          <w:szCs w:val="18"/>
          <w:color w:val="auto"/>
        </w:rPr>
        <w:t>Computershare</w:t>
      </w:r>
    </w:p>
    <w:p>
      <w:pPr>
        <w:spacing w:after="0" w:line="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250 Royal Street</w:t>
      </w:r>
    </w:p>
    <w:p>
      <w:pPr>
        <w:spacing w:after="0" w:line="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Canton, MA 02021</w:t>
      </w:r>
    </w:p>
    <w:p>
      <w:pPr>
        <w:spacing w:after="0" w:line="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ATTN: Client Operations (Align Technology, Inc)</w:t>
      </w:r>
    </w:p>
    <w:p>
      <w:pPr>
        <w:spacing w:after="0" w:line="211" w:lineRule="exact"/>
        <w:rPr>
          <w:sz w:val="20"/>
          <w:szCs w:val="20"/>
          <w:color w:val="auto"/>
        </w:rPr>
      </w:pPr>
    </w:p>
    <w:p>
      <w:pPr>
        <w:ind w:left="652"/>
        <w:spacing w:after="0"/>
        <w:tabs>
          <w:tab w:leader="none" w:pos="1012"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Account for payments to Issuer:</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Bank of America</w:t>
      </w:r>
    </w:p>
    <w:p>
      <w:pPr>
        <w:spacing w:after="0" w:line="23"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Acct: 1487803801</w:t>
      </w:r>
    </w:p>
    <w:p>
      <w:pPr>
        <w:spacing w:after="0" w:line="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ABA: 026009593</w:t>
      </w:r>
    </w:p>
    <w:p>
      <w:pPr>
        <w:spacing w:after="0" w:line="211" w:lineRule="exact"/>
        <w:rPr>
          <w:sz w:val="20"/>
          <w:szCs w:val="20"/>
          <w:color w:val="auto"/>
        </w:rPr>
      </w:pPr>
    </w:p>
    <w:p>
      <w:pPr>
        <w:ind w:left="652"/>
        <w:spacing w:after="0"/>
        <w:tabs>
          <w:tab w:leader="none" w:pos="992"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Account for payments to Dealer:</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Citibank, NY</w:t>
      </w:r>
    </w:p>
    <w:p>
      <w:pPr>
        <w:spacing w:after="0" w:line="23"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ABA#: 021000089</w:t>
      </w:r>
    </w:p>
    <w:p>
      <w:pPr>
        <w:spacing w:after="0" w:line="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Morgan Stanley &amp; Co.</w:t>
      </w:r>
    </w:p>
    <w:p>
      <w:pPr>
        <w:spacing w:after="0" w:line="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Account #: 38890774</w:t>
      </w:r>
    </w:p>
    <w:p>
      <w:pPr>
        <w:spacing w:after="0" w:line="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Align Technology</w:t>
      </w:r>
    </w:p>
    <w:p>
      <w:pPr>
        <w:spacing w:after="0" w:line="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Account # 023-05251</w:t>
      </w:r>
    </w:p>
    <w:p>
      <w:pPr>
        <w:spacing w:after="0" w:line="211" w:lineRule="exact"/>
        <w:rPr>
          <w:sz w:val="20"/>
          <w:szCs w:val="20"/>
          <w:color w:val="auto"/>
        </w:rPr>
      </w:pPr>
    </w:p>
    <w:p>
      <w:pPr>
        <w:ind w:left="652"/>
        <w:spacing w:after="0"/>
        <w:rPr>
          <w:sz w:val="20"/>
          <w:szCs w:val="20"/>
          <w:color w:val="auto"/>
        </w:rPr>
      </w:pPr>
      <w:r>
        <w:rPr>
          <w:rFonts w:ascii="Arial" w:cs="Arial" w:eastAsia="Arial" w:hAnsi="Arial"/>
          <w:sz w:val="18"/>
          <w:szCs w:val="18"/>
          <w:color w:val="auto"/>
        </w:rPr>
        <w:t>For purposes of this Confirmation:</w:t>
      </w:r>
    </w:p>
    <w:p>
      <w:pPr>
        <w:spacing w:after="0" w:line="225" w:lineRule="exact"/>
        <w:rPr>
          <w:sz w:val="20"/>
          <w:szCs w:val="20"/>
          <w:color w:val="auto"/>
        </w:rPr>
      </w:pPr>
    </w:p>
    <w:p>
      <w:pPr>
        <w:jc w:val="right"/>
        <w:ind w:right="6140"/>
        <w:spacing w:after="0"/>
        <w:tabs>
          <w:tab w:leader="none" w:pos="352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Address for notices or communications to Issuer:</w:t>
      </w:r>
    </w:p>
    <w:p>
      <w:pPr>
        <w:sectPr>
          <w:pgSz w:w="11900" w:h="16838" w:orient="portrait"/>
          <w:cols w:equalWidth="0" w:num="1">
            <w:col w:w="11312"/>
          </w:cols>
          <w:pgMar w:left="248" w:top="337" w:right="33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4"/>
          <w:szCs w:val="14"/>
          <w:color w:val="auto"/>
        </w:rPr>
        <w:t>Page 10</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Align Technology,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2560 Orchard Parkway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 Jose, CA 95131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Legal Department</w:t>
      </w:r>
    </w:p>
    <w:p>
      <w:pPr>
        <w:spacing w:after="0" w:line="211"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6"/>
          <w:szCs w:val="16"/>
          <w:color w:val="auto"/>
        </w:rPr>
        <w:t>Address for notices or communications to Dealer: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10036-8293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Usman Khan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(212) 761-0955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(212) 404-4261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Usman.S.Khan@morganstanley.com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Anthony Cicia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(212) 762-4828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(212) 507-4338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Anthony.Cicia@morganstanley.com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email notification to the following address:</w:t>
      </w:r>
    </w:p>
    <w:p>
      <w:pPr>
        <w:spacing w:after="0" w:line="225" w:lineRule="exact"/>
        <w:rPr>
          <w:sz w:val="20"/>
          <w:szCs w:val="20"/>
          <w:color w:val="auto"/>
        </w:rPr>
      </w:pPr>
    </w:p>
    <w:p>
      <w:pPr>
        <w:jc w:val="center"/>
        <w:ind w:right="7460"/>
        <w:spacing w:after="0"/>
        <w:rPr>
          <w:sz w:val="20"/>
          <w:szCs w:val="20"/>
          <w:color w:val="auto"/>
        </w:rPr>
      </w:pPr>
      <w:r>
        <w:rPr>
          <w:rFonts w:ascii="Arial" w:cs="Arial" w:eastAsia="Arial" w:hAnsi="Arial"/>
          <w:sz w:val="18"/>
          <w:szCs w:val="18"/>
          <w:color w:val="auto"/>
        </w:rPr>
        <w:t>Usman.S.Khan@morganstanley.com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Amendments to the Equity Definitions and Agreement</w:t>
      </w:r>
      <w:r>
        <w:rPr>
          <w:rFonts w:ascii="Arial" w:cs="Arial" w:eastAsia="Arial" w:hAnsi="Arial"/>
          <w:sz w:val="18"/>
          <w:szCs w:val="18"/>
          <w:color w:val="auto"/>
        </w:rPr>
        <w:t>.</w:t>
      </w:r>
    </w:p>
    <w:p>
      <w:pPr>
        <w:spacing w:after="0" w:line="225" w:lineRule="exact"/>
        <w:rPr>
          <w:sz w:val="20"/>
          <w:szCs w:val="20"/>
          <w:color w:val="auto"/>
        </w:rPr>
      </w:pPr>
    </w:p>
    <w:p>
      <w:pPr>
        <w:ind w:left="1040" w:hanging="384"/>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Section 9.2(a)(iii) of the Equity Definitions is hereby amended by deleting the words “the Excess Dividend Amount, if any, and”.</w:t>
      </w:r>
    </w:p>
    <w:p>
      <w:pPr>
        <w:spacing w:after="0" w:line="225" w:lineRule="exact"/>
        <w:rPr>
          <w:rFonts w:ascii="Arial" w:cs="Arial" w:eastAsia="Arial" w:hAnsi="Arial"/>
          <w:sz w:val="18"/>
          <w:szCs w:val="18"/>
          <w:color w:val="auto"/>
        </w:rPr>
      </w:pPr>
    </w:p>
    <w:p>
      <w:pPr>
        <w:ind w:firstLine="656"/>
        <w:spacing w:after="0" w:line="277" w:lineRule="auto"/>
        <w:tabs>
          <w:tab w:leader="none" w:pos="1036"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Section 11.2(a) of the Equity Definitions is hereby amended by deleting the words “a diluting or concentrative effect on the theoretical value of the relevant Shares” and replacing them with the words “a material economic effect on the relevant Transaction”.</w:t>
      </w:r>
    </w:p>
    <w:p>
      <w:pPr>
        <w:spacing w:after="0" w:line="170" w:lineRule="exact"/>
        <w:rPr>
          <w:rFonts w:ascii="Arial" w:cs="Arial" w:eastAsia="Arial" w:hAnsi="Arial"/>
          <w:sz w:val="18"/>
          <w:szCs w:val="18"/>
          <w:color w:val="auto"/>
        </w:rPr>
      </w:pPr>
    </w:p>
    <w:p>
      <w:pPr>
        <w:jc w:val="both"/>
        <w:ind w:firstLine="656"/>
        <w:spacing w:after="0" w:line="302" w:lineRule="auto"/>
        <w:tabs>
          <w:tab w:leader="none" w:pos="1109"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first sentence of Section 11.2(c) of the Equity Definitions, prior to clause (A) thereof, is hereby amended to read as follows: ‘(c) If “Calculation Agent Adjustment” is specified as the Method of Adjustment in the related Confirmation of a Share Option Transaction or Share Forward Transaction, then, following the announcement or occurrence of any Potential Adjustment Event, the Calculation Agent will determine whether such Potential Adjustment Event has a material economic effect on the Transaction and, if so, will (i) make appropriate adjustment(s), if any, to any one or more of:’.</w:t>
      </w:r>
    </w:p>
    <w:p>
      <w:pPr>
        <w:spacing w:after="0" w:line="154" w:lineRule="exact"/>
        <w:rPr>
          <w:rFonts w:ascii="Arial" w:cs="Arial" w:eastAsia="Arial" w:hAnsi="Arial"/>
          <w:sz w:val="16"/>
          <w:szCs w:val="16"/>
          <w:color w:val="auto"/>
        </w:rPr>
      </w:pPr>
    </w:p>
    <w:p>
      <w:pPr>
        <w:ind w:firstLine="656"/>
        <w:spacing w:after="0" w:line="277" w:lineRule="auto"/>
        <w:tabs>
          <w:tab w:leader="none" w:pos="1047"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Section 11.2(e)(vii) of the Equity Definitions is hereby amended by deleting the words “diluting or concentrative effect on the theoretical value of the relevant Shares” and replacing them with the words “a material economic effect on the relevant Transaction”.</w:t>
      </w:r>
    </w:p>
    <w:p>
      <w:pPr>
        <w:spacing w:after="0" w:line="170" w:lineRule="exact"/>
        <w:rPr>
          <w:rFonts w:ascii="Arial" w:cs="Arial" w:eastAsia="Arial" w:hAnsi="Arial"/>
          <w:sz w:val="18"/>
          <w:szCs w:val="18"/>
          <w:color w:val="auto"/>
        </w:rPr>
      </w:pPr>
    </w:p>
    <w:p>
      <w:pPr>
        <w:ind w:firstLine="656"/>
        <w:spacing w:after="0" w:line="277" w:lineRule="auto"/>
        <w:tabs>
          <w:tab w:leader="none" w:pos="1044"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Section 12.6(c)(ii) of the Equity Definitions is hereby amended by replacing the words “the Transaction will be cancelled,” in the first line with the words “Dealer will have the right to cancel the Transaction,”.</w:t>
      </w:r>
    </w:p>
    <w:p>
      <w:pPr>
        <w:spacing w:after="0" w:line="170" w:lineRule="exact"/>
        <w:rPr>
          <w:rFonts w:ascii="Arial" w:cs="Arial" w:eastAsia="Arial" w:hAnsi="Arial"/>
          <w:sz w:val="18"/>
          <w:szCs w:val="18"/>
          <w:color w:val="auto"/>
        </w:rPr>
      </w:pPr>
    </w:p>
    <w:p>
      <w:pPr>
        <w:ind w:firstLine="656"/>
        <w:spacing w:after="0" w:line="277" w:lineRule="auto"/>
        <w:tabs>
          <w:tab w:leader="none" w:pos="1092"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Section 12.9(b)(iv) of the Equity Definitions is hereby amended by (A) deleting (1) subsection (A) in its entirety, (2) the phrase “or (B)” following subsection (A) and (3) the phrase “in each case” in subsection</w:t>
      </w:r>
    </w:p>
    <w:p>
      <w:pPr>
        <w:sectPr>
          <w:pgSz w:w="11900" w:h="16838" w:orient="portrait"/>
          <w:cols w:equalWidth="0" w:num="1">
            <w:col w:w="11420"/>
          </w:cols>
          <w:pgMar w:left="240" w:top="337"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4"/>
          <w:szCs w:val="14"/>
          <w:color w:val="auto"/>
        </w:rPr>
        <w:t>Page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and (B) deleting the phrase “neither the Non-Hedging Party nor the Lending Party lends Shares in the amount of the Hedging Shares or” in the penultimate sentence.</w:t>
      </w:r>
    </w:p>
    <w:p>
      <w:pPr>
        <w:spacing w:after="0" w:line="170" w:lineRule="exact"/>
        <w:rPr>
          <w:sz w:val="20"/>
          <w:szCs w:val="20"/>
          <w:color w:val="auto"/>
        </w:rPr>
      </w:pPr>
    </w:p>
    <w:p>
      <w:pPr>
        <w:jc w:val="both"/>
        <w:ind w:firstLine="656"/>
        <w:spacing w:after="0" w:line="312" w:lineRule="auto"/>
        <w:tabs>
          <w:tab w:leader="none" w:pos="1021" w:val="left"/>
        </w:tabs>
        <w:numPr>
          <w:ilvl w:val="0"/>
          <w:numId w:val="57"/>
        </w:numPr>
        <w:rPr>
          <w:rFonts w:ascii="Arial" w:cs="Arial" w:eastAsia="Arial" w:hAnsi="Arial"/>
          <w:sz w:val="16"/>
          <w:szCs w:val="16"/>
          <w:color w:val="auto"/>
        </w:rPr>
      </w:pPr>
      <w:r>
        <w:rPr>
          <w:rFonts w:ascii="Arial" w:cs="Arial" w:eastAsia="Arial" w:hAnsi="Arial"/>
          <w:sz w:val="16"/>
          <w:szCs w:val="16"/>
          <w:color w:val="auto"/>
        </w:rPr>
        <w:t>Section 12.9(b)(v) of the Equity Definitions is hereby amended by (A) adding the word “or” immediately before subsection “(B)” and deleting the comma at the end of subsection (A); and (B)(1) deleting subsection (C) in its entirety, (2) deleting the word “or” immediately preceding subsection (C) and (3) replacing in the penultimate sentence the words “either party” with “the Hedging Party” and (4) deleting clause (X) in the final sentence.</w:t>
      </w:r>
    </w:p>
    <w:p>
      <w:pPr>
        <w:spacing w:after="0" w:line="146" w:lineRule="exact"/>
        <w:rPr>
          <w:rFonts w:ascii="Arial" w:cs="Arial" w:eastAsia="Arial" w:hAnsi="Arial"/>
          <w:sz w:val="16"/>
          <w:szCs w:val="16"/>
          <w:color w:val="auto"/>
        </w:rPr>
      </w:pPr>
    </w:p>
    <w:p>
      <w:pPr>
        <w:ind w:firstLine="656"/>
        <w:spacing w:after="0" w:line="277" w:lineRule="auto"/>
        <w:tabs>
          <w:tab w:leader="none" w:pos="1074"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Section 2(a)(iii) of the Agreement is hereby amended by deleting the words “or Potential Event of Default” in clause (1) of such Section and deleting the word “and” immediately before subsection (3) and deleting clause “(3)” in its entirety.</w:t>
      </w:r>
    </w:p>
    <w:p>
      <w:pPr>
        <w:spacing w:after="0" w:line="188" w:lineRule="exact"/>
        <w:rPr>
          <w:sz w:val="20"/>
          <w:szCs w:val="20"/>
          <w:color w:val="auto"/>
        </w:rPr>
      </w:pPr>
    </w:p>
    <w:p>
      <w:pPr>
        <w:ind w:left="360" w:hanging="352"/>
        <w:spacing w:after="0"/>
        <w:tabs>
          <w:tab w:leader="none" w:pos="360" w:val="left"/>
        </w:tabs>
        <w:numPr>
          <w:ilvl w:val="0"/>
          <w:numId w:val="58"/>
        </w:numPr>
        <w:rPr>
          <w:rFonts w:ascii="Arial" w:cs="Arial" w:eastAsia="Arial" w:hAnsi="Arial"/>
          <w:sz w:val="22"/>
          <w:szCs w:val="22"/>
          <w:color w:val="auto"/>
        </w:rPr>
      </w:pPr>
      <w:r>
        <w:rPr>
          <w:rFonts w:ascii="Arial" w:cs="Arial" w:eastAsia="Arial" w:hAnsi="Arial"/>
          <w:sz w:val="18"/>
          <w:szCs w:val="18"/>
          <w:u w:val="single" w:color="auto"/>
          <w:color w:val="auto"/>
        </w:rPr>
        <w:t>Certain Payments and Deliveries by Dealer</w:t>
      </w:r>
      <w:r>
        <w:rPr>
          <w:rFonts w:ascii="Arial" w:cs="Arial" w:eastAsia="Arial" w:hAnsi="Arial"/>
          <w:sz w:val="18"/>
          <w:szCs w:val="18"/>
          <w:color w:val="auto"/>
        </w:rPr>
        <w:t>.</w:t>
      </w:r>
    </w:p>
    <w:p>
      <w:pPr>
        <w:spacing w:after="0" w:line="21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Notwithstanding anything to the contrary herein, or in the Equity Definitions, if at any time (i) an Early Termination Date occurs and Dealer would be required to make a payment pursuant to Section 6 of the Agreement or (ii) an Extraordinary Event occurs and Dealer would be required to make a payment pursuant to Article 12 of the Equity Definitions (the amount of any such payment obligation described in Section 6(i) or (ii) above, an “</w:t>
      </w:r>
      <w:r>
        <w:rPr>
          <w:rFonts w:ascii="Arial" w:cs="Arial" w:eastAsia="Arial" w:hAnsi="Arial"/>
          <w:sz w:val="16"/>
          <w:szCs w:val="16"/>
          <w:b w:val="1"/>
          <w:bCs w:val="1"/>
          <w:color w:val="auto"/>
        </w:rPr>
        <w:t>Dealer Payment</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 then Issuer shall have the right, by prior written notice to Dealer, to require Dealer to settle such payment obligation in Shares in lieu of cash;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Issuer shall not have the right to so elect in the event of (i) an Insolvency, a Nationalization, a Merger Event or a Tender Offer, in each case, in which the consideration or proceeds to be paid to holders of Shares consists solely of cash or (ii) an Event of Default in which Issuer is the Defaulting Party or a Termination Event in which Issuer is an Affected Party, which Event of Default or Termination Event resulted from an event or events within Issuer’s control. If Issuer does not so elect for Dealer to settle an Dealer Payment Amount in Shares, then Dealer shall have the right, in its sole discretion, to elect to settle such Dealer Payment Amount in Shares. If either Issuer or Dealer so elects, then Dealer shall deliver to Issuer, on or within a commercially reasonable time following the date on which such Dealer Payment Amount would have been due, a number of Shares with a market value, as determined by the Calculation Agent, equal to all or a portion (which portion may be zero) of the Dealer Payment Amount. If the market value of such Shares equals a portion, but not all, of the Dealer Payment Amount, then, on the date such Dealer Payment Amount is due, a notional balance (the “</w:t>
      </w:r>
      <w:r>
        <w:rPr>
          <w:rFonts w:ascii="Arial" w:cs="Arial" w:eastAsia="Arial" w:hAnsi="Arial"/>
          <w:sz w:val="16"/>
          <w:szCs w:val="16"/>
          <w:b w:val="1"/>
          <w:bCs w:val="1"/>
          <w:color w:val="auto"/>
        </w:rPr>
        <w:t>Settlement Balance</w:t>
      </w:r>
      <w:r>
        <w:rPr>
          <w:rFonts w:ascii="Arial" w:cs="Arial" w:eastAsia="Arial" w:hAnsi="Arial"/>
          <w:sz w:val="16"/>
          <w:szCs w:val="16"/>
          <w:color w:val="auto"/>
        </w:rPr>
        <w:t>”) shall be established equal to the remaining portion of the Dealer Payment Amount, and Dealer shall commence purchasing Shares for delivery to Issuer. At the end of each Trading Day on which Dealer purchases Shares pursuant to this Section 6, Dealer shall reduce the Settlement Balance by the amount paid by Dealer to purchase the Shares purchased on such Trading Day. Dealer shall deliver any Shares purchased on a Trading Day pursuant to this Section 6 to Issuer on the third Exchange Business Day following such Trading Day. Dealer shall continue so purchasing and delivering Shares until the Settlement Balance has been reduced to zero. In making any purchases of Shares contemplated by this Section 6, Dealer shall use commercially reasonable efforts to purchase such Shares in a manner that would qualify for the safe harbor provided by Rule 10b-18 if such purchases were made by or on behalf of Issuer. The period until the Settlement Balance is reduced to zero shall be considered to be part of the Calculation Period for purposes of the representations, warranties and covenants and other provisions herein as the context requires.</w:t>
      </w:r>
    </w:p>
    <w:p>
      <w:pPr>
        <w:spacing w:after="0" w:line="200" w:lineRule="exact"/>
        <w:rPr>
          <w:sz w:val="20"/>
          <w:szCs w:val="20"/>
          <w:color w:val="auto"/>
        </w:rPr>
      </w:pPr>
    </w:p>
    <w:p>
      <w:pPr>
        <w:spacing w:after="0" w:line="205" w:lineRule="exact"/>
        <w:rPr>
          <w:sz w:val="20"/>
          <w:szCs w:val="20"/>
          <w:color w:val="auto"/>
        </w:rPr>
      </w:pPr>
    </w:p>
    <w:p>
      <w:pPr>
        <w:ind w:left="360" w:hanging="352"/>
        <w:spacing w:after="0"/>
        <w:tabs>
          <w:tab w:leader="none" w:pos="360" w:val="left"/>
        </w:tabs>
        <w:numPr>
          <w:ilvl w:val="0"/>
          <w:numId w:val="59"/>
        </w:numPr>
        <w:rPr>
          <w:rFonts w:ascii="Arial" w:cs="Arial" w:eastAsia="Arial" w:hAnsi="Arial"/>
          <w:sz w:val="22"/>
          <w:szCs w:val="22"/>
          <w:color w:val="auto"/>
        </w:rPr>
      </w:pPr>
      <w:r>
        <w:rPr>
          <w:rFonts w:ascii="Arial" w:cs="Arial" w:eastAsia="Arial" w:hAnsi="Arial"/>
          <w:sz w:val="18"/>
          <w:szCs w:val="18"/>
          <w:u w:val="single" w:color="auto"/>
          <w:color w:val="auto"/>
        </w:rPr>
        <w:t>Certain Payments and Deliveries by Issuer</w:t>
      </w:r>
      <w:r>
        <w:rPr>
          <w:rFonts w:ascii="Arial" w:cs="Arial" w:eastAsia="Arial" w:hAnsi="Arial"/>
          <w:sz w:val="18"/>
          <w:szCs w:val="18"/>
          <w:color w:val="auto"/>
        </w:rPr>
        <w:t>.</w:t>
      </w:r>
    </w:p>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Notwithstanding anything to the contrary herein, or in the Equity Definitions, if at any time (i) an Early Termination Date occurs and Issuer would be required to make a payment pursuant to Section 6 of the Agreement or (ii) an Extraordinary Event occurs and Issuer would be required to make a payment pursuant to Article 12 of the Equity Definitions (any such payment described in Section 7(i) or (ii) above, an “</w:t>
      </w:r>
      <w:r>
        <w:rPr>
          <w:rFonts w:ascii="Arial" w:cs="Arial" w:eastAsia="Arial" w:hAnsi="Arial"/>
          <w:sz w:val="16"/>
          <w:szCs w:val="16"/>
          <w:b w:val="1"/>
          <w:bCs w:val="1"/>
          <w:color w:val="auto"/>
        </w:rPr>
        <w:t>Early Settlement Payment</w:t>
      </w:r>
      <w:r>
        <w:rPr>
          <w:rFonts w:ascii="Arial" w:cs="Arial" w:eastAsia="Arial" w:hAnsi="Arial"/>
          <w:sz w:val="16"/>
          <w:szCs w:val="16"/>
          <w:color w:val="auto"/>
        </w:rPr>
        <w:t>”), then Issuer shall have the right, by prior written notice to Dealer, in lieu of making such cash payment, to settle such payment obligation in Shares (such Shares, “</w:t>
      </w:r>
      <w:r>
        <w:rPr>
          <w:rFonts w:ascii="Arial" w:cs="Arial" w:eastAsia="Arial" w:hAnsi="Arial"/>
          <w:sz w:val="16"/>
          <w:szCs w:val="16"/>
          <w:b w:val="1"/>
          <w:bCs w:val="1"/>
          <w:color w:val="auto"/>
        </w:rPr>
        <w:t>Early Settlement</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Issuer shall not have the right to so elect in the event of (i) an Insolvency, a Nationalization, a Merger Event or a Tender</w:t>
      </w:r>
      <w:r>
        <w:rPr>
          <w:rFonts w:ascii="Arial" w:cs="Arial" w:eastAsia="Arial" w:hAnsi="Arial"/>
          <w:sz w:val="16"/>
          <w:szCs w:val="16"/>
          <w:b w:val="1"/>
          <w:bCs w:val="1"/>
          <w:color w:val="auto"/>
        </w:rPr>
        <w:t xml:space="preserve"> </w:t>
      </w:r>
      <w:r>
        <w:rPr>
          <w:rFonts w:ascii="Arial" w:cs="Arial" w:eastAsia="Arial" w:hAnsi="Arial"/>
          <w:sz w:val="16"/>
          <w:szCs w:val="16"/>
          <w:color w:val="auto"/>
        </w:rPr>
        <w:t>Offer, in each case, in which the consideration or proceeds to be paid to holders of Shares consists solely of cash or (ii) an</w:t>
      </w:r>
    </w:p>
    <w:p>
      <w:pPr>
        <w:sectPr>
          <w:pgSz w:w="11900" w:h="16838" w:orient="portrait"/>
          <w:cols w:equalWidth="0" w:num="1">
            <w:col w:w="11420"/>
          </w:cols>
          <w:pgMar w:left="240" w:top="337"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4"/>
          <w:szCs w:val="14"/>
          <w:color w:val="auto"/>
        </w:rPr>
        <w:t>Page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Event of Default in which Issuer is the Defaulting Party or a Termination Event in which Issuer is an Affected Party, which Event of Default or Termination Event resulted from an event or events within Issuer’s control. In order to elect to deliver Early Settlement Shares, (i) Issuer must notify Dealer of its election by no later than 4:00 p.m., New York City time, on the date that is three Exchange Business Days before the date that the Early Settlement Payment is due,</w:t>
      </w:r>
    </w:p>
    <w:p>
      <w:pPr>
        <w:ind w:firstLine="8"/>
        <w:spacing w:after="0" w:line="261" w:lineRule="auto"/>
        <w:tabs>
          <w:tab w:leader="none" w:pos="278" w:val="left"/>
        </w:tabs>
        <w:numPr>
          <w:ilvl w:val="0"/>
          <w:numId w:val="60"/>
        </w:numPr>
        <w:rPr>
          <w:rFonts w:ascii="Arial" w:cs="Arial" w:eastAsia="Arial" w:hAnsi="Arial"/>
          <w:sz w:val="18"/>
          <w:szCs w:val="18"/>
          <w:color w:val="auto"/>
        </w:rPr>
      </w:pPr>
      <w:r>
        <w:rPr>
          <w:rFonts w:ascii="Arial" w:cs="Arial" w:eastAsia="Arial" w:hAnsi="Arial"/>
          <w:sz w:val="18"/>
          <w:szCs w:val="18"/>
          <w:color w:val="auto"/>
        </w:rPr>
        <w:t>Issuer must specify whether such Early Settlement Shares are to be sold by means of a registered offering or by means of a private placement and (iii) Issuer must comply with Section 8 below.</w:t>
      </w:r>
    </w:p>
    <w:p>
      <w:pPr>
        <w:spacing w:after="0" w:line="202" w:lineRule="exact"/>
        <w:rPr>
          <w:sz w:val="20"/>
          <w:szCs w:val="20"/>
          <w:color w:val="auto"/>
        </w:rPr>
      </w:pPr>
    </w:p>
    <w:p>
      <w:pPr>
        <w:ind w:left="360" w:hanging="352"/>
        <w:spacing w:after="0"/>
        <w:tabs>
          <w:tab w:leader="none" w:pos="360" w:val="left"/>
        </w:tabs>
        <w:numPr>
          <w:ilvl w:val="0"/>
          <w:numId w:val="61"/>
        </w:numPr>
        <w:rPr>
          <w:rFonts w:ascii="Arial" w:cs="Arial" w:eastAsia="Arial" w:hAnsi="Arial"/>
          <w:sz w:val="22"/>
          <w:szCs w:val="22"/>
          <w:color w:val="auto"/>
        </w:rPr>
      </w:pPr>
      <w:r>
        <w:rPr>
          <w:rFonts w:ascii="Arial" w:cs="Arial" w:eastAsia="Arial" w:hAnsi="Arial"/>
          <w:sz w:val="18"/>
          <w:szCs w:val="18"/>
          <w:u w:val="single" w:color="auto"/>
          <w:color w:val="auto"/>
        </w:rPr>
        <w:t>Provisions Relating to Delivery of Early Settlement Shares</w:t>
      </w:r>
      <w:r>
        <w:rPr>
          <w:rFonts w:ascii="Arial" w:cs="Arial" w:eastAsia="Arial" w:hAnsi="Arial"/>
          <w:sz w:val="18"/>
          <w:szCs w:val="18"/>
          <w:color w:val="auto"/>
        </w:rPr>
        <w:t>.</w:t>
      </w:r>
    </w:p>
    <w:p>
      <w:pPr>
        <w:spacing w:after="0" w:line="215" w:lineRule="exact"/>
        <w:rPr>
          <w:rFonts w:ascii="Arial" w:cs="Arial" w:eastAsia="Arial" w:hAnsi="Arial"/>
          <w:sz w:val="22"/>
          <w:szCs w:val="22"/>
          <w:color w:val="auto"/>
        </w:rPr>
      </w:pPr>
    </w:p>
    <w:p>
      <w:pPr>
        <w:ind w:firstLine="656"/>
        <w:spacing w:after="0" w:line="277" w:lineRule="auto"/>
        <w:tabs>
          <w:tab w:leader="none" w:pos="1045" w:val="left"/>
        </w:tabs>
        <w:numPr>
          <w:ilvl w:val="1"/>
          <w:numId w:val="61"/>
        </w:numPr>
        <w:rPr>
          <w:rFonts w:ascii="Arial" w:cs="Arial" w:eastAsia="Arial" w:hAnsi="Arial"/>
          <w:sz w:val="18"/>
          <w:szCs w:val="18"/>
          <w:color w:val="auto"/>
        </w:rPr>
      </w:pPr>
      <w:r>
        <w:rPr>
          <w:rFonts w:ascii="Arial" w:cs="Arial" w:eastAsia="Arial" w:hAnsi="Arial"/>
          <w:sz w:val="18"/>
          <w:szCs w:val="18"/>
          <w:color w:val="auto"/>
        </w:rPr>
        <w:t>Issuer may deliver Early Settlement Shares and Make-Whole Shares (as defined below) by means of a registered offering only if the following conditions are satisfied:</w:t>
      </w:r>
    </w:p>
    <w:p>
      <w:pPr>
        <w:spacing w:after="0" w:line="210" w:lineRule="exact"/>
        <w:rPr>
          <w:rFonts w:ascii="Arial" w:cs="Arial" w:eastAsia="Arial" w:hAnsi="Arial"/>
          <w:sz w:val="18"/>
          <w:szCs w:val="18"/>
          <w:color w:val="auto"/>
        </w:rPr>
      </w:pPr>
    </w:p>
    <w:p>
      <w:pPr>
        <w:jc w:val="both"/>
        <w:ind w:firstLine="1305"/>
        <w:spacing w:after="0" w:line="288" w:lineRule="auto"/>
        <w:tabs>
          <w:tab w:leader="none" w:pos="1685" w:val="left"/>
        </w:tabs>
        <w:numPr>
          <w:ilvl w:val="2"/>
          <w:numId w:val="61"/>
        </w:numPr>
        <w:rPr>
          <w:rFonts w:ascii="Arial" w:cs="Arial" w:eastAsia="Arial" w:hAnsi="Arial"/>
          <w:sz w:val="22"/>
          <w:szCs w:val="22"/>
          <w:color w:val="auto"/>
        </w:rPr>
      </w:pPr>
      <w:r>
        <w:rPr>
          <w:rFonts w:ascii="Arial" w:cs="Arial" w:eastAsia="Arial" w:hAnsi="Arial"/>
          <w:sz w:val="18"/>
          <w:szCs w:val="18"/>
          <w:color w:val="auto"/>
        </w:rPr>
        <w:t>On the later of (A) the second Trading Day following Issuer’s election to deliver Early Settlement Shares and any Make-Whole Shares by means of a registered offering (the “</w:t>
      </w:r>
      <w:r>
        <w:rPr>
          <w:rFonts w:ascii="Arial" w:cs="Arial" w:eastAsia="Arial" w:hAnsi="Arial"/>
          <w:sz w:val="18"/>
          <w:szCs w:val="18"/>
          <w:b w:val="1"/>
          <w:bCs w:val="1"/>
          <w:color w:val="auto"/>
        </w:rPr>
        <w:t>Registration Notice Date</w:t>
      </w:r>
      <w:r>
        <w:rPr>
          <w:rFonts w:ascii="Arial" w:cs="Arial" w:eastAsia="Arial" w:hAnsi="Arial"/>
          <w:sz w:val="18"/>
          <w:szCs w:val="18"/>
          <w:color w:val="auto"/>
        </w:rPr>
        <w:t xml:space="preserve">”), and (B) the date on which the Registration Statement is declared effective by the SEC or becomes effective, but in no event later than the date the Early Settlement Payment is due, Issuer shall deliver to Dealer a number of Early Settlement Shares equal to the quotient of (I) the relevant Early Settlement Payment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(II) a price per Share as reasonably determined by the Calculation Agent (the date of such delivery, the “</w:t>
      </w:r>
      <w:r>
        <w:rPr>
          <w:rFonts w:ascii="Arial" w:cs="Arial" w:eastAsia="Arial" w:hAnsi="Arial"/>
          <w:sz w:val="18"/>
          <w:szCs w:val="18"/>
          <w:b w:val="1"/>
          <w:bCs w:val="1"/>
          <w:color w:val="auto"/>
        </w:rPr>
        <w:t>Registered Share Delivery Date</w:t>
      </w:r>
      <w:r>
        <w:rPr>
          <w:rFonts w:ascii="Arial" w:cs="Arial" w:eastAsia="Arial" w:hAnsi="Arial"/>
          <w:sz w:val="18"/>
          <w:szCs w:val="18"/>
          <w:color w:val="auto"/>
        </w:rPr>
        <w:t>”).</w:t>
      </w:r>
    </w:p>
    <w:p>
      <w:pPr>
        <w:spacing w:after="0" w:line="211" w:lineRule="exact"/>
        <w:rPr>
          <w:rFonts w:ascii="Arial" w:cs="Arial" w:eastAsia="Arial" w:hAnsi="Arial"/>
          <w:sz w:val="22"/>
          <w:szCs w:val="22"/>
          <w:color w:val="auto"/>
        </w:rPr>
      </w:pPr>
    </w:p>
    <w:p>
      <w:pPr>
        <w:jc w:val="both"/>
        <w:ind w:firstLine="1305"/>
        <w:spacing w:after="0" w:line="311" w:lineRule="auto"/>
        <w:tabs>
          <w:tab w:leader="none" w:pos="1766" w:val="left"/>
        </w:tabs>
        <w:numPr>
          <w:ilvl w:val="2"/>
          <w:numId w:val="61"/>
        </w:numPr>
        <w:rPr>
          <w:rFonts w:ascii="Arial" w:cs="Arial" w:eastAsia="Arial" w:hAnsi="Arial"/>
          <w:sz w:val="21"/>
          <w:szCs w:val="21"/>
          <w:color w:val="auto"/>
        </w:rPr>
      </w:pPr>
      <w:r>
        <w:rPr>
          <w:rFonts w:ascii="Arial" w:cs="Arial" w:eastAsia="Arial" w:hAnsi="Arial"/>
          <w:sz w:val="17"/>
          <w:szCs w:val="17"/>
          <w:color w:val="auto"/>
        </w:rPr>
        <w:t>Promptly following the Registration Notice Date, Issuer shall file with the SEC a registration statement (“</w:t>
      </w:r>
      <w:r>
        <w:rPr>
          <w:rFonts w:ascii="Arial" w:cs="Arial" w:eastAsia="Arial" w:hAnsi="Arial"/>
          <w:sz w:val="17"/>
          <w:szCs w:val="17"/>
          <w:b w:val="1"/>
          <w:bCs w:val="1"/>
          <w:color w:val="auto"/>
        </w:rPr>
        <w:t>Registration Statement</w:t>
      </w:r>
      <w:r>
        <w:rPr>
          <w:rFonts w:ascii="Arial" w:cs="Arial" w:eastAsia="Arial" w:hAnsi="Arial"/>
          <w:sz w:val="17"/>
          <w:szCs w:val="17"/>
          <w:color w:val="auto"/>
        </w:rPr>
        <w:t>”) covering the public sale by Dealer of the Early Settlement Shares and any Make-Whole Shares (collectively, the “</w:t>
      </w:r>
      <w:r>
        <w:rPr>
          <w:rFonts w:ascii="Arial" w:cs="Arial" w:eastAsia="Arial" w:hAnsi="Arial"/>
          <w:sz w:val="17"/>
          <w:szCs w:val="17"/>
          <w:b w:val="1"/>
          <w:bCs w:val="1"/>
          <w:color w:val="auto"/>
        </w:rPr>
        <w:t>Registered Securities</w:t>
      </w:r>
      <w:r>
        <w:rPr>
          <w:rFonts w:ascii="Arial" w:cs="Arial" w:eastAsia="Arial" w:hAnsi="Arial"/>
          <w:sz w:val="17"/>
          <w:szCs w:val="17"/>
          <w:color w:val="auto"/>
        </w:rPr>
        <w:t>”) on a continuous or delayed basis pursuant to Rule 415 (or any similar or successor rule), if available,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filing shall be required pursuant to this paragraph (ii) if Issuer shall have filed a similar registration statement with unused capacity at least equal to the relevant Early Settlement Payment and such registration statement has become effective or been declared effective by the SEC on or prior to the Registration Notice Date and no stop order is in effect with respect to such registration statement as of the Registration Notice Date, in which case such registration statement shall be the Registration Statement. Issuer shall use its commercially reasonable efforts to file the Registration Statement as an automatic shelf registration statement or have the Registration Statement declared effective by the SEC as promptly as possible. The Registration Statement shall be effective and subject to no stop order as of the Registered Share Delivery Date.</w:t>
      </w:r>
    </w:p>
    <w:p>
      <w:pPr>
        <w:spacing w:after="0" w:line="203" w:lineRule="exact"/>
        <w:rPr>
          <w:rFonts w:ascii="Arial" w:cs="Arial" w:eastAsia="Arial" w:hAnsi="Arial"/>
          <w:sz w:val="21"/>
          <w:szCs w:val="21"/>
          <w:color w:val="auto"/>
        </w:rPr>
      </w:pPr>
    </w:p>
    <w:p>
      <w:pPr>
        <w:jc w:val="both"/>
        <w:ind w:firstLine="1305"/>
        <w:spacing w:after="0" w:line="310" w:lineRule="auto"/>
        <w:tabs>
          <w:tab w:leader="none" w:pos="1880" w:val="left"/>
        </w:tabs>
        <w:numPr>
          <w:ilvl w:val="2"/>
          <w:numId w:val="61"/>
        </w:numPr>
        <w:rPr>
          <w:rFonts w:ascii="Arial" w:cs="Arial" w:eastAsia="Arial" w:hAnsi="Arial"/>
          <w:sz w:val="21"/>
          <w:szCs w:val="21"/>
          <w:color w:val="auto"/>
        </w:rPr>
      </w:pPr>
      <w:r>
        <w:rPr>
          <w:rFonts w:ascii="Arial" w:cs="Arial" w:eastAsia="Arial" w:hAnsi="Arial"/>
          <w:sz w:val="17"/>
          <w:szCs w:val="17"/>
          <w:color w:val="auto"/>
        </w:rPr>
        <w:t>Promptly following the Registration Notice Date, Issuer shall afford Dealer a reasonable opportunity to conduct a due diligence investigation with respect to Issuer customary in scope for underwritten offerings of equity securities for companies of comparable size, maturity and line of business (including, without limitation, the availability of senior management to respond to questions regarding the business and financial condition of Issuer and the right to have made available to Dealer for inspection at times reasonably acceptable to Issuer any financial and other records, pertinent corporate documents and other information reasonably requested in connection with underwritten offerings of this type by Dealer), and Dealer shall be satisfied in its good faith discretion with the results of such due diligence investigation of Issuer. For the avoidance of doubt, Issuer shall not have the right to deliver Shares pursuant to this Section 8(a) (and the conditions to delivery of Early Settlement Shares specified in this Section 8(a) shall not be satisfied) unless and until Dealer is satisfied in its good faith discretion with the results of such due diligence investigation of Issuer.</w:t>
      </w:r>
    </w:p>
    <w:p>
      <w:pPr>
        <w:spacing w:after="0" w:line="203" w:lineRule="exact"/>
        <w:rPr>
          <w:rFonts w:ascii="Arial" w:cs="Arial" w:eastAsia="Arial" w:hAnsi="Arial"/>
          <w:sz w:val="21"/>
          <w:szCs w:val="21"/>
          <w:color w:val="auto"/>
        </w:rPr>
      </w:pPr>
    </w:p>
    <w:p>
      <w:pPr>
        <w:jc w:val="both"/>
        <w:ind w:firstLine="1305"/>
        <w:spacing w:after="0" w:line="333" w:lineRule="auto"/>
        <w:tabs>
          <w:tab w:leader="none" w:pos="1813" w:val="left"/>
        </w:tabs>
        <w:numPr>
          <w:ilvl w:val="2"/>
          <w:numId w:val="61"/>
        </w:numPr>
        <w:rPr>
          <w:rFonts w:ascii="Arial" w:cs="Arial" w:eastAsia="Arial" w:hAnsi="Arial"/>
          <w:sz w:val="19"/>
          <w:szCs w:val="19"/>
          <w:color w:val="auto"/>
        </w:rPr>
      </w:pPr>
      <w:r>
        <w:rPr>
          <w:rFonts w:ascii="Arial" w:cs="Arial" w:eastAsia="Arial" w:hAnsi="Arial"/>
          <w:sz w:val="16"/>
          <w:szCs w:val="16"/>
          <w:color w:val="auto"/>
        </w:rPr>
        <w:t>From the effectiveness of the Registration Statement until the earlier of (1) when all Registered Securities have been sold by Dealer or (2) thirty (30) days after effectiveness, Issuer shall, at the request of Dealer, make available to Dealer a printed prospectus relating to the Registered Securities in form and substance (including, without limitation, any sections describing the plan of distribution) reasonably satisfactory to Dealer</w:t>
      </w:r>
    </w:p>
    <w:p>
      <w:pPr>
        <w:sectPr>
          <w:pgSz w:w="11900" w:h="16838" w:orient="portrait"/>
          <w:cols w:equalWidth="0" w:num="1">
            <w:col w:w="11420"/>
          </w:cols>
          <w:pgMar w:left="240" w:top="337"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4"/>
          <w:szCs w:val="14"/>
          <w:color w:val="auto"/>
        </w:rPr>
        <w:t>Page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Prospectus</w:t>
      </w:r>
      <w:r>
        <w:rPr>
          <w:rFonts w:ascii="Arial" w:cs="Arial" w:eastAsia="Arial" w:hAnsi="Arial"/>
          <w:sz w:val="18"/>
          <w:szCs w:val="18"/>
          <w:color w:val="auto"/>
        </w:rPr>
        <w:t>”, which term shall include any prospectus supplement thereto), in such quantities as Dealer shall reasonably request.</w:t>
      </w:r>
    </w:p>
    <w:p>
      <w:pPr>
        <w:spacing w:after="0" w:line="270" w:lineRule="exact"/>
        <w:rPr>
          <w:sz w:val="20"/>
          <w:szCs w:val="20"/>
          <w:color w:val="auto"/>
        </w:rPr>
      </w:pPr>
    </w:p>
    <w:p>
      <w:pPr>
        <w:jc w:val="both"/>
        <w:ind w:firstLine="1305"/>
        <w:spacing w:after="0" w:line="292" w:lineRule="auto"/>
        <w:tabs>
          <w:tab w:leader="none" w:pos="1747" w:val="left"/>
        </w:tabs>
        <w:numPr>
          <w:ilvl w:val="0"/>
          <w:numId w:val="62"/>
        </w:numPr>
        <w:rPr>
          <w:rFonts w:ascii="Arial" w:cs="Arial" w:eastAsia="Arial" w:hAnsi="Arial"/>
          <w:sz w:val="22"/>
          <w:szCs w:val="22"/>
          <w:color w:val="auto"/>
        </w:rPr>
      </w:pPr>
      <w:r>
        <w:rPr>
          <w:rFonts w:ascii="Arial" w:cs="Arial" w:eastAsia="Arial" w:hAnsi="Arial"/>
          <w:sz w:val="18"/>
          <w:szCs w:val="18"/>
          <w:color w:val="auto"/>
        </w:rPr>
        <w:t>Issuer shall use its commercially reasonable efforts to avoid or prevent the issuance of any stop order suspending the effectiveness of the Registration Statement or of any order preventing or suspending the use of any Prospectus and, if any such order is issued, to obtain the lifting thereof as promptly as practicable. If the Registration Statement, the Prospectus or any document incorporated therein by reference contains a misstatement of a material fact or omits to state a material fact required to be stated therein or necessary to make any statement therein not misleading, Issuer shall use its commercially reasonable efforts to as promptly as practicable file any required document and prepare and furnish to Dealer a reasonable number of copies of such supplement or amendment thereto as may be necessary so that the Prospectus, as thereafter delivered to the purchasers of the Registered Securities, will not contain a misstatement of a material fact or omit to state a material fact required to be stated therein or necessary to make any statement therein not misleading.</w:t>
      </w:r>
    </w:p>
    <w:p>
      <w:pPr>
        <w:spacing w:after="0" w:line="207" w:lineRule="exact"/>
        <w:rPr>
          <w:rFonts w:ascii="Arial" w:cs="Arial" w:eastAsia="Arial" w:hAnsi="Arial"/>
          <w:sz w:val="22"/>
          <w:szCs w:val="22"/>
          <w:color w:val="auto"/>
        </w:rPr>
      </w:pPr>
    </w:p>
    <w:p>
      <w:pPr>
        <w:jc w:val="both"/>
        <w:ind w:firstLine="1305"/>
        <w:spacing w:after="0" w:line="289" w:lineRule="auto"/>
        <w:tabs>
          <w:tab w:leader="none" w:pos="1826" w:val="left"/>
        </w:tabs>
        <w:numPr>
          <w:ilvl w:val="0"/>
          <w:numId w:val="62"/>
        </w:numPr>
        <w:rPr>
          <w:rFonts w:ascii="Arial" w:cs="Arial" w:eastAsia="Arial" w:hAnsi="Arial"/>
          <w:sz w:val="22"/>
          <w:szCs w:val="22"/>
          <w:color w:val="auto"/>
        </w:rPr>
      </w:pPr>
      <w:r>
        <w:rPr>
          <w:rFonts w:ascii="Arial" w:cs="Arial" w:eastAsia="Arial" w:hAnsi="Arial"/>
          <w:sz w:val="18"/>
          <w:szCs w:val="18"/>
          <w:color w:val="auto"/>
        </w:rPr>
        <w:t>On or prior to the Registered Share Delivery Date, Issuer shall enter into an agreement (a “</w:t>
      </w:r>
      <w:r>
        <w:rPr>
          <w:rFonts w:ascii="Arial" w:cs="Arial" w:eastAsia="Arial" w:hAnsi="Arial"/>
          <w:sz w:val="18"/>
          <w:szCs w:val="18"/>
          <w:b w:val="1"/>
          <w:bCs w:val="1"/>
          <w:color w:val="auto"/>
        </w:rPr>
        <w:t>Transfer Agreement</w:t>
      </w:r>
      <w:r>
        <w:rPr>
          <w:rFonts w:ascii="Arial" w:cs="Arial" w:eastAsia="Arial" w:hAnsi="Arial"/>
          <w:sz w:val="18"/>
          <w:szCs w:val="18"/>
          <w:color w:val="auto"/>
        </w:rPr>
        <w:t>”) with Dealer (or any affiliate of Dealer designated by Dealer) relating to the public sale of the Registered Securities and substantially similar to underwriting agreements customary for underwritten offerings of equity securities for companies of comparable size, maturity and line of business, in form and substance reasonably satisfactory to Dealer (or such affiliate), which Transfer Agreement shall (without limiting the foregoing) contain provisions substantially similar to those contained in such underwriting agreements relating to:</w:t>
      </w:r>
    </w:p>
    <w:p>
      <w:pPr>
        <w:spacing w:after="0" w:line="174" w:lineRule="exact"/>
        <w:rPr>
          <w:sz w:val="20"/>
          <w:szCs w:val="20"/>
          <w:color w:val="auto"/>
        </w:rPr>
      </w:pPr>
    </w:p>
    <w:p>
      <w:pPr>
        <w:ind w:left="1740" w:hanging="435"/>
        <w:spacing w:after="0"/>
        <w:tabs>
          <w:tab w:leader="none" w:pos="1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indemnification of, and contribution in connection with the liability of, Dealer and its affiliates,</w:t>
      </w:r>
    </w:p>
    <w:p>
      <w:pPr>
        <w:spacing w:after="0" w:line="225" w:lineRule="exact"/>
        <w:rPr>
          <w:rFonts w:ascii="Arial" w:cs="Arial" w:eastAsia="Arial" w:hAnsi="Arial"/>
          <w:sz w:val="18"/>
          <w:szCs w:val="18"/>
          <w:color w:val="auto"/>
        </w:rPr>
      </w:pPr>
    </w:p>
    <w:p>
      <w:pPr>
        <w:jc w:val="both"/>
        <w:ind w:left="660" w:firstLine="645"/>
        <w:spacing w:after="0" w:line="286" w:lineRule="auto"/>
        <w:tabs>
          <w:tab w:leader="none" w:pos="1812"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delivery to Dealer (or such affiliate) of customary letters and customary opinions (including, without limitation, accountants’ comfort letters, opinions relating to the due authorization, valid issuance and fully paid and non-assessable nature of the Registered Securities and letters of counsel relating to the lack of material misstatements and omissions in the Registration Statement, and the Prospectus); and</w:t>
      </w:r>
    </w:p>
    <w:p>
      <w:pPr>
        <w:spacing w:after="0" w:line="165" w:lineRule="exact"/>
        <w:rPr>
          <w:rFonts w:ascii="Arial" w:cs="Arial" w:eastAsia="Arial" w:hAnsi="Arial"/>
          <w:sz w:val="17"/>
          <w:szCs w:val="17"/>
          <w:color w:val="auto"/>
        </w:rPr>
      </w:pPr>
    </w:p>
    <w:p>
      <w:pPr>
        <w:ind w:left="660" w:firstLine="645"/>
        <w:spacing w:after="0" w:line="277" w:lineRule="auto"/>
        <w:tabs>
          <w:tab w:leader="none" w:pos="176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payment by Issuer of all fees and expenses in connection with such resale of the Registered Securities, including all registration costs and all reasonable fees and expenses of counsel for Dealer documented in writing (or such affiliate).</w:t>
      </w:r>
    </w:p>
    <w:p>
      <w:pPr>
        <w:spacing w:after="0" w:line="207" w:lineRule="exact"/>
        <w:rPr>
          <w:sz w:val="20"/>
          <w:szCs w:val="20"/>
          <w:color w:val="auto"/>
        </w:rPr>
      </w:pPr>
    </w:p>
    <w:p>
      <w:pPr>
        <w:jc w:val="both"/>
        <w:ind w:firstLine="1305"/>
        <w:spacing w:after="0" w:line="282" w:lineRule="auto"/>
        <w:tabs>
          <w:tab w:leader="none" w:pos="1906" w:val="left"/>
        </w:tabs>
        <w:numPr>
          <w:ilvl w:val="1"/>
          <w:numId w:val="64"/>
        </w:numPr>
        <w:rPr>
          <w:rFonts w:ascii="Arial" w:cs="Arial" w:eastAsia="Arial" w:hAnsi="Arial"/>
          <w:sz w:val="22"/>
          <w:szCs w:val="22"/>
          <w:color w:val="auto"/>
        </w:rPr>
      </w:pPr>
      <w:r>
        <w:rPr>
          <w:rFonts w:ascii="Arial" w:cs="Arial" w:eastAsia="Arial" w:hAnsi="Arial"/>
          <w:sz w:val="18"/>
          <w:szCs w:val="18"/>
          <w:color w:val="auto"/>
        </w:rPr>
        <w:t>On the Registered Share Delivery Date, a notional balance (the “</w:t>
      </w:r>
      <w:r>
        <w:rPr>
          <w:rFonts w:ascii="Arial" w:cs="Arial" w:eastAsia="Arial" w:hAnsi="Arial"/>
          <w:sz w:val="18"/>
          <w:szCs w:val="18"/>
          <w:b w:val="1"/>
          <w:bCs w:val="1"/>
          <w:color w:val="auto"/>
        </w:rPr>
        <w:t>Early Settlement Balance</w:t>
      </w:r>
      <w:r>
        <w:rPr>
          <w:rFonts w:ascii="Arial" w:cs="Arial" w:eastAsia="Arial" w:hAnsi="Arial"/>
          <w:sz w:val="18"/>
          <w:szCs w:val="18"/>
          <w:color w:val="auto"/>
        </w:rPr>
        <w:t>”) shall be established with an initial balance equal to the amount of the Early Settlement Payment. Following the delivery of Early Settlement Shares or any Make-Whole Shares, Dealer shall sell all such Early Settlement Shares or Make-Whole Shares in a commercially reasonable manner.</w:t>
      </w:r>
    </w:p>
    <w:p>
      <w:pPr>
        <w:spacing w:after="0" w:line="219" w:lineRule="exact"/>
        <w:rPr>
          <w:rFonts w:ascii="Arial" w:cs="Arial" w:eastAsia="Arial" w:hAnsi="Arial"/>
          <w:sz w:val="22"/>
          <w:szCs w:val="22"/>
          <w:color w:val="auto"/>
        </w:rPr>
      </w:pPr>
    </w:p>
    <w:p>
      <w:pPr>
        <w:ind w:left="1920" w:hanging="615"/>
        <w:spacing w:after="0"/>
        <w:tabs>
          <w:tab w:leader="none" w:pos="1920" w:val="left"/>
        </w:tabs>
        <w:numPr>
          <w:ilvl w:val="1"/>
          <w:numId w:val="64"/>
        </w:numPr>
        <w:rPr>
          <w:rFonts w:ascii="Arial" w:cs="Arial" w:eastAsia="Arial" w:hAnsi="Arial"/>
          <w:sz w:val="19"/>
          <w:szCs w:val="19"/>
          <w:color w:val="auto"/>
        </w:rPr>
      </w:pPr>
      <w:r>
        <w:rPr>
          <w:rFonts w:ascii="Arial" w:cs="Arial" w:eastAsia="Arial" w:hAnsi="Arial"/>
          <w:sz w:val="16"/>
          <w:szCs w:val="16"/>
          <w:color w:val="auto"/>
        </w:rPr>
        <w:t>At the end of each day on which sales have been made pursuant to paragraph 8(a)(vii) above, the Early Settlement Balance shall be</w:t>
      </w:r>
    </w:p>
    <w:p>
      <w:pPr>
        <w:spacing w:after="0" w:line="38" w:lineRule="exact"/>
        <w:rPr>
          <w:rFonts w:ascii="Arial" w:cs="Arial" w:eastAsia="Arial" w:hAnsi="Arial"/>
          <w:sz w:val="19"/>
          <w:szCs w:val="19"/>
          <w:color w:val="auto"/>
        </w:rPr>
      </w:pPr>
    </w:p>
    <w:p>
      <w:pPr>
        <w:jc w:val="both"/>
        <w:ind w:firstLine="8"/>
        <w:spacing w:after="0" w:line="311" w:lineRule="auto"/>
        <w:tabs>
          <w:tab w:leader="none" w:pos="304"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reduced by an amount equal to the net proceeds to be received by Dealer upon settlement of such sales, and (B) increased by an amount (as reasonably determined by the Calculation Agent) equal to Dealer’s funding cost with respect to the Early Settlement Balance as of the close of business on the day one Settlement Cycle prior to such day.</w:t>
      </w:r>
    </w:p>
    <w:p>
      <w:pPr>
        <w:spacing w:after="0" w:line="194" w:lineRule="exact"/>
        <w:rPr>
          <w:rFonts w:ascii="Arial" w:cs="Arial" w:eastAsia="Arial" w:hAnsi="Arial"/>
          <w:sz w:val="18"/>
          <w:szCs w:val="18"/>
          <w:color w:val="auto"/>
        </w:rPr>
      </w:pPr>
    </w:p>
    <w:p>
      <w:pPr>
        <w:jc w:val="both"/>
        <w:ind w:firstLine="1305"/>
        <w:spacing w:after="0" w:line="333" w:lineRule="auto"/>
        <w:tabs>
          <w:tab w:leader="none" w:pos="1878" w:val="left"/>
        </w:tabs>
        <w:numPr>
          <w:ilvl w:val="1"/>
          <w:numId w:val="65"/>
        </w:numPr>
        <w:rPr>
          <w:rFonts w:ascii="Arial" w:cs="Arial" w:eastAsia="Arial" w:hAnsi="Arial"/>
          <w:sz w:val="19"/>
          <w:szCs w:val="19"/>
          <w:color w:val="auto"/>
        </w:rPr>
      </w:pPr>
      <w:r>
        <w:rPr>
          <w:rFonts w:ascii="Arial" w:cs="Arial" w:eastAsia="Arial" w:hAnsi="Arial"/>
          <w:sz w:val="16"/>
          <w:szCs w:val="16"/>
          <w:color w:val="auto"/>
        </w:rPr>
        <w:t>If, on any date, the Settlement Balance has been reduced to zero but not all of the Early Settlement Shares have been sold, no additional Early Settlement Shares shall be sold and Dealer shall promptly deliver to Issuer (A) any remaining Early Settlement Shares and (B) if the Early Settlement Balance has been reduced to an amount less than zero, an amount in cash equal to the absolute value of the then-current Early Settlement Balance.</w:t>
      </w:r>
    </w:p>
    <w:p>
      <w:pPr>
        <w:spacing w:after="0" w:line="185" w:lineRule="exact"/>
        <w:rPr>
          <w:rFonts w:ascii="Arial" w:cs="Arial" w:eastAsia="Arial" w:hAnsi="Arial"/>
          <w:sz w:val="19"/>
          <w:szCs w:val="19"/>
          <w:color w:val="auto"/>
        </w:rPr>
      </w:pPr>
    </w:p>
    <w:p>
      <w:pPr>
        <w:ind w:firstLine="1305"/>
        <w:spacing w:after="0" w:line="271" w:lineRule="auto"/>
        <w:tabs>
          <w:tab w:leader="none" w:pos="1787" w:val="left"/>
        </w:tabs>
        <w:numPr>
          <w:ilvl w:val="1"/>
          <w:numId w:val="65"/>
        </w:numPr>
        <w:rPr>
          <w:rFonts w:ascii="Arial" w:cs="Arial" w:eastAsia="Arial" w:hAnsi="Arial"/>
          <w:sz w:val="22"/>
          <w:szCs w:val="22"/>
          <w:color w:val="auto"/>
        </w:rPr>
      </w:pPr>
      <w:r>
        <w:rPr>
          <w:rFonts w:ascii="Arial" w:cs="Arial" w:eastAsia="Arial" w:hAnsi="Arial"/>
          <w:sz w:val="18"/>
          <w:szCs w:val="18"/>
          <w:color w:val="auto"/>
        </w:rPr>
        <w:t>If, on any date, all of the Early Settlement Shares have been sold and the Settlement Balance has not been reduced to zero, Issuer shall, at its election, either pay the remaining Early Settlement Balance</w:t>
      </w:r>
    </w:p>
    <w:p>
      <w:pPr>
        <w:sectPr>
          <w:pgSz w:w="11900" w:h="16838" w:orient="portrait"/>
          <w:cols w:equalWidth="0" w:num="1">
            <w:col w:w="11420"/>
          </w:cols>
          <w:pgMar w:left="240" w:top="337"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4"/>
          <w:szCs w:val="14"/>
          <w:color w:val="auto"/>
        </w:rPr>
        <w:t>Page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to Dealer in cash or promptly deliver to Dealer an additional number of Shares (“</w:t>
      </w:r>
      <w:r>
        <w:rPr>
          <w:rFonts w:ascii="Arial" w:cs="Arial" w:eastAsia="Arial" w:hAnsi="Arial"/>
          <w:sz w:val="18"/>
          <w:szCs w:val="18"/>
          <w:b w:val="1"/>
          <w:bCs w:val="1"/>
          <w:color w:val="auto"/>
        </w:rPr>
        <w:t>Make-Whole Shares</w:t>
      </w:r>
      <w:r>
        <w:rPr>
          <w:rFonts w:ascii="Arial" w:cs="Arial" w:eastAsia="Arial" w:hAnsi="Arial"/>
          <w:sz w:val="18"/>
          <w:szCs w:val="18"/>
          <w:color w:val="auto"/>
        </w:rPr>
        <w:t xml:space="preserve">”) equal to (A) the Settlement Balance as of such date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(B) a price per Share as reasonably determined by the Calculation Agent. This clause (x) shall be applied successively until the Settlement Balance is reduced to zero.</w:t>
      </w:r>
    </w:p>
    <w:p>
      <w:pPr>
        <w:spacing w:after="0" w:line="221" w:lineRule="exact"/>
        <w:rPr>
          <w:sz w:val="20"/>
          <w:szCs w:val="20"/>
          <w:color w:val="auto"/>
        </w:rPr>
      </w:pPr>
    </w:p>
    <w:p>
      <w:pPr>
        <w:jc w:val="both"/>
        <w:ind w:firstLine="1305"/>
        <w:spacing w:after="0" w:line="280" w:lineRule="auto"/>
        <w:tabs>
          <w:tab w:leader="none" w:pos="1817" w:val="left"/>
        </w:tabs>
        <w:numPr>
          <w:ilvl w:val="1"/>
          <w:numId w:val="66"/>
        </w:numPr>
        <w:rPr>
          <w:rFonts w:ascii="Arial" w:cs="Arial" w:eastAsia="Arial" w:hAnsi="Arial"/>
          <w:sz w:val="22"/>
          <w:szCs w:val="22"/>
          <w:color w:val="auto"/>
        </w:rPr>
      </w:pPr>
      <w:r>
        <w:rPr>
          <w:rFonts w:ascii="Arial" w:cs="Arial" w:eastAsia="Arial" w:hAnsi="Arial"/>
          <w:sz w:val="18"/>
          <w:szCs w:val="18"/>
          <w:color w:val="auto"/>
        </w:rPr>
        <w:t>If at any time the number of Shares covered by the Registration Statement is less than the number of Registered Securities required to be delivered pursuant to this Section 8(a), Issuer shall, at the request of Dealer, file additional registration statement(s) to register the sale of all Registered Securities required to be delivered to Dealer.</w:t>
      </w:r>
    </w:p>
    <w:p>
      <w:pPr>
        <w:spacing w:after="0" w:line="221" w:lineRule="exact"/>
        <w:rPr>
          <w:rFonts w:ascii="Arial" w:cs="Arial" w:eastAsia="Arial" w:hAnsi="Arial"/>
          <w:sz w:val="22"/>
          <w:szCs w:val="22"/>
          <w:color w:val="auto"/>
        </w:rPr>
      </w:pPr>
    </w:p>
    <w:p>
      <w:pPr>
        <w:jc w:val="both"/>
        <w:ind w:firstLine="1305"/>
        <w:spacing w:after="0" w:line="285" w:lineRule="auto"/>
        <w:tabs>
          <w:tab w:leader="none" w:pos="1852" w:val="left"/>
        </w:tabs>
        <w:numPr>
          <w:ilvl w:val="1"/>
          <w:numId w:val="66"/>
        </w:numPr>
        <w:rPr>
          <w:rFonts w:ascii="Arial" w:cs="Arial" w:eastAsia="Arial" w:hAnsi="Arial"/>
          <w:sz w:val="22"/>
          <w:szCs w:val="22"/>
          <w:color w:val="auto"/>
        </w:rPr>
      </w:pPr>
      <w:r>
        <w:rPr>
          <w:rFonts w:ascii="Arial" w:cs="Arial" w:eastAsia="Arial" w:hAnsi="Arial"/>
          <w:sz w:val="18"/>
          <w:szCs w:val="18"/>
          <w:color w:val="auto"/>
        </w:rPr>
        <w:t>The provisions of Section 8(b) shall apply to any then-current Early Settlement Balance if (i) on any given day, Issuer cannot satisfy any of the conditions set forth in this Section 8(a) or (ii) for a period of at least 10 consecutive Exchange Business Days, Dealer has determined that it is inadvisable to effect sales of Registered Securities, unless in either case Issuer pays such then-current Early Settlement Balance to Dealer in cash pursuant to the Registration Statement.</w:t>
      </w:r>
    </w:p>
    <w:p>
      <w:pPr>
        <w:spacing w:after="0" w:line="177" w:lineRule="exact"/>
        <w:rPr>
          <w:rFonts w:ascii="Arial" w:cs="Arial" w:eastAsia="Arial" w:hAnsi="Arial"/>
          <w:sz w:val="22"/>
          <w:szCs w:val="22"/>
          <w:color w:val="auto"/>
        </w:rPr>
      </w:pPr>
    </w:p>
    <w:p>
      <w:pPr>
        <w:ind w:left="1080" w:hanging="424"/>
        <w:spacing w:after="0"/>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Issuer timely elects to deliver Early Settlement Shares and Make-Whole Shares by means of a private placement, the following provisions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apply:</w:t>
      </w:r>
    </w:p>
    <w:p>
      <w:pPr>
        <w:spacing w:after="0" w:line="251" w:lineRule="exact"/>
        <w:rPr>
          <w:rFonts w:ascii="Arial" w:cs="Arial" w:eastAsia="Arial" w:hAnsi="Arial"/>
          <w:sz w:val="16"/>
          <w:szCs w:val="16"/>
          <w:color w:val="auto"/>
        </w:rPr>
      </w:pPr>
    </w:p>
    <w:p>
      <w:pPr>
        <w:ind w:firstLine="1305"/>
        <w:spacing w:after="0" w:line="271" w:lineRule="auto"/>
        <w:tabs>
          <w:tab w:leader="none" w:pos="1736" w:val="left"/>
        </w:tabs>
        <w:numPr>
          <w:ilvl w:val="1"/>
          <w:numId w:val="67"/>
        </w:numPr>
        <w:rPr>
          <w:rFonts w:ascii="Arial" w:cs="Arial" w:eastAsia="Arial" w:hAnsi="Arial"/>
          <w:sz w:val="22"/>
          <w:szCs w:val="22"/>
          <w:color w:val="auto"/>
        </w:rPr>
      </w:pPr>
      <w:r>
        <w:rPr>
          <w:rFonts w:ascii="Arial" w:cs="Arial" w:eastAsia="Arial" w:hAnsi="Arial"/>
          <w:sz w:val="18"/>
          <w:szCs w:val="18"/>
          <w:color w:val="auto"/>
        </w:rPr>
        <w:t>All Early Settlement Shares and Make-Whole Shares shall be delivered to Dealer (or any affiliate of Dealer designated by Dealer) pursuant to the exemption from the registration requirements of the Securities Act provided by Section 4(2) thereof.</w:t>
      </w:r>
    </w:p>
    <w:p>
      <w:pPr>
        <w:spacing w:after="0" w:line="223" w:lineRule="exact"/>
        <w:rPr>
          <w:rFonts w:ascii="Arial" w:cs="Arial" w:eastAsia="Arial" w:hAnsi="Arial"/>
          <w:sz w:val="22"/>
          <w:szCs w:val="22"/>
          <w:color w:val="auto"/>
        </w:rPr>
      </w:pPr>
    </w:p>
    <w:p>
      <w:pPr>
        <w:jc w:val="both"/>
        <w:ind w:firstLine="1305"/>
        <w:spacing w:after="0" w:line="290" w:lineRule="auto"/>
        <w:tabs>
          <w:tab w:leader="none" w:pos="1837" w:val="left"/>
        </w:tabs>
        <w:numPr>
          <w:ilvl w:val="1"/>
          <w:numId w:val="67"/>
        </w:numPr>
        <w:rPr>
          <w:rFonts w:ascii="Arial" w:cs="Arial" w:eastAsia="Arial" w:hAnsi="Arial"/>
          <w:sz w:val="22"/>
          <w:szCs w:val="22"/>
          <w:color w:val="auto"/>
        </w:rPr>
      </w:pPr>
      <w:r>
        <w:rPr>
          <w:rFonts w:ascii="Arial" w:cs="Arial" w:eastAsia="Arial" w:hAnsi="Arial"/>
          <w:sz w:val="18"/>
          <w:szCs w:val="18"/>
          <w:color w:val="auto"/>
        </w:rPr>
        <w:t>Issuer shall afford Dealer and any potential purchaser of any such Shares from Dealer (or any affiliate of Dealer designated by Dealer) identified by Dealer a commercially reasonable opportunity to conduct a due diligence investigation with respect to Issuer customary in scope for private placements of equity securities for companies of comparable size, maturity and line of business (including, without limitation, the right to have made available to them for inspection at times reasonably acceptable to Issuer any financial and other records, pertinent corporate documents and other information reasonably requested by them in connection with underwritten offerings of this type), subject to any such potential purchasers entering into a non-disclosure agreement with Issuer in connection with such due diligence.</w:t>
      </w:r>
    </w:p>
    <w:p>
      <w:pPr>
        <w:spacing w:after="0" w:line="212" w:lineRule="exact"/>
        <w:rPr>
          <w:rFonts w:ascii="Arial" w:cs="Arial" w:eastAsia="Arial" w:hAnsi="Arial"/>
          <w:sz w:val="22"/>
          <w:szCs w:val="22"/>
          <w:color w:val="auto"/>
        </w:rPr>
      </w:pPr>
    </w:p>
    <w:p>
      <w:pPr>
        <w:jc w:val="both"/>
        <w:ind w:firstLine="1305"/>
        <w:spacing w:after="0" w:line="311" w:lineRule="auto"/>
        <w:tabs>
          <w:tab w:leader="none" w:pos="1810" w:val="left"/>
        </w:tabs>
        <w:numPr>
          <w:ilvl w:val="1"/>
          <w:numId w:val="67"/>
        </w:numPr>
        <w:rPr>
          <w:rFonts w:ascii="Arial" w:cs="Arial" w:eastAsia="Arial" w:hAnsi="Arial"/>
          <w:sz w:val="21"/>
          <w:szCs w:val="21"/>
          <w:color w:val="auto"/>
        </w:rPr>
      </w:pPr>
      <w:r>
        <w:rPr>
          <w:rFonts w:ascii="Arial" w:cs="Arial" w:eastAsia="Arial" w:hAnsi="Arial"/>
          <w:sz w:val="17"/>
          <w:szCs w:val="17"/>
          <w:color w:val="auto"/>
        </w:rPr>
        <w:t>Issuer shall enter into an agreement (a “Private Placement Agreement”) with Dealer (or any affiliate of Dealer designated by Dealer) in connection with the private placement of such Shares by Issuer to Dealer (or any such affiliate) and the private resale of such Shares by Dealer (or any such affiliate), substantially similar to private placement purchase agreements customary for private placements of equity securities for companies of comparable size, maturity and line of business, in form and substance commercially reasonably satisfactory to Dealer and Issuer, which Private Placement Agreement shall include, without limitation, provisions substantially similar to those contained in such private placement purchase agreements relating to the indemnification of, and contribution in connection with the liability of, Dealer and its affiliates, and shall provide for the payment by Issuer of all fees and expenses in connection with such resale (which fees and expenses shall be payable in cash or unregistered Shares), including all reasonable fees and expenses of one counsel for Dealer but not including any underwriter or broker discounts and commissions, and shall contain representations, warranties and agreements of Issuer and Dealer reasonably necessary or advisable to establish and maintain the availability of an exemption from the registration requirements of the Securities Act for such resales.</w:t>
      </w:r>
    </w:p>
    <w:p>
      <w:pPr>
        <w:spacing w:after="0" w:line="202" w:lineRule="exact"/>
        <w:rPr>
          <w:rFonts w:ascii="Arial" w:cs="Arial" w:eastAsia="Arial" w:hAnsi="Arial"/>
          <w:sz w:val="21"/>
          <w:szCs w:val="21"/>
          <w:color w:val="auto"/>
        </w:rPr>
      </w:pPr>
    </w:p>
    <w:p>
      <w:pPr>
        <w:jc w:val="both"/>
        <w:ind w:firstLine="1305"/>
        <w:spacing w:after="0" w:line="333" w:lineRule="auto"/>
        <w:tabs>
          <w:tab w:leader="none" w:pos="1792" w:val="left"/>
        </w:tabs>
        <w:numPr>
          <w:ilvl w:val="1"/>
          <w:numId w:val="67"/>
        </w:numPr>
        <w:rPr>
          <w:rFonts w:ascii="Arial" w:cs="Arial" w:eastAsia="Arial" w:hAnsi="Arial"/>
          <w:sz w:val="19"/>
          <w:szCs w:val="19"/>
          <w:color w:val="auto"/>
        </w:rPr>
      </w:pPr>
      <w:r>
        <w:rPr>
          <w:rFonts w:ascii="Arial" w:cs="Arial" w:eastAsia="Arial" w:hAnsi="Arial"/>
          <w:sz w:val="16"/>
          <w:szCs w:val="16"/>
          <w:color w:val="auto"/>
        </w:rPr>
        <w:t>Issuer shall not take or cause to be taken any action that would make unavailable either (A) the exemption set forth in Section 4(2) of the Securities Act for the sale of any Early Settlement Shares or Make-Whole Shares by Issuer to Dealer or (B) an exemption from the registration requirements of the Securities Act reasonably acceptable to Dealer for resales of Early Settlement Shares and Make-Whole Shares by Dealer.</w:t>
      </w:r>
    </w:p>
    <w:p>
      <w:pPr>
        <w:spacing w:after="0" w:line="185" w:lineRule="exact"/>
        <w:rPr>
          <w:rFonts w:ascii="Arial" w:cs="Arial" w:eastAsia="Arial" w:hAnsi="Arial"/>
          <w:sz w:val="19"/>
          <w:szCs w:val="19"/>
          <w:color w:val="auto"/>
        </w:rPr>
      </w:pPr>
    </w:p>
    <w:p>
      <w:pPr>
        <w:ind w:firstLine="1305"/>
        <w:spacing w:after="0" w:line="271" w:lineRule="auto"/>
        <w:tabs>
          <w:tab w:leader="none" w:pos="1755" w:val="left"/>
        </w:tabs>
        <w:numPr>
          <w:ilvl w:val="1"/>
          <w:numId w:val="67"/>
        </w:numPr>
        <w:rPr>
          <w:rFonts w:ascii="Arial" w:cs="Arial" w:eastAsia="Arial" w:hAnsi="Arial"/>
          <w:sz w:val="22"/>
          <w:szCs w:val="22"/>
          <w:color w:val="auto"/>
        </w:rPr>
      </w:pPr>
      <w:r>
        <w:rPr>
          <w:rFonts w:ascii="Arial" w:cs="Arial" w:eastAsia="Arial" w:hAnsi="Arial"/>
          <w:sz w:val="18"/>
          <w:szCs w:val="18"/>
          <w:color w:val="auto"/>
        </w:rPr>
        <w:t xml:space="preserve">On the date requested by Dealer, Issuer shall deliver a number of Early Settlement Shares equal to the quotient of (A) the amount of the Early Settlement Payment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(B) a per Share value,</w:t>
      </w:r>
    </w:p>
    <w:p>
      <w:pPr>
        <w:sectPr>
          <w:pgSz w:w="11900" w:h="16838" w:orient="portrait"/>
          <w:cols w:equalWidth="0" w:num="1">
            <w:col w:w="11420"/>
          </w:cols>
          <w:pgMar w:left="240" w:top="337"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4"/>
          <w:szCs w:val="14"/>
          <w:color w:val="auto"/>
        </w:rPr>
        <w:t>Page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determined by Dealer in a commercially reasonable manner, which value shall take into account transfer restrictions applicable to such Shares and may be based on indicative bids from institutional “accredited investors” (as defined in Rule 501 under the Securities Act), and the provisions of Section 8(a)(vii) through (x) shall apply to the Early Settlement Shares delivered pursuant to this Section 8(b)(v). For purposes of applying the foregoing, the Registered Share Delivery Date referred to in Section 8(a)(vii) shall be the date on which Issuer delivers the Early Settlement Shares.</w:t>
      </w:r>
    </w:p>
    <w:p>
      <w:pPr>
        <w:spacing w:after="0" w:line="171" w:lineRule="exact"/>
        <w:rPr>
          <w:sz w:val="20"/>
          <w:szCs w:val="20"/>
          <w:color w:val="auto"/>
        </w:rPr>
      </w:pPr>
    </w:p>
    <w:p>
      <w:pPr>
        <w:jc w:val="both"/>
        <w:ind w:firstLine="656"/>
        <w:spacing w:after="0" w:line="264" w:lineRule="auto"/>
        <w:tabs>
          <w:tab w:leader="none" w:pos="1063" w:val="left"/>
        </w:tabs>
        <w:numPr>
          <w:ilvl w:val="1"/>
          <w:numId w:val="68"/>
        </w:numPr>
        <w:rPr>
          <w:rFonts w:ascii="Arial" w:cs="Arial" w:eastAsia="Arial" w:hAnsi="Arial"/>
          <w:sz w:val="18"/>
          <w:szCs w:val="18"/>
          <w:color w:val="auto"/>
        </w:rPr>
      </w:pPr>
      <w:r>
        <w:rPr>
          <w:rFonts w:ascii="Arial" w:cs="Arial" w:eastAsia="Arial" w:hAnsi="Arial"/>
          <w:sz w:val="18"/>
          <w:szCs w:val="18"/>
          <w:color w:val="auto"/>
        </w:rPr>
        <w:t>If Issuer elects to deliver Early Settlement Shares to settle its obligation to make an Early Settlement Payment, then, if necessary, Issuer shall use its commercially reasonable efforts to cause the number of authorized but unissued Shares of Common Stock to be increased to an amount sufficient to permit Issuer to fulfill its obligations under Sections 8(a) and/or 8(b) above.</w:t>
      </w:r>
    </w:p>
    <w:p>
      <w:pPr>
        <w:spacing w:after="0" w:line="199" w:lineRule="exact"/>
        <w:rPr>
          <w:rFonts w:ascii="Arial" w:cs="Arial" w:eastAsia="Arial" w:hAnsi="Arial"/>
          <w:sz w:val="18"/>
          <w:szCs w:val="18"/>
          <w:color w:val="auto"/>
        </w:rPr>
      </w:pPr>
    </w:p>
    <w:p>
      <w:pPr>
        <w:ind w:left="360" w:hanging="352"/>
        <w:spacing w:after="0"/>
        <w:tabs>
          <w:tab w:leader="none" w:pos="360" w:val="left"/>
        </w:tabs>
        <w:numPr>
          <w:ilvl w:val="0"/>
          <w:numId w:val="69"/>
        </w:numPr>
        <w:rPr>
          <w:rFonts w:ascii="Arial" w:cs="Arial" w:eastAsia="Arial" w:hAnsi="Arial"/>
          <w:sz w:val="22"/>
          <w:szCs w:val="22"/>
          <w:color w:val="auto"/>
        </w:rPr>
      </w:pPr>
      <w:r>
        <w:rPr>
          <w:rFonts w:ascii="Arial" w:cs="Arial" w:eastAsia="Arial" w:hAnsi="Arial"/>
          <w:sz w:val="18"/>
          <w:szCs w:val="18"/>
          <w:u w:val="single" w:color="auto"/>
          <w:color w:val="auto"/>
        </w:rPr>
        <w:t>Special Provisions for Merger Transactions</w:t>
      </w:r>
      <w:r>
        <w:rPr>
          <w:rFonts w:ascii="Arial" w:cs="Arial" w:eastAsia="Arial" w:hAnsi="Arial"/>
          <w:sz w:val="18"/>
          <w:szCs w:val="18"/>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anything to the contrary herein or in the Equity Definitions:</w:t>
      </w:r>
    </w:p>
    <w:p>
      <w:pPr>
        <w:spacing w:after="0" w:line="225" w:lineRule="exact"/>
        <w:rPr>
          <w:sz w:val="20"/>
          <w:szCs w:val="20"/>
          <w:color w:val="auto"/>
        </w:rPr>
      </w:pPr>
    </w:p>
    <w:p>
      <w:pPr>
        <w:ind w:left="1040" w:hanging="384"/>
        <w:spacing w:after="0"/>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Issuer agrees that:</w:t>
      </w:r>
    </w:p>
    <w:p>
      <w:pPr>
        <w:spacing w:after="0" w:line="265" w:lineRule="exact"/>
        <w:rPr>
          <w:rFonts w:ascii="Arial" w:cs="Arial" w:eastAsia="Arial" w:hAnsi="Arial"/>
          <w:sz w:val="18"/>
          <w:szCs w:val="18"/>
          <w:color w:val="auto"/>
        </w:rPr>
      </w:pPr>
    </w:p>
    <w:p>
      <w:pPr>
        <w:jc w:val="both"/>
        <w:ind w:firstLine="1305"/>
        <w:spacing w:after="0" w:line="285" w:lineRule="auto"/>
        <w:tabs>
          <w:tab w:leader="none" w:pos="1801" w:val="left"/>
        </w:tabs>
        <w:numPr>
          <w:ilvl w:val="1"/>
          <w:numId w:val="70"/>
        </w:numPr>
        <w:rPr>
          <w:rFonts w:ascii="Arial" w:cs="Arial" w:eastAsia="Arial" w:hAnsi="Arial"/>
          <w:sz w:val="22"/>
          <w:szCs w:val="22"/>
          <w:color w:val="auto"/>
        </w:rPr>
      </w:pPr>
      <w:r>
        <w:rPr>
          <w:rFonts w:ascii="Arial" w:cs="Arial" w:eastAsia="Arial" w:hAnsi="Arial"/>
          <w:sz w:val="18"/>
          <w:szCs w:val="18"/>
          <w:color w:val="auto"/>
        </w:rPr>
        <w:t>Issuer will use its commercially reasonable efforts such that Issuer will not during the term of the Transaction make, or, to the extent within its control, permit to be made, any public announcement (as defined in Rule 165(f) under the Securities Act) of any Merger Transaction or potential Merger Transaction unless such public announcement is made prior to the open or after the close of the regular trading session on the Exchange for the Shares.</w:t>
      </w:r>
    </w:p>
    <w:p>
      <w:pPr>
        <w:spacing w:after="0" w:line="218" w:lineRule="exact"/>
        <w:rPr>
          <w:rFonts w:ascii="Arial" w:cs="Arial" w:eastAsia="Arial" w:hAnsi="Arial"/>
          <w:sz w:val="22"/>
          <w:szCs w:val="22"/>
          <w:color w:val="auto"/>
        </w:rPr>
      </w:pPr>
    </w:p>
    <w:p>
      <w:pPr>
        <w:jc w:val="both"/>
        <w:ind w:firstLine="1305"/>
        <w:spacing w:after="0" w:line="334" w:lineRule="auto"/>
        <w:tabs>
          <w:tab w:leader="none" w:pos="1867" w:val="left"/>
        </w:tabs>
        <w:numPr>
          <w:ilvl w:val="1"/>
          <w:numId w:val="70"/>
        </w:numPr>
        <w:rPr>
          <w:rFonts w:ascii="Arial" w:cs="Arial" w:eastAsia="Arial" w:hAnsi="Arial"/>
          <w:sz w:val="19"/>
          <w:szCs w:val="19"/>
          <w:color w:val="auto"/>
        </w:rPr>
      </w:pPr>
      <w:r>
        <w:rPr>
          <w:rFonts w:ascii="Arial" w:cs="Arial" w:eastAsia="Arial" w:hAnsi="Arial"/>
          <w:sz w:val="16"/>
          <w:szCs w:val="16"/>
          <w:color w:val="auto"/>
        </w:rPr>
        <w:t>To the extent that an announcement of a potential Merger Transaction occurs during the term of the Transaction and Dealer has not provided notice to Issuer as promptly as reasonably practicable following such announcement that Dealer will cause the Transaction to be cancelled or terminated in whole pursuant to “Extraordinary Events” in Section 2 above, then as soon as practicable following such notice from Dealer (but in any event prior to the next opening of the regular trading session on the Exchange), Issuer shall provide Dealer with written notice specifying (x) Issuer’s average daily “Rule 10b-18 purchases” (as defined in Rule 10b-18) during the three full calendar months immediately preceding the Announcement Date that were not effected through Dealer or its affiliates and (y) the number of Shares purchased pursuant to the block purchase proviso in Rule 10b-18(b)(4) under the Exchange Act for the three full calendar months preceding the Announcement Date. Such written notice shall be deemed to be a certification by Issuer to Dealer that such information is true and correct. Issuer understands that Dealer will use this information in calculating the trading volume for purposes of Rule 10b-18. In addition, Issuer shall promptly notify Dealer of the earlier to occur of the completion of such transaction and the completion of the vote by target shareholders. Issuer acknowledges that any such public announcement may trigger the provision set forth in Section 11 below. Accordingly, Issuer acknowledges that its actions in relation to any such announcement or transaction must comply with the standards set forth in Section 13(b) below.</w:t>
      </w:r>
    </w:p>
    <w:p>
      <w:pPr>
        <w:spacing w:after="0" w:line="147" w:lineRule="exact"/>
        <w:rPr>
          <w:rFonts w:ascii="Arial" w:cs="Arial" w:eastAsia="Arial" w:hAnsi="Arial"/>
          <w:sz w:val="19"/>
          <w:szCs w:val="19"/>
          <w:color w:val="auto"/>
        </w:rPr>
      </w:pPr>
    </w:p>
    <w:p>
      <w:pPr>
        <w:jc w:val="both"/>
        <w:ind w:firstLine="656"/>
        <w:spacing w:after="0" w:line="273" w:lineRule="auto"/>
        <w:tabs>
          <w:tab w:leader="none" w:pos="1079" w:val="left"/>
        </w:tabs>
        <w:numPr>
          <w:ilvl w:val="0"/>
          <w:numId w:val="70"/>
        </w:numPr>
        <w:rPr>
          <w:rFonts w:ascii="Arial" w:cs="Arial" w:eastAsia="Arial" w:hAnsi="Arial"/>
          <w:sz w:val="17"/>
          <w:szCs w:val="17"/>
          <w:color w:val="auto"/>
        </w:rPr>
      </w:pPr>
      <w:r>
        <w:rPr>
          <w:rFonts w:ascii="Arial" w:cs="Arial" w:eastAsia="Arial" w:hAnsi="Arial"/>
          <w:sz w:val="17"/>
          <w:szCs w:val="17"/>
          <w:color w:val="auto"/>
        </w:rPr>
        <w:t>Upon the occurrence of any public announcement of a Merger Transaction, Dealer may in a good faith and commercially reasonable manner elect either to (i) apply the provisions of Section 11 below or (ii) treat the occurrence of such announcement as an Additional Termination Event with respect to which the Transaction shall be the sole Affected Transaction, Issuer shall be the sole Affected Party and Dealer shall be the party entitled to designate an Early Termination Date pursuant to Section 6(b) of the Agreement (a “</w:t>
      </w:r>
      <w:r>
        <w:rPr>
          <w:rFonts w:ascii="Arial" w:cs="Arial" w:eastAsia="Arial" w:hAnsi="Arial"/>
          <w:sz w:val="17"/>
          <w:szCs w:val="17"/>
          <w:b w:val="1"/>
          <w:bCs w:val="1"/>
          <w:color w:val="auto"/>
        </w:rPr>
        <w:t>Merger Termination Event</w:t>
      </w:r>
      <w:r>
        <w:rPr>
          <w:rFonts w:ascii="Arial" w:cs="Arial" w:eastAsia="Arial" w:hAnsi="Arial"/>
          <w:sz w:val="17"/>
          <w:szCs w:val="17"/>
          <w:color w:val="auto"/>
        </w:rPr>
        <w:t>”). In the event that the Dealer elects to treat the Merger Transaction as a Merger Termination Event under this Section 9(b), then neither the provisions of “Extraordinary Events: Consequences of Merger Events” set forth above in this Confirmation nor the provisions of Section 10 below shall apply.</w:t>
      </w:r>
    </w:p>
    <w:p>
      <w:pPr>
        <w:spacing w:after="0" w:line="174"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Transaction</w:t>
      </w:r>
      <w:r>
        <w:rPr>
          <w:rFonts w:ascii="Arial" w:cs="Arial" w:eastAsia="Arial" w:hAnsi="Arial"/>
          <w:sz w:val="18"/>
          <w:szCs w:val="18"/>
          <w:color w:val="auto"/>
        </w:rPr>
        <w:t>” means any merger, acquisition or similar transaction involving a recapitalization of Issuer as contemplated by Rule 10b-18(a)(13)(iv) under the Exchange Act.</w:t>
      </w:r>
    </w:p>
    <w:p>
      <w:pPr>
        <w:sectPr>
          <w:pgSz w:w="11900" w:h="16838" w:orient="portrait"/>
          <w:cols w:equalWidth="0" w:num="1">
            <w:col w:w="11420"/>
          </w:cols>
          <w:pgMar w:left="240" w:top="337"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4"/>
          <w:szCs w:val="14"/>
          <w:color w:val="auto"/>
        </w:rPr>
        <w:t>Page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60" w:hanging="352"/>
        <w:spacing w:after="0"/>
        <w:tabs>
          <w:tab w:leader="none" w:pos="360" w:val="left"/>
        </w:tabs>
        <w:numPr>
          <w:ilvl w:val="0"/>
          <w:numId w:val="71"/>
        </w:numPr>
        <w:rPr>
          <w:rFonts w:ascii="Arial" w:cs="Arial" w:eastAsia="Arial" w:hAnsi="Arial"/>
          <w:sz w:val="22"/>
          <w:szCs w:val="22"/>
          <w:color w:val="auto"/>
        </w:rPr>
      </w:pPr>
      <w:r>
        <w:rPr>
          <w:rFonts w:ascii="Arial" w:cs="Arial" w:eastAsia="Arial" w:hAnsi="Arial"/>
          <w:sz w:val="18"/>
          <w:szCs w:val="18"/>
          <w:u w:val="single" w:color="auto"/>
          <w:color w:val="auto"/>
        </w:rPr>
        <w:t>Special Provisions for Acquisition Transaction Announcements</w:t>
      </w:r>
      <w:r>
        <w:rPr>
          <w:rFonts w:ascii="Arial" w:cs="Arial" w:eastAsia="Arial" w:hAnsi="Arial"/>
          <w:sz w:val="18"/>
          <w:szCs w:val="18"/>
          <w:color w:val="auto"/>
        </w:rPr>
        <w:t>.</w:t>
      </w:r>
    </w:p>
    <w:p>
      <w:pPr>
        <w:spacing w:after="0" w:line="215" w:lineRule="exact"/>
        <w:rPr>
          <w:rFonts w:ascii="Arial" w:cs="Arial" w:eastAsia="Arial" w:hAnsi="Arial"/>
          <w:sz w:val="22"/>
          <w:szCs w:val="22"/>
          <w:color w:val="auto"/>
        </w:rPr>
      </w:pPr>
    </w:p>
    <w:p>
      <w:pPr>
        <w:jc w:val="both"/>
        <w:ind w:right="20" w:firstLine="656"/>
        <w:spacing w:after="0" w:line="286" w:lineRule="auto"/>
        <w:tabs>
          <w:tab w:leader="none" w:pos="1034" w:val="left"/>
        </w:tabs>
        <w:numPr>
          <w:ilvl w:val="1"/>
          <w:numId w:val="71"/>
        </w:numPr>
        <w:rPr>
          <w:rFonts w:ascii="Arial" w:cs="Arial" w:eastAsia="Arial" w:hAnsi="Arial"/>
          <w:sz w:val="17"/>
          <w:szCs w:val="17"/>
          <w:color w:val="auto"/>
        </w:rPr>
      </w:pPr>
      <w:r>
        <w:rPr>
          <w:rFonts w:ascii="Arial" w:cs="Arial" w:eastAsia="Arial" w:hAnsi="Arial"/>
          <w:sz w:val="17"/>
          <w:szCs w:val="17"/>
          <w:color w:val="auto"/>
        </w:rPr>
        <w:t>If an Acquisition Transaction Announcement occurs on or prior to the final Valuation Date, then the Forward Price shall be determined as if the words “minus (ii) the Discount” were deleted from the definition thereof. If an Acquisition Transaction Announcement occurs after the Trade Date but prior to the Lock-Out Date, the Lock-Out Date shall be deemed to be the date of such Acquisition Transaction Announcement.</w:t>
      </w:r>
    </w:p>
    <w:p>
      <w:pPr>
        <w:spacing w:after="0" w:line="161" w:lineRule="exact"/>
        <w:rPr>
          <w:rFonts w:ascii="Arial" w:cs="Arial" w:eastAsia="Arial" w:hAnsi="Arial"/>
          <w:sz w:val="17"/>
          <w:szCs w:val="17"/>
          <w:color w:val="auto"/>
        </w:rPr>
      </w:pPr>
    </w:p>
    <w:p>
      <w:pPr>
        <w:jc w:val="both"/>
        <w:ind w:firstLine="656"/>
        <w:spacing w:after="0" w:line="273" w:lineRule="auto"/>
        <w:tabs>
          <w:tab w:leader="none" w:pos="1092" w:val="left"/>
        </w:tabs>
        <w:numPr>
          <w:ilvl w:val="1"/>
          <w:numId w:val="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Acquisition Transaction Announcement</w:t>
      </w:r>
      <w:r>
        <w:rPr>
          <w:rFonts w:ascii="Arial" w:cs="Arial" w:eastAsia="Arial" w:hAnsi="Arial"/>
          <w:sz w:val="17"/>
          <w:szCs w:val="17"/>
          <w:color w:val="auto"/>
        </w:rPr>
        <w:t>” means (i) the announcement of an Acquisition Transaction, (ii) an announcement that Issuer or any of its subsidiaries has entered into an agreement, a letter of intent or an understanding designed to result in an Acquisition Transaction, (iii) the announcement of the intention to solicit or enter into, or to explore strategic alternatives or other similar undertaking that may include, an Acquisition Transaction, or (iv) any announcement subsequent to an Acquisition Transaction Announcement relating to a material amendment, a material extension, withdrawal or other material change to the subject matter of the previous Acquisition Transaction Announcement. For the avoidance of doubt, the term “announcement” as used in the definition of Acquisition Transaction Announcement refers to any public announcement whether made by Issuer or by a bona fide third party that is reasonably likely to be a party to the Acquisition Transaction.</w:t>
      </w:r>
    </w:p>
    <w:p>
      <w:pPr>
        <w:spacing w:after="0" w:line="172" w:lineRule="exact"/>
        <w:rPr>
          <w:rFonts w:ascii="Arial" w:cs="Arial" w:eastAsia="Arial" w:hAnsi="Arial"/>
          <w:sz w:val="17"/>
          <w:szCs w:val="17"/>
          <w:color w:val="auto"/>
        </w:rPr>
      </w:pPr>
    </w:p>
    <w:p>
      <w:pPr>
        <w:jc w:val="both"/>
        <w:ind w:firstLine="656"/>
        <w:spacing w:after="0" w:line="292" w:lineRule="auto"/>
        <w:tabs>
          <w:tab w:leader="none" w:pos="1055" w:val="left"/>
        </w:tabs>
        <w:numPr>
          <w:ilvl w:val="1"/>
          <w:numId w:val="7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Acquisition Transaction</w:t>
      </w:r>
      <w:r>
        <w:rPr>
          <w:rFonts w:ascii="Arial" w:cs="Arial" w:eastAsia="Arial" w:hAnsi="Arial"/>
          <w:sz w:val="16"/>
          <w:szCs w:val="16"/>
          <w:color w:val="auto"/>
        </w:rPr>
        <w:t>” means (i) any Merger Event (for purposes of this definition, the definition of Merger Event shall be read with the references therein to “100%” being replaced by “25%” and to “50%” by “75%” and without reference to the clause beginning immediately following the definition of Reverse Merger therein to the end of such definition), Tender Offer or Merger Transaction or any other transaction involving the merger of Issuer with or into any third party, (ii) the sale or transfer of all or substantially all of the assets or liabilities of Issuer, (iii) a recapitalization, reclassification, binding share exchange or other similar transaction or (iv) any acquisition, lease, exchange, transfer, disposition (including by way of spin-off or distribution) of assets or liabilities (including any capital stock or other ownership interests in subsidiaries) or other similar event by Issuer or any of its subsidiaries where the aggregate consideration transferable or receivable by or to Issuer or its subsidiaries exceeds 25% of the market capitalization of Issuer.</w:t>
      </w:r>
    </w:p>
    <w:p>
      <w:pPr>
        <w:spacing w:after="0" w:line="183" w:lineRule="exact"/>
        <w:rPr>
          <w:rFonts w:ascii="Arial" w:cs="Arial" w:eastAsia="Arial" w:hAnsi="Arial"/>
          <w:sz w:val="16"/>
          <w:szCs w:val="16"/>
          <w:color w:val="auto"/>
        </w:rPr>
      </w:pPr>
    </w:p>
    <w:p>
      <w:pPr>
        <w:ind w:left="460" w:hanging="452"/>
        <w:spacing w:after="0"/>
        <w:tabs>
          <w:tab w:leader="none" w:pos="460" w:val="left"/>
        </w:tabs>
        <w:numPr>
          <w:ilvl w:val="0"/>
          <w:numId w:val="71"/>
        </w:numPr>
        <w:rPr>
          <w:rFonts w:ascii="Arial" w:cs="Arial" w:eastAsia="Arial" w:hAnsi="Arial"/>
          <w:sz w:val="22"/>
          <w:szCs w:val="22"/>
          <w:color w:val="auto"/>
        </w:rPr>
      </w:pPr>
      <w:r>
        <w:rPr>
          <w:rFonts w:ascii="Arial" w:cs="Arial" w:eastAsia="Arial" w:hAnsi="Arial"/>
          <w:sz w:val="18"/>
          <w:szCs w:val="18"/>
          <w:u w:val="single" w:color="auto"/>
          <w:color w:val="auto"/>
        </w:rPr>
        <w:t>Dealer Adjustments</w:t>
      </w:r>
      <w:r>
        <w:rPr>
          <w:rFonts w:ascii="Arial" w:cs="Arial" w:eastAsia="Arial" w:hAnsi="Arial"/>
          <w:sz w:val="18"/>
          <w:szCs w:val="18"/>
          <w:color w:val="auto"/>
        </w:rPr>
        <w:t>.</w:t>
      </w:r>
    </w:p>
    <w:p>
      <w:pPr>
        <w:spacing w:after="0" w:line="21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In the event that Dealer determines, in a good faith and commercially reasonable manner that, based on advice of legal counsel, it is appropriate with regard to any legal, regulatory or self-regulatory requirements or related policies and procedures (whether or not such requirements, policies or procedures are imposed by law or have been voluntarily adopted by Dealer, and including, without limitation, Rule 10b-18, Rule 10b-5, Regulations 13D-G and Regulations 14 D-E under the Exchange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requirements, policies and procedures relate to legal and regulatory issues and are generally applicable in similar situations and applied in a consistent manner in similar transactions), for Dealer to refrain from purchasing Shares or engaging in other market activity or to purchase fewer than the number of Shares or to engage in fewer or smaller other market transactions Dealer would otherwise purchase or engage in on any Trading Day on or prior to the last day of the Calculation Period, then Dealer may, in its reasonable discretion, elect that a Market Disruption shall be deemed to have occurred on such Trading Day. Dealer shall notify Issuer upon the exercise of Dealer’s rights pursuant to this Section 11 and the Trading Days affected by it and shall subsequently notify Issuer on the day Dealer believes that the circumstances giving rise to such exercise have changed.</w:t>
      </w:r>
    </w:p>
    <w:p>
      <w:pPr>
        <w:spacing w:after="0" w:line="185"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22"/>
          <w:szCs w:val="22"/>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w:t>
      </w:r>
    </w:p>
    <w:p>
      <w:pPr>
        <w:spacing w:after="0" w:line="215" w:lineRule="exact"/>
        <w:rPr>
          <w:rFonts w:ascii="Arial" w:cs="Arial" w:eastAsia="Arial" w:hAnsi="Arial"/>
          <w:sz w:val="22"/>
          <w:szCs w:val="22"/>
          <w:color w:val="auto"/>
        </w:rPr>
      </w:pPr>
    </w:p>
    <w:p>
      <w:pPr>
        <w:ind w:left="1040" w:hanging="384"/>
        <w:spacing w:after="0"/>
        <w:tabs>
          <w:tab w:leader="none" w:pos="10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Issuer covenants and agrees that:</w:t>
      </w:r>
    </w:p>
    <w:p>
      <w:pPr>
        <w:spacing w:after="0" w:line="265" w:lineRule="exact"/>
        <w:rPr>
          <w:rFonts w:ascii="Arial" w:cs="Arial" w:eastAsia="Arial" w:hAnsi="Arial"/>
          <w:sz w:val="18"/>
          <w:szCs w:val="18"/>
          <w:color w:val="auto"/>
        </w:rPr>
      </w:pPr>
    </w:p>
    <w:p>
      <w:pPr>
        <w:ind w:left="1700" w:hanging="395"/>
        <w:spacing w:after="0"/>
        <w:tabs>
          <w:tab w:leader="none" w:pos="1700" w:val="left"/>
        </w:tabs>
        <w:numPr>
          <w:ilvl w:val="2"/>
          <w:numId w:val="72"/>
        </w:numPr>
        <w:rPr>
          <w:rFonts w:ascii="Arial" w:cs="Arial" w:eastAsia="Arial" w:hAnsi="Arial"/>
          <w:sz w:val="19"/>
          <w:szCs w:val="19"/>
          <w:color w:val="auto"/>
        </w:rPr>
      </w:pPr>
      <w:r>
        <w:rPr>
          <w:rFonts w:ascii="Arial" w:cs="Arial" w:eastAsia="Arial" w:hAnsi="Arial"/>
          <w:sz w:val="16"/>
          <w:szCs w:val="16"/>
          <w:color w:val="auto"/>
        </w:rPr>
        <w:t>Until the end of the Potential Purchase Period (as defined below), neither it nor any of its affiliated purchasers (as defined in Rule 10b-</w:t>
      </w:r>
    </w:p>
    <w:p>
      <w:pPr>
        <w:spacing w:after="0" w:line="38" w:lineRule="exact"/>
        <w:rPr>
          <w:rFonts w:ascii="Arial" w:cs="Arial" w:eastAsia="Arial" w:hAnsi="Arial"/>
          <w:sz w:val="19"/>
          <w:szCs w:val="19"/>
          <w:color w:val="auto"/>
        </w:rPr>
      </w:pPr>
    </w:p>
    <w:p>
      <w:pPr>
        <w:jc w:val="both"/>
        <w:ind w:firstLine="8"/>
        <w:spacing w:after="0" w:line="311" w:lineRule="auto"/>
        <w:tabs>
          <w:tab w:leader="none" w:pos="237"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under the Exchange Act) shall directly or indirectly (which shall be deemed to include the writing or purchase of any cash-settled or other derivative or structured Share repurchase transaction with a hedging period, calculation period or settlement valuation period or similar period that overlaps with the Transaction) purchase, offer to purchase, place any bid or limit order relating to a purchase</w:t>
      </w:r>
    </w:p>
    <w:p>
      <w:pPr>
        <w:sectPr>
          <w:pgSz w:w="11900" w:h="16838" w:orient="portrait"/>
          <w:cols w:equalWidth="0" w:num="1">
            <w:col w:w="11420"/>
          </w:cols>
          <w:pgMar w:left="240" w:top="337"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4"/>
          <w:szCs w:val="14"/>
          <w:color w:val="auto"/>
        </w:rPr>
        <w:t>Page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of or commence any tender offer relating to Shares (or any security convertible into or exchangeable for Shares) without the prior written approval of Dealer or take any other action that would cause the purchase by Dealer of any Shares in connection with this Agreement not to qualify for the safe harbor provided in Rule 10b-18 under the Exchange Act (assuming for the purposes of this paragraph that such safe harbor were otherwise available for such purchases);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Section 12(a)(i) shall not (i) limit the Issuer’s ability, pursuant to its employee incentive plan or dividend reinvestment program to re-acquire Shares in connection with the related equity transactions, (ii) limit the Issuer’s ability to withhold shares to cover tax liabilities associated with such equity transactions or (iii) limit the Issuer’s ability to grant stock and options to “affiliated partners” (as defined in Rule 10b-18) or the ability of such affiliated purchasers to acquire such stock or options, provided that in connection with any such purchase Issuer will be deemed to represent to Dealer that such purchase does not constitute a “Rule 10b-18 Purchase” (as defined in Rule 10b-18) (any such incentive or compensatory plan, program or policy of Counterparty, a “Compensatory Plan”). “</w:t>
      </w:r>
      <w:r>
        <w:rPr>
          <w:rFonts w:ascii="Arial" w:cs="Arial" w:eastAsia="Arial" w:hAnsi="Arial"/>
          <w:sz w:val="17"/>
          <w:szCs w:val="17"/>
          <w:b w:val="1"/>
          <w:bCs w:val="1"/>
          <w:color w:val="auto"/>
        </w:rPr>
        <w:t>Potential Purchase Period</w:t>
      </w:r>
      <w:r>
        <w:rPr>
          <w:rFonts w:ascii="Arial" w:cs="Arial" w:eastAsia="Arial" w:hAnsi="Arial"/>
          <w:sz w:val="17"/>
          <w:szCs w:val="17"/>
          <w:color w:val="auto"/>
        </w:rPr>
        <w:t>” means the period from, and including, the Trade Date to, and including, the latest of (i) the last day of the Calculation Period, (ii) the earlier of (A) the date ten Exchange Business Days immediately following the last day of the Calculation Period and (B) the Scheduled Valuation Date and (iii) if an Early Termination Date occurs or the Transaction is cancelled pursuant to Article 12 of the Equity Definitions, a date determined by Dealer in its commercially reasonable discretion and communicated to Issuer no later than the Exchange Business Day immediately following such date.</w:t>
      </w:r>
    </w:p>
    <w:p>
      <w:pPr>
        <w:spacing w:after="0" w:line="228" w:lineRule="exact"/>
        <w:rPr>
          <w:sz w:val="20"/>
          <w:szCs w:val="20"/>
          <w:color w:val="auto"/>
        </w:rPr>
      </w:pPr>
    </w:p>
    <w:p>
      <w:pPr>
        <w:jc w:val="both"/>
        <w:ind w:firstLine="1305"/>
        <w:spacing w:after="0" w:line="292" w:lineRule="auto"/>
        <w:tabs>
          <w:tab w:leader="none" w:pos="1741" w:val="left"/>
        </w:tabs>
        <w:numPr>
          <w:ilvl w:val="2"/>
          <w:numId w:val="74"/>
        </w:numPr>
        <w:rPr>
          <w:rFonts w:ascii="Arial" w:cs="Arial" w:eastAsia="Arial" w:hAnsi="Arial"/>
          <w:sz w:val="22"/>
          <w:szCs w:val="22"/>
          <w:color w:val="auto"/>
        </w:rPr>
      </w:pPr>
      <w:r>
        <w:rPr>
          <w:rFonts w:ascii="Arial" w:cs="Arial" w:eastAsia="Arial" w:hAnsi="Arial"/>
          <w:sz w:val="18"/>
          <w:szCs w:val="18"/>
          <w:color w:val="auto"/>
        </w:rPr>
        <w:t xml:space="preserve">Without limiting the generality of Section 13.1 of the Equity Definitions, it is not relying, and has not relied, upon Dealer or any of its representatives or advisors with respect to the legal, accounting, tax or other implications of this Agreement and that it has conducted its own analyses of the legal, accounting, tax and other implications of this Agreement, and that Dealer and its affiliates may from time to time effect transactions for their own account or the account of customers and hold positions in securities or options on securities of Issuer and that Dealer and its affiliates may continue to conduct such transactions during the term of this Agreement. Without limiting the generality of the foregoing, Issuer acknowledges that Dealer is not making any representations or warranties or taking any position or expressing any view with respect to the treatment of the Transaction under any accounting standards including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or ASC Topic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Derivatives and Hedging – Contracts in Entity’s Own Equity</w:t>
      </w:r>
      <w:r>
        <w:rPr>
          <w:rFonts w:ascii="Arial" w:cs="Arial" w:eastAsia="Arial" w:hAnsi="Arial"/>
          <w:sz w:val="18"/>
          <w:szCs w:val="18"/>
          <w:color w:val="auto"/>
        </w:rPr>
        <w:t xml:space="preserve"> (or any successor issue statements) or under FASB’s Liabilities &amp; Equity Project.</w:t>
      </w:r>
    </w:p>
    <w:p>
      <w:pPr>
        <w:spacing w:after="0" w:line="216" w:lineRule="exact"/>
        <w:rPr>
          <w:rFonts w:ascii="Arial" w:cs="Arial" w:eastAsia="Arial" w:hAnsi="Arial"/>
          <w:sz w:val="22"/>
          <w:szCs w:val="22"/>
          <w:color w:val="auto"/>
        </w:rPr>
      </w:pPr>
    </w:p>
    <w:p>
      <w:pPr>
        <w:jc w:val="both"/>
        <w:ind w:firstLine="1305"/>
        <w:spacing w:after="0" w:line="280" w:lineRule="auto"/>
        <w:tabs>
          <w:tab w:leader="none" w:pos="1800" w:val="left"/>
        </w:tabs>
        <w:numPr>
          <w:ilvl w:val="2"/>
          <w:numId w:val="74"/>
        </w:numPr>
        <w:rPr>
          <w:rFonts w:ascii="Arial" w:cs="Arial" w:eastAsia="Arial" w:hAnsi="Arial"/>
          <w:sz w:val="22"/>
          <w:szCs w:val="22"/>
          <w:color w:val="auto"/>
        </w:rPr>
      </w:pPr>
      <w:r>
        <w:rPr>
          <w:rFonts w:ascii="Arial" w:cs="Arial" w:eastAsia="Arial" w:hAnsi="Arial"/>
          <w:sz w:val="18"/>
          <w:szCs w:val="18"/>
          <w:color w:val="auto"/>
        </w:rPr>
        <w:t>Neither it nor any affiliates shall take any action that would cause a restricted period (as defined in Regulation M under the Exchange Act (“</w:t>
      </w:r>
      <w:r>
        <w:rPr>
          <w:rFonts w:ascii="Arial" w:cs="Arial" w:eastAsia="Arial" w:hAnsi="Arial"/>
          <w:sz w:val="18"/>
          <w:szCs w:val="18"/>
          <w:b w:val="1"/>
          <w:bCs w:val="1"/>
          <w:color w:val="auto"/>
        </w:rPr>
        <w:t>Regulation M</w:t>
      </w:r>
      <w:r>
        <w:rPr>
          <w:rFonts w:ascii="Arial" w:cs="Arial" w:eastAsia="Arial" w:hAnsi="Arial"/>
          <w:sz w:val="18"/>
          <w:szCs w:val="18"/>
          <w:color w:val="auto"/>
        </w:rPr>
        <w:t>”)) to be applicable to any purchases of Shares, or of any security for which Shares is a reference security (as defined in Regulation M), by Issuer or any affiliated purchasers (as defined in Regulation M) of Issuer during the Potential Purchase Period.</w:t>
      </w:r>
    </w:p>
    <w:p>
      <w:pPr>
        <w:spacing w:after="0" w:line="221" w:lineRule="exact"/>
        <w:rPr>
          <w:rFonts w:ascii="Arial" w:cs="Arial" w:eastAsia="Arial" w:hAnsi="Arial"/>
          <w:sz w:val="22"/>
          <w:szCs w:val="22"/>
          <w:color w:val="auto"/>
        </w:rPr>
      </w:pPr>
    </w:p>
    <w:p>
      <w:pPr>
        <w:ind w:right="20" w:firstLine="1305"/>
        <w:spacing w:after="0" w:line="271" w:lineRule="auto"/>
        <w:tabs>
          <w:tab w:leader="none" w:pos="1860" w:val="left"/>
        </w:tabs>
        <w:numPr>
          <w:ilvl w:val="2"/>
          <w:numId w:val="74"/>
        </w:numPr>
        <w:rPr>
          <w:rFonts w:ascii="Arial" w:cs="Arial" w:eastAsia="Arial" w:hAnsi="Arial"/>
          <w:sz w:val="22"/>
          <w:szCs w:val="22"/>
          <w:color w:val="auto"/>
        </w:rPr>
      </w:pPr>
      <w:r>
        <w:rPr>
          <w:rFonts w:ascii="Arial" w:cs="Arial" w:eastAsia="Arial" w:hAnsi="Arial"/>
          <w:sz w:val="18"/>
          <w:szCs w:val="18"/>
          <w:color w:val="auto"/>
        </w:rPr>
        <w:t>It will not make any election or take any other action in connection with the Transaction while aware of any material nonpublic information regarding Issuer or the Shares.</w:t>
      </w:r>
    </w:p>
    <w:p>
      <w:pPr>
        <w:spacing w:after="0" w:line="223" w:lineRule="exact"/>
        <w:rPr>
          <w:rFonts w:ascii="Arial" w:cs="Arial" w:eastAsia="Arial" w:hAnsi="Arial"/>
          <w:sz w:val="22"/>
          <w:szCs w:val="22"/>
          <w:color w:val="auto"/>
        </w:rPr>
      </w:pPr>
    </w:p>
    <w:p>
      <w:pPr>
        <w:ind w:firstLine="1305"/>
        <w:spacing w:after="0" w:line="271" w:lineRule="auto"/>
        <w:tabs>
          <w:tab w:leader="none" w:pos="1839" w:val="left"/>
        </w:tabs>
        <w:numPr>
          <w:ilvl w:val="2"/>
          <w:numId w:val="74"/>
        </w:numPr>
        <w:rPr>
          <w:rFonts w:ascii="Arial" w:cs="Arial" w:eastAsia="Arial" w:hAnsi="Arial"/>
          <w:sz w:val="22"/>
          <w:szCs w:val="22"/>
          <w:color w:val="auto"/>
        </w:rPr>
      </w:pPr>
      <w:r>
        <w:rPr>
          <w:rFonts w:ascii="Arial" w:cs="Arial" w:eastAsia="Arial" w:hAnsi="Arial"/>
          <w:sz w:val="18"/>
          <w:szCs w:val="18"/>
          <w:color w:val="auto"/>
        </w:rPr>
        <w:t>It shall not declare or pay any Extraordinary Dividend until the earlier of (i) the Scheduled Valuation Date or (ii) the date ten Exchange Business Days immediately following the Valuation Date.</w:t>
      </w:r>
    </w:p>
    <w:p>
      <w:pPr>
        <w:spacing w:after="0" w:line="182" w:lineRule="exact"/>
        <w:rPr>
          <w:rFonts w:ascii="Arial" w:cs="Arial" w:eastAsia="Arial" w:hAnsi="Arial"/>
          <w:sz w:val="22"/>
          <w:szCs w:val="22"/>
          <w:color w:val="auto"/>
        </w:rPr>
      </w:pPr>
    </w:p>
    <w:p>
      <w:pPr>
        <w:ind w:left="1040" w:hanging="384"/>
        <w:spacing w:after="0"/>
        <w:tabs>
          <w:tab w:leader="none" w:pos="10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[Reserved]</w:t>
      </w:r>
    </w:p>
    <w:p>
      <w:pPr>
        <w:spacing w:after="0" w:line="243" w:lineRule="exact"/>
        <w:rPr>
          <w:rFonts w:ascii="Arial" w:cs="Arial" w:eastAsia="Arial" w:hAnsi="Arial"/>
          <w:sz w:val="18"/>
          <w:szCs w:val="18"/>
          <w:color w:val="auto"/>
        </w:rPr>
      </w:pPr>
    </w:p>
    <w:p>
      <w:pPr>
        <w:ind w:left="460" w:hanging="452"/>
        <w:spacing w:after="0"/>
        <w:tabs>
          <w:tab w:leader="none" w:pos="460" w:val="left"/>
        </w:tabs>
        <w:numPr>
          <w:ilvl w:val="0"/>
          <w:numId w:val="76"/>
        </w:numPr>
        <w:rPr>
          <w:rFonts w:ascii="Arial" w:cs="Arial" w:eastAsia="Arial" w:hAnsi="Arial"/>
          <w:sz w:val="22"/>
          <w:szCs w:val="22"/>
          <w:color w:val="auto"/>
        </w:rPr>
      </w:pPr>
      <w:r>
        <w:rPr>
          <w:rFonts w:ascii="Arial" w:cs="Arial" w:eastAsia="Arial" w:hAnsi="Arial"/>
          <w:sz w:val="18"/>
          <w:szCs w:val="18"/>
          <w:u w:val="single" w:color="auto"/>
          <w:color w:val="auto"/>
        </w:rPr>
        <w:t>Representations, Warranties and Acknowledgments</w:t>
      </w:r>
      <w:r>
        <w:rPr>
          <w:rFonts w:ascii="Arial" w:cs="Arial" w:eastAsia="Arial" w:hAnsi="Arial"/>
          <w:sz w:val="18"/>
          <w:szCs w:val="18"/>
          <w:color w:val="auto"/>
        </w:rPr>
        <w:t>.</w:t>
      </w:r>
    </w:p>
    <w:p>
      <w:pPr>
        <w:spacing w:after="0" w:line="215" w:lineRule="exact"/>
        <w:rPr>
          <w:rFonts w:ascii="Arial" w:cs="Arial" w:eastAsia="Arial" w:hAnsi="Arial"/>
          <w:sz w:val="22"/>
          <w:szCs w:val="22"/>
          <w:color w:val="auto"/>
        </w:rPr>
      </w:pPr>
    </w:p>
    <w:p>
      <w:pPr>
        <w:ind w:left="1040" w:hanging="384"/>
        <w:spacing w:after="0"/>
        <w:tabs>
          <w:tab w:leader="none" w:pos="10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Issuer hereby represents and warrants to Dealer on the date hereof and on and as of the Initial Share Delivery Date that:</w:t>
      </w:r>
    </w:p>
    <w:p>
      <w:pPr>
        <w:spacing w:after="0" w:line="265" w:lineRule="exact"/>
        <w:rPr>
          <w:rFonts w:ascii="Arial" w:cs="Arial" w:eastAsia="Arial" w:hAnsi="Arial"/>
          <w:sz w:val="18"/>
          <w:szCs w:val="18"/>
          <w:color w:val="auto"/>
        </w:rPr>
      </w:pPr>
    </w:p>
    <w:p>
      <w:pPr>
        <w:jc w:val="both"/>
        <w:ind w:firstLine="1305"/>
        <w:spacing w:after="0" w:line="285" w:lineRule="auto"/>
        <w:tabs>
          <w:tab w:leader="none" w:pos="1701" w:val="left"/>
        </w:tabs>
        <w:numPr>
          <w:ilvl w:val="2"/>
          <w:numId w:val="76"/>
        </w:numPr>
        <w:rPr>
          <w:rFonts w:ascii="Arial" w:cs="Arial" w:eastAsia="Arial" w:hAnsi="Arial"/>
          <w:sz w:val="22"/>
          <w:szCs w:val="22"/>
          <w:color w:val="auto"/>
        </w:rPr>
      </w:pPr>
      <w:r>
        <w:rPr>
          <w:rFonts w:ascii="Arial" w:cs="Arial" w:eastAsia="Arial" w:hAnsi="Arial"/>
          <w:sz w:val="18"/>
          <w:szCs w:val="18"/>
          <w:color w:val="auto"/>
        </w:rPr>
        <w:t>(A) None of Issuer and its officers and directors is aware of any material nonpublic information regarding Issuer or the Shares, and is entering into the Transaction in good faith and not as part of a plan or scheme to evade the prohibitions of federal securities laws, including, without limitation, Rule 10b-5 under the Exchange Act and (B) Issuer agrees not to alter or deviate from the terms of the Agreement or enter into or alter a corresponding or hedging transaction or position with respect to the Shares (including, without limitation,</w:t>
      </w:r>
    </w:p>
    <w:p>
      <w:pPr>
        <w:sectPr>
          <w:pgSz w:w="11900" w:h="16838" w:orient="portrait"/>
          <w:cols w:equalWidth="0" w:num="1">
            <w:col w:w="11420"/>
          </w:cols>
          <w:pgMar w:left="240" w:top="337"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4"/>
          <w:szCs w:val="14"/>
          <w:color w:val="auto"/>
        </w:rPr>
        <w:t>Page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respect to any securities convertible or exchangeable into the Shares) during the term of the Agreement. Without limiting the generality of the foregoing, all reports and other documents filed by Issuer with the Securities and Exchange Commission pursuant to the Exchange Act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229" w:lineRule="exact"/>
        <w:rPr>
          <w:sz w:val="20"/>
          <w:szCs w:val="20"/>
          <w:color w:val="auto"/>
        </w:rPr>
      </w:pPr>
    </w:p>
    <w:p>
      <w:pPr>
        <w:ind w:left="1780" w:hanging="475"/>
        <w:spacing w:after="0"/>
        <w:tabs>
          <w:tab w:leader="none" w:pos="1780" w:val="left"/>
        </w:tabs>
        <w:numPr>
          <w:ilvl w:val="0"/>
          <w:numId w:val="77"/>
        </w:numPr>
        <w:rPr>
          <w:rFonts w:ascii="Arial" w:cs="Arial" w:eastAsia="Arial" w:hAnsi="Arial"/>
          <w:sz w:val="19"/>
          <w:szCs w:val="19"/>
          <w:color w:val="auto"/>
        </w:rPr>
      </w:pPr>
      <w:r>
        <w:rPr>
          <w:rFonts w:ascii="Arial" w:cs="Arial" w:eastAsia="Arial" w:hAnsi="Arial"/>
          <w:sz w:val="16"/>
          <w:szCs w:val="16"/>
          <w:color w:val="auto"/>
        </w:rPr>
        <w:t>The transactions contemplated by this Confirmation have been authorized under Issuer’s publicly announced program to repurchase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79" w:lineRule="exact"/>
        <w:rPr>
          <w:sz w:val="20"/>
          <w:szCs w:val="20"/>
          <w:color w:val="auto"/>
        </w:rPr>
      </w:pPr>
    </w:p>
    <w:p>
      <w:pPr>
        <w:ind w:right="20" w:firstLine="1305"/>
        <w:spacing w:after="0" w:line="271" w:lineRule="auto"/>
        <w:tabs>
          <w:tab w:leader="none" w:pos="1834" w:val="left"/>
        </w:tabs>
        <w:numPr>
          <w:ilvl w:val="0"/>
          <w:numId w:val="78"/>
        </w:numPr>
        <w:rPr>
          <w:rFonts w:ascii="Arial" w:cs="Arial" w:eastAsia="Arial" w:hAnsi="Arial"/>
          <w:sz w:val="22"/>
          <w:szCs w:val="22"/>
          <w:color w:val="auto"/>
        </w:rPr>
      </w:pPr>
      <w:r>
        <w:rPr>
          <w:rFonts w:ascii="Arial" w:cs="Arial" w:eastAsia="Arial" w:hAnsi="Arial"/>
          <w:sz w:val="18"/>
          <w:szCs w:val="18"/>
          <w:color w:val="auto"/>
        </w:rPr>
        <w:t>Issuer is not entering into this Agreement to facilitate a distribution of the Shares (or any security convertible into or exchangeable for Shares) or in connection with a future issuance of securities.</w:t>
      </w:r>
    </w:p>
    <w:p>
      <w:pPr>
        <w:spacing w:after="0" w:line="223" w:lineRule="exact"/>
        <w:rPr>
          <w:rFonts w:ascii="Arial" w:cs="Arial" w:eastAsia="Arial" w:hAnsi="Arial"/>
          <w:sz w:val="22"/>
          <w:szCs w:val="22"/>
          <w:color w:val="auto"/>
        </w:rPr>
      </w:pPr>
    </w:p>
    <w:p>
      <w:pPr>
        <w:jc w:val="both"/>
        <w:ind w:firstLine="1305"/>
        <w:spacing w:after="0" w:line="280" w:lineRule="auto"/>
        <w:tabs>
          <w:tab w:leader="none" w:pos="1817" w:val="left"/>
        </w:tabs>
        <w:numPr>
          <w:ilvl w:val="0"/>
          <w:numId w:val="78"/>
        </w:numPr>
        <w:rPr>
          <w:rFonts w:ascii="Arial" w:cs="Arial" w:eastAsia="Arial" w:hAnsi="Arial"/>
          <w:sz w:val="22"/>
          <w:szCs w:val="22"/>
          <w:color w:val="auto"/>
        </w:rPr>
      </w:pPr>
      <w:r>
        <w:rPr>
          <w:rFonts w:ascii="Arial" w:cs="Arial" w:eastAsia="Arial" w:hAnsi="Arial"/>
          <w:sz w:val="18"/>
          <w:szCs w:val="18"/>
          <w:color w:val="auto"/>
        </w:rPr>
        <w:t>Issuer is not entering into this Agreement to create actual or apparent trading activity in the Shares (or any security convertible into or exchangeable for Shares) or to manipulate the price of the Shares (or any security convertible into or exchangeable for Shares) in violation of the federal securities laws.</w:t>
      </w:r>
    </w:p>
    <w:p>
      <w:pPr>
        <w:spacing w:after="0" w:line="221" w:lineRule="exact"/>
        <w:rPr>
          <w:rFonts w:ascii="Arial" w:cs="Arial" w:eastAsia="Arial" w:hAnsi="Arial"/>
          <w:sz w:val="22"/>
          <w:szCs w:val="22"/>
          <w:color w:val="auto"/>
        </w:rPr>
      </w:pPr>
    </w:p>
    <w:p>
      <w:pPr>
        <w:jc w:val="both"/>
        <w:ind w:firstLine="1305"/>
        <w:spacing w:after="0" w:line="333" w:lineRule="auto"/>
        <w:tabs>
          <w:tab w:leader="none" w:pos="1725" w:val="left"/>
        </w:tabs>
        <w:numPr>
          <w:ilvl w:val="0"/>
          <w:numId w:val="78"/>
        </w:numPr>
        <w:rPr>
          <w:rFonts w:ascii="Arial" w:cs="Arial" w:eastAsia="Arial" w:hAnsi="Arial"/>
          <w:sz w:val="19"/>
          <w:szCs w:val="19"/>
          <w:color w:val="auto"/>
        </w:rPr>
      </w:pPr>
      <w:r>
        <w:rPr>
          <w:rFonts w:ascii="Arial" w:cs="Arial" w:eastAsia="Arial" w:hAnsi="Arial"/>
          <w:sz w:val="16"/>
          <w:szCs w:val="16"/>
          <w:color w:val="auto"/>
        </w:rPr>
        <w:t>There have been no purchases of Shares in Rule 10b-18 purchases of blocks pursuant to the once-a-week block exception contained in Rule 10b-18(b)(4) by or for Issuer or any of its affiliated purchasers during each of the four calendar weeks preceding the Trade Date and during the calendar week in which the Trade Date occurs (“Rule 10b-18 purchase”, “blocks” and “affiliated purchaser” each being used as defined in Rule 10b-18).</w:t>
      </w:r>
    </w:p>
    <w:p>
      <w:pPr>
        <w:spacing w:after="0" w:line="185" w:lineRule="exact"/>
        <w:rPr>
          <w:rFonts w:ascii="Arial" w:cs="Arial" w:eastAsia="Arial" w:hAnsi="Arial"/>
          <w:sz w:val="19"/>
          <w:szCs w:val="19"/>
          <w:color w:val="auto"/>
        </w:rPr>
      </w:pPr>
    </w:p>
    <w:p>
      <w:pPr>
        <w:jc w:val="both"/>
        <w:ind w:firstLine="1305"/>
        <w:spacing w:after="0" w:line="334" w:lineRule="auto"/>
        <w:tabs>
          <w:tab w:leader="none" w:pos="1880" w:val="left"/>
        </w:tabs>
        <w:numPr>
          <w:ilvl w:val="0"/>
          <w:numId w:val="78"/>
        </w:numPr>
        <w:rPr>
          <w:rFonts w:ascii="Arial" w:cs="Arial" w:eastAsia="Arial" w:hAnsi="Arial"/>
          <w:sz w:val="19"/>
          <w:szCs w:val="19"/>
          <w:color w:val="auto"/>
        </w:rPr>
      </w:pPr>
      <w:r>
        <w:rPr>
          <w:rFonts w:ascii="Arial" w:cs="Arial" w:eastAsia="Arial" w:hAnsi="Arial"/>
          <w:sz w:val="16"/>
          <w:szCs w:val="16"/>
          <w:color w:val="auto"/>
        </w:rPr>
        <w:t>Issuer is as of the date hereof, and after giving effect to the transactions contemplated hereby will be, Solvent. As used in this paragraph, the term “Solvent” means, with respect to a particular date, that on such date (A) the present fair market value (or present fair saleable value) of the assets of Issuer is not less than the total amount required to pay the liabilities of Issuer on its total existing debts and liabilities (including contingent liabilities) as they become absolute and matured, (B) Issuer is able to realize upon its assets and pay its debts and other liabilities, contingent obligations and commitments as they mature and become due in the normal course of business, (C) assuming consummation of the transactions as contemplated by this Agreement, Issuer is not incurring debts or liabilities beyond its ability to pay as such debts and liabilities mature, (D) Issuer is not engaged in any business or transaction, and does not propose to engage in any business or transaction, for which its property would constitute unreasonably small capital after giving due consideration to the prevailing practice in the industry in which Issuer is engaged, (E) Issuer is not a defendant in any civil action that could reasonably be expected to result in a judgment that Issuer is or would become unable to satisfy, (F) Issuer is not “insolvent” (as such term is defined under Section 101(32) of the U.S. Bankruptcy Code (Title 11 of the United States Code) (the “Bankruptcy Code”)) and (G) Issuer would be able to purchase Shares with an aggregate purchase price equal to the Prepayment Amount in compliance with the corporate laws of the jurisdiction of its incorporation.</w:t>
      </w:r>
    </w:p>
    <w:p>
      <w:pPr>
        <w:spacing w:after="0" w:line="187" w:lineRule="exact"/>
        <w:rPr>
          <w:rFonts w:ascii="Arial" w:cs="Arial" w:eastAsia="Arial" w:hAnsi="Arial"/>
          <w:sz w:val="19"/>
          <w:szCs w:val="19"/>
          <w:color w:val="auto"/>
        </w:rPr>
      </w:pPr>
    </w:p>
    <w:p>
      <w:pPr>
        <w:ind w:firstLine="1305"/>
        <w:spacing w:after="0" w:line="271" w:lineRule="auto"/>
        <w:tabs>
          <w:tab w:leader="none" w:pos="1932" w:val="left"/>
        </w:tabs>
        <w:numPr>
          <w:ilvl w:val="0"/>
          <w:numId w:val="78"/>
        </w:numPr>
        <w:rPr>
          <w:rFonts w:ascii="Arial" w:cs="Arial" w:eastAsia="Arial" w:hAnsi="Arial"/>
          <w:sz w:val="22"/>
          <w:szCs w:val="22"/>
          <w:color w:val="auto"/>
        </w:rPr>
      </w:pPr>
      <w:r>
        <w:rPr>
          <w:rFonts w:ascii="Arial" w:cs="Arial" w:eastAsia="Arial" w:hAnsi="Arial"/>
          <w:sz w:val="18"/>
          <w:szCs w:val="18"/>
          <w:color w:val="auto"/>
        </w:rPr>
        <w:t>Issuer is not, and after giving effect to the transactions contemplated hereby will not be, required to register as an “investment company” as such term is defined in the Investment Company Act of 1940, as amended.</w:t>
      </w:r>
    </w:p>
    <w:p>
      <w:pPr>
        <w:spacing w:after="0" w:line="223" w:lineRule="exact"/>
        <w:rPr>
          <w:rFonts w:ascii="Arial" w:cs="Arial" w:eastAsia="Arial" w:hAnsi="Arial"/>
          <w:sz w:val="22"/>
          <w:szCs w:val="22"/>
          <w:color w:val="auto"/>
        </w:rPr>
      </w:pPr>
    </w:p>
    <w:p>
      <w:pPr>
        <w:jc w:val="both"/>
        <w:ind w:firstLine="1305"/>
        <w:spacing w:after="0" w:line="288" w:lineRule="auto"/>
        <w:tabs>
          <w:tab w:leader="none" w:pos="1916" w:val="left"/>
        </w:tabs>
        <w:numPr>
          <w:ilvl w:val="0"/>
          <w:numId w:val="78"/>
        </w:numPr>
        <w:rPr>
          <w:rFonts w:ascii="Arial" w:cs="Arial" w:eastAsia="Arial" w:hAnsi="Arial"/>
          <w:sz w:val="22"/>
          <w:szCs w:val="22"/>
          <w:color w:val="auto"/>
        </w:rPr>
      </w:pPr>
      <w:r>
        <w:rPr>
          <w:rFonts w:ascii="Arial" w:cs="Arial" w:eastAsia="Arial" w:hAnsi="Arial"/>
          <w:sz w:val="18"/>
          <w:szCs w:val="18"/>
          <w:color w:val="auto"/>
        </w:rPr>
        <w:t>No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other than any such law, rule, regulation or regulatory order that applies (A) to the beneficial ownership of Shares under the Exchange Act or (B) solely as a result of the business, identity, place of business or jurisdiction of organization of Dealer or any such affiliate.</w:t>
      </w:r>
    </w:p>
    <w:p>
      <w:pPr>
        <w:sectPr>
          <w:pgSz w:w="11900" w:h="16838" w:orient="portrait"/>
          <w:cols w:equalWidth="0" w:num="1">
            <w:col w:w="11420"/>
          </w:cols>
          <w:pgMar w:left="240" w:top="337"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4"/>
          <w:szCs w:val="14"/>
          <w:color w:val="auto"/>
        </w:rPr>
        <w:t>Page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656"/>
        <w:spacing w:after="0" w:line="286" w:lineRule="auto"/>
        <w:tabs>
          <w:tab w:leader="none" w:pos="1101" w:val="left"/>
        </w:tabs>
        <w:numPr>
          <w:ilvl w:val="1"/>
          <w:numId w:val="79"/>
        </w:numPr>
        <w:rPr>
          <w:rFonts w:ascii="Arial" w:cs="Arial" w:eastAsia="Arial" w:hAnsi="Arial"/>
          <w:sz w:val="16"/>
          <w:szCs w:val="16"/>
          <w:color w:val="auto"/>
        </w:rPr>
      </w:pPr>
      <w:r>
        <w:rPr>
          <w:rFonts w:ascii="Arial" w:cs="Arial" w:eastAsia="Arial" w:hAnsi="Arial"/>
          <w:sz w:val="16"/>
          <w:szCs w:val="16"/>
          <w:color w:val="auto"/>
        </w:rPr>
        <w:t>Issuer acknowledges and agrees that the Initial Shares may be sold short to Issuer. Issuer further acknowledges and agrees that Dealer may purchase Shares in connection with the Transaction, which Shares may be used to cover all or a portion of such short sale or may be delivered to Issuer. Such purchases and any other market activity by Dealer will be conducted independently of Issuer by Dealer as principal for its own account. All of the actions to be taken by Dealer in connection with the Transaction shall be taken by Dealer independently and without any advance or subsequent consultation with Issuer. It is the intent of the parties that the Transaction comply with the requirements of Rule 10b5-1(c)(1)(i)(B) of the Exchange Act, and the parties agree that this Confirmation shall be interpreted to comply with the requirements of such Rule, and Issuer shall not take any action that results in the Transaction not so complying with such requirements. Without limiting the generality of the preceding sentence, Issuer acknowledges and agrees that (A) Issuer does not have, and shall not attempt to exercise, any influence over how, when or whether Dealer effects any market transactions in connection with the Transaction and (B) neither Issuer nor its officers or employees shall, directly or indirectly, communicate any information regarding Issuer or the Shares to any employee of Dealer or its Affiliates that have been identified by Dealer to Issuer in writing as employees responsible for executing market transactions in connection with the Transaction. Issuer also acknowledges and agrees that any amendment, modification, waiver or termination of this Confirmation must be effected in accordance with the requirements for the amendment or termination of a “plan” as defined in Rule 10b5-1(c) under the Exchange Act. Without limiting the generality of the foregoing, any such amendment, modification, waiver or termination shall be made in good faith and not as part of a plan or scheme to evade the prohibitions of Rule 10b-5 under the Exchange Act, and no such amendment, modification or waiver shall be made at any time at which Issuer or any officer or director of Issuer is aware of any material nonpublic information regarding Issuer or the Shares.</w:t>
      </w:r>
    </w:p>
    <w:p>
      <w:pPr>
        <w:spacing w:after="0" w:line="168" w:lineRule="exact"/>
        <w:rPr>
          <w:rFonts w:ascii="Arial" w:cs="Arial" w:eastAsia="Arial" w:hAnsi="Arial"/>
          <w:sz w:val="16"/>
          <w:szCs w:val="16"/>
          <w:color w:val="auto"/>
        </w:rPr>
      </w:pPr>
    </w:p>
    <w:p>
      <w:pPr>
        <w:ind w:firstLine="656"/>
        <w:spacing w:after="0" w:line="277" w:lineRule="auto"/>
        <w:tabs>
          <w:tab w:leader="none" w:pos="1028" w:val="left"/>
        </w:tabs>
        <w:numPr>
          <w:ilvl w:val="1"/>
          <w:numId w:val="79"/>
        </w:numPr>
        <w:rPr>
          <w:rFonts w:ascii="Arial" w:cs="Arial" w:eastAsia="Arial" w:hAnsi="Arial"/>
          <w:sz w:val="18"/>
          <w:szCs w:val="18"/>
          <w:color w:val="auto"/>
        </w:rPr>
      </w:pPr>
      <w:r>
        <w:rPr>
          <w:rFonts w:ascii="Arial" w:cs="Arial" w:eastAsia="Arial" w:hAnsi="Arial"/>
          <w:sz w:val="18"/>
          <w:szCs w:val="18"/>
          <w:color w:val="auto"/>
        </w:rPr>
        <w:t>Each of Issuer and Dealer represents and warrants to the other that it is an “eligible contract participant” as defined in Section 1a(12) of the U.S. Commodity Exchange Act, as amended.</w:t>
      </w:r>
    </w:p>
    <w:p>
      <w:pPr>
        <w:spacing w:after="0" w:line="170" w:lineRule="exact"/>
        <w:rPr>
          <w:rFonts w:ascii="Arial" w:cs="Arial" w:eastAsia="Arial" w:hAnsi="Arial"/>
          <w:sz w:val="18"/>
          <w:szCs w:val="18"/>
          <w:color w:val="auto"/>
        </w:rPr>
      </w:pPr>
    </w:p>
    <w:p>
      <w:pPr>
        <w:jc w:val="both"/>
        <w:ind w:firstLine="656"/>
        <w:spacing w:after="0" w:line="255" w:lineRule="auto"/>
        <w:tabs>
          <w:tab w:leader="none" w:pos="1092" w:val="left"/>
        </w:tabs>
        <w:numPr>
          <w:ilvl w:val="1"/>
          <w:numId w:val="79"/>
        </w:numPr>
        <w:rPr>
          <w:rFonts w:ascii="Arial" w:cs="Arial" w:eastAsia="Arial" w:hAnsi="Arial"/>
          <w:sz w:val="18"/>
          <w:szCs w:val="18"/>
          <w:color w:val="auto"/>
        </w:rPr>
      </w:pPr>
      <w:r>
        <w:rPr>
          <w:rFonts w:ascii="Arial" w:cs="Arial" w:eastAsia="Arial" w:hAnsi="Arial"/>
          <w:sz w:val="18"/>
          <w:szCs w:val="18"/>
          <w:color w:val="auto"/>
        </w:rPr>
        <w:t>Each of Issuer and Dealer acknowledges that the offer and sale of the Transaction to it is intended to be exempt from registration under the Securities Act by virtue of Section 4(2) thereof. Accordingly, it represents and warrants to the other party that (i) it has the financial ability to bear the economic risk of its investment in the Transaction and is able to bear a total loss of its investment, (ii) it is an “accredited investor” as that term is defined in Regulation D as promulgated under the Securities Act, (iii) it is entering into the Transaction for its own account and without a view to the distribution or resale thereof and (iv) the assignment, transfer or other disposition of the Transaction has not been and will not be registered under the Securities Act and is restricted under this Confirmation, the Securities Act and state securities laws.</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80"/>
        </w:numPr>
        <w:rPr>
          <w:rFonts w:ascii="Arial" w:cs="Arial" w:eastAsia="Arial" w:hAnsi="Arial"/>
          <w:sz w:val="22"/>
          <w:szCs w:val="22"/>
          <w:color w:val="auto"/>
        </w:rPr>
      </w:pPr>
      <w:r>
        <w:rPr>
          <w:rFonts w:ascii="Arial" w:cs="Arial" w:eastAsia="Arial" w:hAnsi="Arial"/>
          <w:sz w:val="18"/>
          <w:szCs w:val="18"/>
          <w:u w:val="single" w:color="auto"/>
          <w:color w:val="auto"/>
        </w:rPr>
        <w:t>Acknowledgements of Issuer</w:t>
      </w:r>
      <w:r>
        <w:rPr>
          <w:rFonts w:ascii="Arial" w:cs="Arial" w:eastAsia="Arial" w:hAnsi="Arial"/>
          <w:sz w:val="18"/>
          <w:szCs w:val="18"/>
          <w:color w:val="auto"/>
        </w:rPr>
        <w:t>.</w:t>
      </w:r>
    </w:p>
    <w:p>
      <w:pPr>
        <w:spacing w:after="0" w:line="215" w:lineRule="exact"/>
        <w:rPr>
          <w:rFonts w:ascii="Arial" w:cs="Arial" w:eastAsia="Arial" w:hAnsi="Arial"/>
          <w:sz w:val="22"/>
          <w:szCs w:val="22"/>
          <w:color w:val="auto"/>
        </w:rPr>
      </w:pPr>
    </w:p>
    <w:p>
      <w:pPr>
        <w:ind w:left="1040" w:hanging="384"/>
        <w:spacing w:after="0"/>
        <w:tabs>
          <w:tab w:leader="none" w:pos="10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Issuer agrees, understands and acknowledges that:</w:t>
      </w:r>
    </w:p>
    <w:p>
      <w:pPr>
        <w:spacing w:after="0" w:line="252" w:lineRule="exact"/>
        <w:rPr>
          <w:rFonts w:ascii="Arial" w:cs="Arial" w:eastAsia="Arial" w:hAnsi="Arial"/>
          <w:sz w:val="18"/>
          <w:szCs w:val="18"/>
          <w:color w:val="auto"/>
        </w:rPr>
      </w:pPr>
    </w:p>
    <w:p>
      <w:pPr>
        <w:jc w:val="both"/>
        <w:ind w:firstLine="1305"/>
        <w:spacing w:after="0" w:line="311" w:lineRule="auto"/>
        <w:tabs>
          <w:tab w:leader="none" w:pos="2115" w:val="left"/>
        </w:tabs>
        <w:numPr>
          <w:ilvl w:val="2"/>
          <w:numId w:val="80"/>
        </w:numPr>
        <w:rPr>
          <w:rFonts w:ascii="Arial" w:cs="Arial" w:eastAsia="Arial" w:hAnsi="Arial"/>
          <w:sz w:val="18"/>
          <w:szCs w:val="18"/>
          <w:color w:val="auto"/>
        </w:rPr>
      </w:pPr>
      <w:r>
        <w:rPr>
          <w:rFonts w:ascii="Arial" w:cs="Arial" w:eastAsia="Arial" w:hAnsi="Arial"/>
          <w:sz w:val="18"/>
          <w:szCs w:val="18"/>
          <w:color w:val="auto"/>
        </w:rPr>
        <w:t>during the period from (and including) the Trade Date to (and including) the Settlement Date, Dealer and its Affiliates may buy or sell Shares or other securities or buy or sell options or futures contracts or enter into swaps or other derivative transactions in order to adjust its Hedge Position with respect to the Transaction;</w:t>
      </w:r>
    </w:p>
    <w:p>
      <w:pPr>
        <w:spacing w:after="0" w:line="181" w:lineRule="exact"/>
        <w:rPr>
          <w:rFonts w:ascii="Arial" w:cs="Arial" w:eastAsia="Arial" w:hAnsi="Arial"/>
          <w:sz w:val="18"/>
          <w:szCs w:val="18"/>
          <w:color w:val="auto"/>
        </w:rPr>
      </w:pPr>
    </w:p>
    <w:p>
      <w:pPr>
        <w:ind w:firstLine="1305"/>
        <w:spacing w:after="0" w:line="324" w:lineRule="auto"/>
        <w:tabs>
          <w:tab w:leader="none" w:pos="2165" w:val="left"/>
        </w:tabs>
        <w:numPr>
          <w:ilvl w:val="2"/>
          <w:numId w:val="80"/>
        </w:numPr>
        <w:rPr>
          <w:rFonts w:ascii="Arial" w:cs="Arial" w:eastAsia="Arial" w:hAnsi="Arial"/>
          <w:sz w:val="18"/>
          <w:szCs w:val="18"/>
          <w:color w:val="auto"/>
        </w:rPr>
      </w:pPr>
      <w:r>
        <w:rPr>
          <w:rFonts w:ascii="Arial" w:cs="Arial" w:eastAsia="Arial" w:hAnsi="Arial"/>
          <w:sz w:val="18"/>
          <w:szCs w:val="18"/>
          <w:color w:val="auto"/>
        </w:rPr>
        <w:t>Dealer and its Affiliates also may be active in the market for the Shares or options, futures contracts, swaps or other derivative transactions relating to the Shares other than in connection with hedging activities in relation to the Transaction;</w:t>
      </w:r>
    </w:p>
    <w:p>
      <w:pPr>
        <w:spacing w:after="0" w:line="170" w:lineRule="exact"/>
        <w:rPr>
          <w:rFonts w:ascii="Arial" w:cs="Arial" w:eastAsia="Arial" w:hAnsi="Arial"/>
          <w:sz w:val="18"/>
          <w:szCs w:val="18"/>
          <w:color w:val="auto"/>
        </w:rPr>
      </w:pPr>
    </w:p>
    <w:p>
      <w:pPr>
        <w:jc w:val="both"/>
        <w:ind w:firstLine="1305"/>
        <w:spacing w:after="0" w:line="311" w:lineRule="auto"/>
        <w:tabs>
          <w:tab w:leader="none" w:pos="2215" w:val="left"/>
        </w:tabs>
        <w:numPr>
          <w:ilvl w:val="2"/>
          <w:numId w:val="80"/>
        </w:numPr>
        <w:rPr>
          <w:rFonts w:ascii="Arial" w:cs="Arial" w:eastAsia="Arial" w:hAnsi="Arial"/>
          <w:sz w:val="18"/>
          <w:szCs w:val="18"/>
          <w:color w:val="auto"/>
        </w:rPr>
      </w:pPr>
      <w:r>
        <w:rPr>
          <w:rFonts w:ascii="Arial" w:cs="Arial" w:eastAsia="Arial" w:hAnsi="Arial"/>
          <w:sz w:val="18"/>
          <w:szCs w:val="18"/>
          <w:color w:val="auto"/>
        </w:rPr>
        <w:t>Dealer shall make its own determination as to whether, when and in what manner any hedging or market activities in Issuer’s securities or other securities or transactions shall be conducted and shall do so in a manner that it deems appropriate to hedge its price and market risk with respect to the Transaction; and</w:t>
      </w:r>
    </w:p>
    <w:p>
      <w:pPr>
        <w:spacing w:after="0" w:line="181" w:lineRule="exact"/>
        <w:rPr>
          <w:rFonts w:ascii="Arial" w:cs="Arial" w:eastAsia="Arial" w:hAnsi="Arial"/>
          <w:sz w:val="18"/>
          <w:szCs w:val="18"/>
          <w:color w:val="auto"/>
        </w:rPr>
      </w:pPr>
    </w:p>
    <w:p>
      <w:pPr>
        <w:ind w:firstLine="1305"/>
        <w:spacing w:after="0" w:line="324" w:lineRule="auto"/>
        <w:tabs>
          <w:tab w:leader="none" w:pos="2205" w:val="left"/>
        </w:tabs>
        <w:numPr>
          <w:ilvl w:val="2"/>
          <w:numId w:val="80"/>
        </w:numPr>
        <w:rPr>
          <w:rFonts w:ascii="Arial" w:cs="Arial" w:eastAsia="Arial" w:hAnsi="Arial"/>
          <w:sz w:val="18"/>
          <w:szCs w:val="18"/>
          <w:color w:val="auto"/>
        </w:rPr>
      </w:pPr>
      <w:r>
        <w:rPr>
          <w:rFonts w:ascii="Arial" w:cs="Arial" w:eastAsia="Arial" w:hAnsi="Arial"/>
          <w:sz w:val="18"/>
          <w:szCs w:val="18"/>
          <w:color w:val="auto"/>
        </w:rPr>
        <w:t>any such market activities of Dealer and its Affiliates may affect the market price and volatility of the Shares, including the 10b-18 VWAP and the Forward Price, each in a manner that may be adverse to Issuer.</w:t>
      </w:r>
    </w:p>
    <w:p>
      <w:pPr>
        <w:sectPr>
          <w:pgSz w:w="11900" w:h="16838" w:orient="portrait"/>
          <w:cols w:equalWidth="0" w:num="1">
            <w:col w:w="11420"/>
          </w:cols>
          <w:pgMar w:left="240" w:top="337"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4"/>
          <w:szCs w:val="14"/>
          <w:color w:val="auto"/>
        </w:rPr>
        <w:t>Page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40" w:hanging="384"/>
        <w:spacing w:after="0"/>
        <w:tabs>
          <w:tab w:leader="none" w:pos="10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Issuer:</w:t>
      </w:r>
    </w:p>
    <w:p>
      <w:pPr>
        <w:spacing w:after="0" w:line="252" w:lineRule="exact"/>
        <w:rPr>
          <w:rFonts w:ascii="Arial" w:cs="Arial" w:eastAsia="Arial" w:hAnsi="Arial"/>
          <w:sz w:val="18"/>
          <w:szCs w:val="18"/>
          <w:color w:val="auto"/>
        </w:rPr>
      </w:pPr>
    </w:p>
    <w:p>
      <w:pPr>
        <w:ind w:left="2120" w:hanging="815"/>
        <w:spacing w:after="0"/>
        <w:tabs>
          <w:tab w:leader="none" w:pos="2120" w:val="left"/>
        </w:tabs>
        <w:numPr>
          <w:ilvl w:val="2"/>
          <w:numId w:val="81"/>
        </w:numPr>
        <w:rPr>
          <w:rFonts w:ascii="Arial" w:cs="Arial" w:eastAsia="Arial" w:hAnsi="Arial"/>
          <w:sz w:val="18"/>
          <w:szCs w:val="18"/>
          <w:color w:val="auto"/>
        </w:rPr>
      </w:pPr>
      <w:r>
        <w:rPr>
          <w:rFonts w:ascii="Arial" w:cs="Arial" w:eastAsia="Arial" w:hAnsi="Arial"/>
          <w:sz w:val="18"/>
          <w:szCs w:val="18"/>
          <w:color w:val="auto"/>
        </w:rPr>
        <w:t>is an “institutional account” as defined in FINRA Rule 4512(c);</w:t>
      </w:r>
    </w:p>
    <w:p>
      <w:pPr>
        <w:spacing w:after="0" w:line="265" w:lineRule="exact"/>
        <w:rPr>
          <w:rFonts w:ascii="Arial" w:cs="Arial" w:eastAsia="Arial" w:hAnsi="Arial"/>
          <w:sz w:val="18"/>
          <w:szCs w:val="18"/>
          <w:color w:val="auto"/>
        </w:rPr>
      </w:pPr>
    </w:p>
    <w:p>
      <w:pPr>
        <w:jc w:val="both"/>
        <w:ind w:right="20" w:firstLine="1305"/>
        <w:spacing w:after="0" w:line="311" w:lineRule="auto"/>
        <w:tabs>
          <w:tab w:leader="none" w:pos="2165" w:val="left"/>
        </w:tabs>
        <w:numPr>
          <w:ilvl w:val="2"/>
          <w:numId w:val="81"/>
        </w:numPr>
        <w:rPr>
          <w:rFonts w:ascii="Arial" w:cs="Arial" w:eastAsia="Arial" w:hAnsi="Arial"/>
          <w:sz w:val="18"/>
          <w:szCs w:val="18"/>
          <w:color w:val="auto"/>
        </w:rPr>
      </w:pPr>
      <w:r>
        <w:rPr>
          <w:rFonts w:ascii="Arial" w:cs="Arial" w:eastAsia="Arial" w:hAnsi="Arial"/>
          <w:sz w:val="18"/>
          <w:szCs w:val="18"/>
          <w:color w:val="auto"/>
        </w:rPr>
        <w:t>is capable of evaluating investment risks independently, both in general and with regard to all transactions and investment strategies involving a security or securities, and will exercise independent judgment in evaluating the recommendations of Dealer or its associated persons, unless it has otherwise notified Dealer in writing; and</w:t>
      </w:r>
    </w:p>
    <w:p>
      <w:pPr>
        <w:spacing w:after="0" w:line="181" w:lineRule="exact"/>
        <w:rPr>
          <w:rFonts w:ascii="Arial" w:cs="Arial" w:eastAsia="Arial" w:hAnsi="Arial"/>
          <w:sz w:val="18"/>
          <w:szCs w:val="18"/>
          <w:color w:val="auto"/>
        </w:rPr>
      </w:pPr>
    </w:p>
    <w:p>
      <w:pPr>
        <w:ind w:left="2220" w:hanging="915"/>
        <w:spacing w:after="0"/>
        <w:tabs>
          <w:tab w:leader="none" w:pos="2220" w:val="left"/>
        </w:tabs>
        <w:numPr>
          <w:ilvl w:val="2"/>
          <w:numId w:val="81"/>
        </w:numPr>
        <w:rPr>
          <w:rFonts w:ascii="Arial" w:cs="Arial" w:eastAsia="Arial" w:hAnsi="Arial"/>
          <w:sz w:val="18"/>
          <w:szCs w:val="18"/>
          <w:color w:val="auto"/>
        </w:rPr>
      </w:pPr>
      <w:r>
        <w:rPr>
          <w:rFonts w:ascii="Arial" w:cs="Arial" w:eastAsia="Arial" w:hAnsi="Arial"/>
          <w:sz w:val="18"/>
          <w:szCs w:val="18"/>
          <w:color w:val="auto"/>
        </w:rPr>
        <w:t>will notify Dealer if any of the statements contained in clause (i) or (ii) of this Section 14(b) ceases to be true.</w:t>
      </w:r>
    </w:p>
    <w:p>
      <w:pPr>
        <w:spacing w:after="0" w:line="256" w:lineRule="exact"/>
        <w:rPr>
          <w:rFonts w:ascii="Arial" w:cs="Arial" w:eastAsia="Arial" w:hAnsi="Arial"/>
          <w:sz w:val="18"/>
          <w:szCs w:val="18"/>
          <w:color w:val="auto"/>
        </w:rPr>
      </w:pPr>
    </w:p>
    <w:p>
      <w:pPr>
        <w:ind w:left="460" w:hanging="452"/>
        <w:spacing w:after="0"/>
        <w:tabs>
          <w:tab w:leader="none" w:pos="460" w:val="left"/>
        </w:tabs>
        <w:numPr>
          <w:ilvl w:val="0"/>
          <w:numId w:val="82"/>
        </w:numPr>
        <w:rPr>
          <w:rFonts w:ascii="Arial" w:cs="Arial" w:eastAsia="Arial" w:hAnsi="Arial"/>
          <w:sz w:val="22"/>
          <w:szCs w:val="22"/>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33" w:lineRule="exact"/>
        <w:rPr>
          <w:rFonts w:ascii="Arial" w:cs="Arial" w:eastAsia="Arial" w:hAnsi="Arial"/>
          <w:sz w:val="22"/>
          <w:szCs w:val="22"/>
          <w:color w:val="auto"/>
        </w:rPr>
      </w:pPr>
    </w:p>
    <w:p>
      <w:pPr>
        <w:ind w:left="460" w:hanging="452"/>
        <w:spacing w:after="0"/>
        <w:tabs>
          <w:tab w:leader="none" w:pos="460" w:val="left"/>
        </w:tabs>
        <w:numPr>
          <w:ilvl w:val="0"/>
          <w:numId w:val="82"/>
        </w:numPr>
        <w:rPr>
          <w:rFonts w:ascii="Arial" w:cs="Arial" w:eastAsia="Arial" w:hAnsi="Arial"/>
          <w:sz w:val="22"/>
          <w:szCs w:val="22"/>
          <w:color w:val="auto"/>
        </w:rPr>
      </w:pPr>
      <w:r>
        <w:rPr>
          <w:rFonts w:ascii="Arial" w:cs="Arial" w:eastAsia="Arial" w:hAnsi="Arial"/>
          <w:sz w:val="18"/>
          <w:szCs w:val="18"/>
          <w:u w:val="single" w:color="auto"/>
          <w:color w:val="auto"/>
        </w:rPr>
        <w:t>Other Provisions</w:t>
      </w:r>
      <w:r>
        <w:rPr>
          <w:rFonts w:ascii="Arial" w:cs="Arial" w:eastAsia="Arial" w:hAnsi="Arial"/>
          <w:sz w:val="18"/>
          <w:szCs w:val="18"/>
          <w:color w:val="auto"/>
        </w:rPr>
        <w:t>.</w:t>
      </w:r>
    </w:p>
    <w:p>
      <w:pPr>
        <w:spacing w:after="0" w:line="215" w:lineRule="exact"/>
        <w:rPr>
          <w:rFonts w:ascii="Arial" w:cs="Arial" w:eastAsia="Arial" w:hAnsi="Arial"/>
          <w:sz w:val="22"/>
          <w:szCs w:val="22"/>
          <w:color w:val="auto"/>
        </w:rPr>
      </w:pPr>
    </w:p>
    <w:p>
      <w:pPr>
        <w:jc w:val="both"/>
        <w:ind w:firstLine="656"/>
        <w:spacing w:after="0" w:line="273" w:lineRule="auto"/>
        <w:tabs>
          <w:tab w:leader="none" w:pos="1059" w:val="left"/>
        </w:tabs>
        <w:numPr>
          <w:ilvl w:val="1"/>
          <w:numId w:val="82"/>
        </w:numPr>
        <w:rPr>
          <w:rFonts w:ascii="Arial" w:cs="Arial" w:eastAsia="Arial" w:hAnsi="Arial"/>
          <w:sz w:val="17"/>
          <w:szCs w:val="17"/>
          <w:color w:val="auto"/>
        </w:rPr>
      </w:pPr>
      <w:r>
        <w:rPr>
          <w:rFonts w:ascii="Arial" w:cs="Arial" w:eastAsia="Arial" w:hAnsi="Arial"/>
          <w:sz w:val="17"/>
          <w:szCs w:val="17"/>
          <w:color w:val="auto"/>
        </w:rPr>
        <w:t>Issuer agrees and acknowledges that Dealer is a “financial institution” and “financial participant” within the meaning of Sections 101(22) and 101(22A) of the Bankruptcy Code. The parties hereto further agree and acknowledge that it is the intent of the parties that (A) this Confirmation is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within the meaning of Section 546 of the Bankruptcy Code, and (B) Dealer is entitled to the protections afforded by, among other sections, Sections 362(b)(6), 362(b)(17), 362(o), 546(e), 555 and 561 of the Bankruptcy Code.</w:t>
      </w:r>
    </w:p>
    <w:p>
      <w:pPr>
        <w:spacing w:after="0" w:line="178" w:lineRule="exact"/>
        <w:rPr>
          <w:rFonts w:ascii="Arial" w:cs="Arial" w:eastAsia="Arial" w:hAnsi="Arial"/>
          <w:sz w:val="17"/>
          <w:szCs w:val="17"/>
          <w:color w:val="auto"/>
        </w:rPr>
      </w:pPr>
    </w:p>
    <w:p>
      <w:pPr>
        <w:jc w:val="both"/>
        <w:ind w:firstLine="656"/>
        <w:spacing w:after="0" w:line="264" w:lineRule="auto"/>
        <w:tabs>
          <w:tab w:leader="none" w:pos="1055"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Dealer and Issuer hereby agree and acknowledge that Dealer has authorized Issuer to disclose the Transaction to any and all persons, and there are no express or implied agreements, arrangements or understandings to the contrary, and authorizes Issuer to use any information that Issuer receives or has received with respect to the Transaction in any manner.</w:t>
      </w:r>
    </w:p>
    <w:p>
      <w:pPr>
        <w:spacing w:after="0" w:line="177" w:lineRule="exact"/>
        <w:rPr>
          <w:rFonts w:ascii="Arial" w:cs="Arial" w:eastAsia="Arial" w:hAnsi="Arial"/>
          <w:sz w:val="18"/>
          <w:szCs w:val="18"/>
          <w:color w:val="auto"/>
        </w:rPr>
      </w:pPr>
    </w:p>
    <w:p>
      <w:pPr>
        <w:jc w:val="both"/>
        <w:ind w:firstLine="656"/>
        <w:spacing w:after="0" w:line="269" w:lineRule="auto"/>
        <w:tabs>
          <w:tab w:leader="none" w:pos="1119" w:val="left"/>
        </w:tabs>
        <w:numPr>
          <w:ilvl w:val="1"/>
          <w:numId w:val="82"/>
        </w:numPr>
        <w:rPr>
          <w:rFonts w:ascii="Arial" w:cs="Arial" w:eastAsia="Arial" w:hAnsi="Arial"/>
          <w:sz w:val="17"/>
          <w:szCs w:val="17"/>
          <w:color w:val="auto"/>
        </w:rPr>
      </w:pPr>
      <w:r>
        <w:rPr>
          <w:rFonts w:ascii="Arial" w:cs="Arial" w:eastAsia="Arial" w:hAnsi="Arial"/>
          <w:sz w:val="17"/>
          <w:szCs w:val="17"/>
          <w:color w:val="auto"/>
        </w:rPr>
        <w:t>In the event Issuer becomes the subject of proceedings (“</w:t>
      </w:r>
      <w:r>
        <w:rPr>
          <w:rFonts w:ascii="Arial" w:cs="Arial" w:eastAsia="Arial" w:hAnsi="Arial"/>
          <w:sz w:val="17"/>
          <w:szCs w:val="17"/>
          <w:b w:val="1"/>
          <w:bCs w:val="1"/>
          <w:color w:val="auto"/>
        </w:rPr>
        <w:t>Bankruptcy Proceedings</w:t>
      </w:r>
      <w:r>
        <w:rPr>
          <w:rFonts w:ascii="Arial" w:cs="Arial" w:eastAsia="Arial" w:hAnsi="Arial"/>
          <w:sz w:val="17"/>
          <w:szCs w:val="17"/>
          <w:color w:val="auto"/>
        </w:rPr>
        <w:t>”) under the Bankruptcy Code or any other applicable bankruptcy or insolvency statute, any rights or claims of Dealer hereunder in respect of the Transaction shall rank for all purposes no higher than, but on a parity with, the rights or claims of holders of Shares, and Dealer hereby agrees that its rights and claims hereunder shall be subordinated to those of all parties with claims or rights against Issuer (other than common stockholders) to the extent necessary to assure such ranking. Without limiting the generality of the foregoing, after the commencement of Bankruptcy Proceedings, the claims of Dealer hereunder shall for all purposes have rights equivalent to the rights of a holder of a percentage of the Shares equal to the aggregate amount of such claims (the “</w:t>
      </w:r>
      <w:r>
        <w:rPr>
          <w:rFonts w:ascii="Arial" w:cs="Arial" w:eastAsia="Arial" w:hAnsi="Arial"/>
          <w:sz w:val="17"/>
          <w:szCs w:val="17"/>
          <w:b w:val="1"/>
          <w:bCs w:val="1"/>
          <w:color w:val="auto"/>
        </w:rPr>
        <w:t>Claim Amount</w:t>
      </w:r>
      <w:r>
        <w:rPr>
          <w:rFonts w:ascii="Arial" w:cs="Arial" w:eastAsia="Arial" w:hAnsi="Arial"/>
          <w:sz w:val="17"/>
          <w:szCs w:val="17"/>
          <w:color w:val="auto"/>
        </w:rPr>
        <w:t>”) taken as a percentage of the sum of (i) the Claim Amount and (ii) the aggregate fair market value of all outstanding Shares on the record date for distributions made to the holders of such Shares in the related Bankruptcy Proceedings. Notwithstanding any right it might otherwise have to assert a higher priority claim in any such Bankruptcy Proceedings, Dealer shall be entitled to receive a distribution solely to the extent and only in the form that a holder of such percentage of the Shares would be entitled to receive in such Bankruptcy Proceedings, and, from and after the commencement of such Bankruptcy Proceedings, Dealer expressly waives (i) any other rights or distributions to which it might otherwise be entitled in such Bankruptcy Proceedings in respect of its rights and claims hereunder and (ii) any rights of setoff it might otherwise be entitled to assert in respect of such rights and claims.</w:t>
      </w:r>
    </w:p>
    <w:p>
      <w:pPr>
        <w:spacing w:after="0" w:line="183" w:lineRule="exact"/>
        <w:rPr>
          <w:rFonts w:ascii="Arial" w:cs="Arial" w:eastAsia="Arial" w:hAnsi="Arial"/>
          <w:sz w:val="17"/>
          <w:szCs w:val="17"/>
          <w:color w:val="auto"/>
        </w:rPr>
      </w:pPr>
    </w:p>
    <w:p>
      <w:pPr>
        <w:ind w:firstLine="656"/>
        <w:spacing w:after="0" w:line="277" w:lineRule="auto"/>
        <w:tabs>
          <w:tab w:leader="none" w:pos="1043" w:val="left"/>
        </w:tabs>
        <w:numPr>
          <w:ilvl w:val="1"/>
          <w:numId w:val="82"/>
        </w:numPr>
        <w:rPr>
          <w:rFonts w:ascii="Arial" w:cs="Arial" w:eastAsia="Arial" w:hAnsi="Arial"/>
          <w:sz w:val="18"/>
          <w:szCs w:val="18"/>
          <w:color w:val="auto"/>
        </w:rPr>
      </w:pPr>
      <w:r>
        <w:rPr>
          <w:rFonts w:ascii="Arial" w:cs="Arial" w:eastAsia="Arial" w:hAnsi="Arial"/>
          <w:sz w:val="18"/>
          <w:szCs w:val="18"/>
          <w:color w:val="auto"/>
        </w:rPr>
        <w:t>Notwithstanding any provision of this Confirmation or any other agreement between the parties to the contrary, neither the obligations of Issuer nor the obligations of Dealer hereunder are secured by any collateral, security interest, pledge or lien.</w:t>
      </w:r>
    </w:p>
    <w:p>
      <w:pPr>
        <w:sectPr>
          <w:pgSz w:w="11900" w:h="16838" w:orient="portrait"/>
          <w:cols w:equalWidth="0" w:num="1">
            <w:col w:w="11420"/>
          </w:cols>
          <w:pgMar w:left="240" w:top="337"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4"/>
          <w:szCs w:val="14"/>
          <w:color w:val="auto"/>
        </w:rPr>
        <w:t>Page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firstLine="656"/>
        <w:spacing w:after="0" w:line="277" w:lineRule="auto"/>
        <w:tabs>
          <w:tab w:leader="none" w:pos="11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Each party waives any and all rights it may have to set off obligations arising under the Agreement and the Transaction against other obligations between the parties, whether arising under any other agreement, applicable law or otherwise.</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088"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Notwithstanding anything to the contrary herein, Dealer may, by prior notice to Issuer, satisfy its obligation to deliver any Shares or other securities on any date due (an “</w:t>
      </w:r>
      <w:r>
        <w:rPr>
          <w:rFonts w:ascii="Arial" w:cs="Arial" w:eastAsia="Arial" w:hAnsi="Arial"/>
          <w:sz w:val="18"/>
          <w:szCs w:val="18"/>
          <w:b w:val="1"/>
          <w:bCs w:val="1"/>
          <w:color w:val="auto"/>
        </w:rPr>
        <w:t>Original Delivery Date</w:t>
      </w:r>
      <w:r>
        <w:rPr>
          <w:rFonts w:ascii="Arial" w:cs="Arial" w:eastAsia="Arial" w:hAnsi="Arial"/>
          <w:sz w:val="18"/>
          <w:szCs w:val="18"/>
          <w:color w:val="auto"/>
        </w:rPr>
        <w:t>”) by making separate deliveries of Shares or such securities, as the case may be, at more than one time on or prior to such Original Delivery Date, so long as the aggregate number of Shares and other securities so delivered on or prior to such Original Delivery Date is equal to the number required to be delivered on such Original Delivery Date.</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053" w:val="left"/>
        </w:tabs>
        <w:numPr>
          <w:ilvl w:val="0"/>
          <w:numId w:val="83"/>
        </w:numPr>
        <w:rPr>
          <w:rFonts w:ascii="Arial" w:cs="Arial" w:eastAsia="Arial" w:hAnsi="Arial"/>
          <w:sz w:val="18"/>
          <w:szCs w:val="18"/>
          <w:color w:val="auto"/>
        </w:rPr>
      </w:pPr>
      <w:r>
        <w:rPr>
          <w:rFonts w:ascii="Arial" w:cs="Arial" w:eastAsia="Arial" w:hAnsi="Arial"/>
          <w:sz w:val="18"/>
          <w:szCs w:val="18"/>
          <w:color w:val="auto"/>
        </w:rPr>
        <w:t>It shall constitute an Additional Termination Event with respect to which the Transaction is the sole Affected Transaction and Issuer is the sole Affected Party and Dealer shall be the party entitled to designate an Early Termination Date pursuant to Section 6(b) of the Agreement if, at any time on or prior to the Valuation Date, the price per Share on the Exchange, as determined by the Calculation Agent, is at or below the Threshold Price (as specified in Schedule I).</w:t>
      </w:r>
    </w:p>
    <w:p>
      <w:pPr>
        <w:spacing w:after="0" w:line="205"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22"/>
          <w:szCs w:val="22"/>
          <w:color w:val="auto"/>
        </w:rPr>
      </w:pPr>
      <w:r>
        <w:rPr>
          <w:rFonts w:ascii="Arial" w:cs="Arial" w:eastAsia="Arial" w:hAnsi="Arial"/>
          <w:sz w:val="18"/>
          <w:szCs w:val="18"/>
          <w:u w:val="single" w:color="auto"/>
          <w:color w:val="auto"/>
        </w:rPr>
        <w:t>Share Cap</w:t>
      </w:r>
      <w:r>
        <w:rPr>
          <w:rFonts w:ascii="Arial" w:cs="Arial" w:eastAsia="Arial" w:hAnsi="Arial"/>
          <w:sz w:val="18"/>
          <w:szCs w:val="18"/>
          <w:color w:val="auto"/>
        </w:rPr>
        <w:t>.</w:t>
      </w: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Notwithstanding any other provision of this Confirmation or the Agreement to the contrary, in no event shall Issuer be required to deliver to Dealer in the aggregate a number of Shares that exceeds the Share Cap as of the date of delivery (as specified in Schedule I).</w:t>
      </w:r>
    </w:p>
    <w:p>
      <w:pPr>
        <w:spacing w:after="0" w:line="188"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22"/>
          <w:szCs w:val="22"/>
          <w:color w:val="auto"/>
        </w:rPr>
      </w:pPr>
      <w:r>
        <w:rPr>
          <w:rFonts w:ascii="Arial" w:cs="Arial" w:eastAsia="Arial" w:hAnsi="Arial"/>
          <w:sz w:val="18"/>
          <w:szCs w:val="18"/>
          <w:u w:val="single" w:color="auto"/>
          <w:color w:val="auto"/>
        </w:rPr>
        <w:t>Transfer and Assignment</w:t>
      </w:r>
      <w:r>
        <w:rPr>
          <w:rFonts w:ascii="Arial" w:cs="Arial" w:eastAsia="Arial" w:hAnsi="Arial"/>
          <w:sz w:val="18"/>
          <w:szCs w:val="18"/>
          <w:color w:val="auto"/>
        </w:rPr>
        <w:t>.</w:t>
      </w:r>
    </w:p>
    <w:p>
      <w:pPr>
        <w:spacing w:after="0" w:line="21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Dealer may transfer or assign its rights and obligations hereunder and under the Agreement (“</w:t>
      </w:r>
      <w:r>
        <w:rPr>
          <w:rFonts w:ascii="Arial" w:cs="Arial" w:eastAsia="Arial" w:hAnsi="Arial"/>
          <w:sz w:val="16"/>
          <w:szCs w:val="16"/>
          <w:b w:val="1"/>
          <w:bCs w:val="1"/>
          <w:color w:val="auto"/>
        </w:rPr>
        <w:t>Transfer</w:t>
      </w:r>
      <w:r>
        <w:rPr>
          <w:rFonts w:ascii="Arial" w:cs="Arial" w:eastAsia="Arial" w:hAnsi="Arial"/>
          <w:sz w:val="16"/>
          <w:szCs w:val="16"/>
          <w:color w:val="auto"/>
        </w:rPr>
        <w:t>”), in whole or in part, to any of its Affiliates that have a credit rating that is not lower than the credit rating of Dealer immediately prior to the proposed time of such Transfer (or whose obligations are guaranteed by an entity of equivalent credit quality) without the consent of Issuer. Dealer will provide prompt written notice of any such transfer to Issuer.</w:t>
      </w:r>
    </w:p>
    <w:p>
      <w:pPr>
        <w:spacing w:after="0" w:line="164"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22"/>
          <w:szCs w:val="22"/>
          <w:color w:val="auto"/>
        </w:rPr>
      </w:pPr>
      <w:r>
        <w:rPr>
          <w:rFonts w:ascii="Arial" w:cs="Arial" w:eastAsia="Arial" w:hAnsi="Arial"/>
          <w:sz w:val="18"/>
          <w:szCs w:val="18"/>
          <w:u w:val="single" w:color="auto"/>
          <w:color w:val="auto"/>
        </w:rPr>
        <w:t>Governing Law; Jurisdiction; Waiver</w:t>
      </w:r>
      <w:r>
        <w:rPr>
          <w:rFonts w:ascii="Arial" w:cs="Arial" w:eastAsia="Arial" w:hAnsi="Arial"/>
          <w:sz w:val="18"/>
          <w:szCs w:val="18"/>
          <w:color w:val="auto"/>
        </w:rPr>
        <w:t>.</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THIS CONFIRMATION AND ANY CLAIM, CONTROVERSY OR DISPUTE ARISING UNDER OR RELATED TO THIS CONFIRMATION SHALL BE GOVERNED BY THE LAWS OF THE STATE OF NEW YORK. THE PARTIES HERETO IRREVOCABLY SUBMIT TO THE EXCLUSIVE JURISDICTION OF THE COURTS OF THE STATE OF NEW YORK AND THE UNITED STATES COURT FOR THE SOUTHERN DISTRICT OF NEW YORK IN CONNECTION WITH ALL MATTERS RELATING HERETO AND WAIVE ANY OBJECTION TO THE LAYING OF VENUE IN, AND ANY CLAIM OF INCONVENIENT FORUM WITH RESPECT TO, THESE COURTS.</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EACH PARTY HEREBY IRREVOCABLY WAIVES (ON ITS OWN BEHALF AND, TO THE EXTENT PERMITTED BY APPLICABLE LAW, ON BEHALF OF ITS STOCKHOLDERS) ALL RIGHT TO TRIAL BY JURY IN ANY ACTION, PROCEEDING OR COUNTERCLAIM (WHETHER BASED ON CONTRACT, TORT OR OTHERWISE) ARISING OUT OF OR RELATING TO THE TRANSACTION OR THE ACTIONS OF ISSUER OR ITS AFFILIATES IN THE NEGOTIATION, PERFORMANCE OR ENFORCEMENT HEREOF.</w:t>
      </w:r>
    </w:p>
    <w:p>
      <w:pPr>
        <w:sectPr>
          <w:pgSz w:w="11900" w:h="16838" w:orient="portrait"/>
          <w:cols w:equalWidth="0" w:num="1">
            <w:col w:w="11420"/>
          </w:cols>
          <w:pgMar w:left="240" w:top="337"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color w:val="auto"/>
        </w:rPr>
        <w:t>Exhibit 10.33</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_________________________________________________________________________________</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Please confirm that the foregoing correctly sets forth the terms of our agreement by executing this Confirmation and returning it to us by facsimile to the number provided on the attached facsimile cover page.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Confirmed as of the date first written above:</w:t>
      </w:r>
    </w:p>
    <w:p>
      <w:pPr>
        <w:spacing w:after="0" w:line="38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ALIGN TECHNOLOGY, INC.</w:t>
      </w:r>
      <w:r>
        <w:rPr>
          <w:sz w:val="20"/>
          <w:szCs w:val="20"/>
          <w:color w:val="auto"/>
        </w:rPr>
        <w:tab/>
      </w:r>
      <w:r>
        <w:rPr>
          <w:rFonts w:ascii="Arial" w:cs="Arial" w:eastAsia="Arial" w:hAnsi="Arial"/>
          <w:sz w:val="17"/>
          <w:szCs w:val="17"/>
          <w:color w:val="auto"/>
        </w:rPr>
        <w:t>MORGAN STANLEY &amp; CO. LLC</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By: /s/ David L. White</w:t>
            </w:r>
          </w:p>
        </w:tc>
        <w:tc>
          <w:tcPr>
            <w:tcW w:w="320" w:type="dxa"/>
            <w:vAlign w:val="bottom"/>
          </w:tcPr>
          <w:p>
            <w:pPr>
              <w:spacing w:after="0"/>
              <w:rPr>
                <w:sz w:val="24"/>
                <w:szCs w:val="24"/>
                <w:color w:val="auto"/>
              </w:rPr>
            </w:pPr>
          </w:p>
        </w:tc>
        <w:tc>
          <w:tcPr>
            <w:tcW w:w="56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By: /s/ Scott McDavid</w:t>
            </w:r>
          </w:p>
        </w:tc>
      </w:tr>
      <w:tr>
        <w:trPr>
          <w:trHeight w:val="243"/>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David L. White</w:t>
            </w:r>
          </w:p>
        </w:tc>
        <w:tc>
          <w:tcPr>
            <w:tcW w:w="5600" w:type="dxa"/>
            <w:vAlign w:val="bottom"/>
          </w:tcPr>
          <w:p>
            <w:pPr>
              <w:ind w:left="40"/>
              <w:spacing w:after="0"/>
              <w:rPr>
                <w:sz w:val="20"/>
                <w:szCs w:val="20"/>
                <w:color w:val="auto"/>
              </w:rPr>
            </w:pPr>
            <w:r>
              <w:rPr>
                <w:rFonts w:ascii="Arial" w:cs="Arial" w:eastAsia="Arial" w:hAnsi="Arial"/>
                <w:sz w:val="18"/>
                <w:szCs w:val="18"/>
                <w:color w:val="auto"/>
              </w:rPr>
              <w:t>Scott McDavid</w:t>
            </w:r>
          </w:p>
        </w:tc>
      </w:tr>
      <w:tr>
        <w:trPr>
          <w:trHeight w:val="270"/>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5600" w:type="dxa"/>
            <w:vAlign w:val="bottom"/>
          </w:tcPr>
          <w:p>
            <w:pPr>
              <w:ind w:left="40"/>
              <w:spacing w:after="0"/>
              <w:rPr>
                <w:sz w:val="20"/>
                <w:szCs w:val="20"/>
                <w:color w:val="auto"/>
              </w:rPr>
            </w:pPr>
            <w:r>
              <w:rPr>
                <w:rFonts w:ascii="Arial" w:cs="Arial" w:eastAsia="Arial" w:hAnsi="Arial"/>
                <w:sz w:val="18"/>
                <w:szCs w:val="18"/>
                <w:color w:val="auto"/>
              </w:rPr>
              <w:t>Managing Director</w:t>
            </w:r>
          </w:p>
        </w:tc>
      </w:tr>
    </w:tbl>
    <w:p>
      <w:pPr>
        <w:sectPr>
          <w:pgSz w:w="11900" w:h="16838" w:orient="portrait"/>
          <w:cols w:equalWidth="0" w:num="1">
            <w:col w:w="11420"/>
          </w:cols>
          <w:pgMar w:left="240" w:top="341"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20"/>
          <w:szCs w:val="20"/>
          <w:color w:val="auto"/>
        </w:rPr>
        <w:t>Exhibit 10.34</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ALIGN TECHNOLOGY,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CEO FORM</w:t>
      </w:r>
    </w:p>
    <w:p>
      <w:pPr>
        <w:jc w:val="center"/>
        <w:spacing w:after="0"/>
        <w:rPr>
          <w:sz w:val="20"/>
          <w:szCs w:val="20"/>
          <w:color w:val="auto"/>
        </w:rPr>
      </w:pPr>
      <w:r>
        <w:rPr>
          <w:rFonts w:ascii="Arial" w:cs="Arial" w:eastAsia="Arial" w:hAnsi="Arial"/>
          <w:sz w:val="20"/>
          <w:szCs w:val="20"/>
          <w:b w:val="1"/>
          <w:bCs w:val="1"/>
          <w:color w:val="auto"/>
        </w:rPr>
        <w:t>AMENDED AND RESTATED 2005 INCENTIVE PLAN</w:t>
      </w:r>
    </w:p>
    <w:p>
      <w:pPr>
        <w:jc w:val="center"/>
        <w:spacing w:after="0"/>
        <w:rPr>
          <w:sz w:val="20"/>
          <w:szCs w:val="20"/>
          <w:color w:val="auto"/>
        </w:rPr>
      </w:pPr>
      <w:r>
        <w:rPr>
          <w:rFonts w:ascii="Arial" w:cs="Arial" w:eastAsia="Arial" w:hAnsi="Arial"/>
          <w:sz w:val="20"/>
          <w:szCs w:val="20"/>
          <w:b w:val="1"/>
          <w:bCs w:val="1"/>
          <w:color w:val="auto"/>
        </w:rPr>
        <w:t>NOTICE OF GRANT OF MARKET STOCK UNITS</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Unless otherwise defined herein, the terms defined in the Amended and Restated 2005 Incentive Plan (the “Plan”) will have the same defined meanings in this Notice of Grant of Market Stock Units (the “Notice of Grant”).</w:t>
      </w:r>
    </w:p>
    <w:p>
      <w:pPr>
        <w:spacing w:after="0" w:line="171"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b w:val="1"/>
          <w:bCs w:val="1"/>
          <w:color w:val="auto"/>
        </w:rPr>
        <w:t>Participant:</w:t>
      </w:r>
      <w:r>
        <w:rPr>
          <w:sz w:val="20"/>
          <w:szCs w:val="20"/>
          <w:color w:val="auto"/>
        </w:rPr>
        <w:tab/>
      </w:r>
      <w:r>
        <w:rPr>
          <w:rFonts w:ascii="Arial" w:cs="Arial" w:eastAsia="Arial" w:hAnsi="Arial"/>
          <w:sz w:val="16"/>
          <w:szCs w:val="16"/>
          <w:color w:val="auto"/>
        </w:rPr>
        <w:t>Joseph M. Hogan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Address</w:t>
      </w:r>
      <w:r>
        <w:rPr>
          <w:rFonts w:ascii="Arial" w:cs="Arial" w:eastAsia="Arial" w:hAnsi="Arial"/>
          <w:sz w:val="20"/>
          <w:szCs w:val="20"/>
          <w:color w:val="auto"/>
        </w:rPr>
        <w:t>:</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You (the “Participant”) have been granted an award (“Award”) of market-performance based Restricted Stock Units (“Market Stock Units”), subject to the terms and conditions of the Plan, this Notice of Grant and the Market Stock Unit Agreement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(the “Agreement”) and consistent with the terms of the Participant’s Amended and Restated Chief Executive Officer Employment Agreement dated April 17, 2015 (the “CEO Employment Agreement”), as follows:</w:t>
      </w:r>
    </w:p>
    <w:p>
      <w:pPr>
        <w:sectPr>
          <w:pgSz w:w="11900" w:h="16838" w:orient="portrait"/>
          <w:cols w:equalWidth="0" w:num="1">
            <w:col w:w="11420"/>
          </w:cols>
          <w:pgMar w:left="240" w:top="121" w:right="239" w:bottom="1440" w:gutter="0" w:footer="0" w:header="0"/>
        </w:sectPr>
      </w:pP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June 1, 2015</w:t>
      </w:r>
    </w:p>
    <w:p>
      <w:pPr>
        <w:spacing w:after="0" w:line="222" w:lineRule="exact"/>
        <w:rPr>
          <w:sz w:val="20"/>
          <w:szCs w:val="20"/>
          <w:color w:val="auto"/>
        </w:rPr>
      </w:pPr>
    </w:p>
    <w:p>
      <w:pPr>
        <w:sectPr>
          <w:pgSz w:w="11900" w:h="16838" w:orient="portrait"/>
          <w:cols w:equalWidth="0" w:num="2">
            <w:col w:w="3820" w:space="720"/>
            <w:col w:w="6880"/>
          </w:cols>
          <w:pgMar w:left="240" w:top="121" w:right="239" w:bottom="1440" w:gutter="0" w:footer="0" w:header="0"/>
          <w:type w:val="continuous"/>
        </w:sectPr>
      </w:pP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Target Number of Market Stock Units: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111,000 Market Stock Units (the “Target Number of Market Stock Units”)</w:t>
      </w:r>
    </w:p>
    <w:p>
      <w:pPr>
        <w:spacing w:after="0" w:line="200" w:lineRule="exact"/>
        <w:rPr>
          <w:sz w:val="20"/>
          <w:szCs w:val="20"/>
          <w:color w:val="auto"/>
        </w:rPr>
      </w:pPr>
    </w:p>
    <w:p>
      <w:pPr>
        <w:sectPr>
          <w:pgSz w:w="11900" w:h="16838" w:orient="portrait"/>
          <w:cols w:equalWidth="0" w:num="2">
            <w:col w:w="3820" w:space="720"/>
            <w:col w:w="6880"/>
          </w:cols>
          <w:pgMar w:left="240" w:top="121" w:right="239" w:bottom="1440" w:gutter="0" w:footer="0" w:header="0"/>
          <w:type w:val="continuous"/>
        </w:sectPr>
      </w:pP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Maximum Number of Market Stock Units: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166,500 (the “Maximum Number of Market Stock Units”)</w:t>
      </w:r>
    </w:p>
    <w:p>
      <w:pPr>
        <w:spacing w:after="0" w:line="200" w:lineRule="exact"/>
        <w:rPr>
          <w:sz w:val="20"/>
          <w:szCs w:val="20"/>
          <w:color w:val="auto"/>
        </w:rPr>
      </w:pPr>
    </w:p>
    <w:p>
      <w:pPr>
        <w:sectPr>
          <w:pgSz w:w="11900" w:h="16838" w:orient="portrait"/>
          <w:cols w:equalWidth="0" w:num="2">
            <w:col w:w="4040" w:space="500"/>
            <w:col w:w="6880"/>
          </w:cols>
          <w:pgMar w:left="240" w:top="121" w:right="239" w:bottom="1440" w:gutter="0" w:footer="0" w:header="0"/>
          <w:type w:val="continuous"/>
        </w:sectPr>
      </w:pPr>
    </w:p>
    <w:p>
      <w:pPr>
        <w:spacing w:after="0" w:line="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Performance Period:</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Three years from the Date of Grant (the “Performance Period”). The Performance Period is subject to adjustment under certain limited circumstances under Section 3(a) of Exhibit A below.</w:t>
      </w:r>
    </w:p>
    <w:p>
      <w:pPr>
        <w:spacing w:after="0" w:line="186" w:lineRule="exact"/>
        <w:rPr>
          <w:sz w:val="20"/>
          <w:szCs w:val="20"/>
          <w:color w:val="auto"/>
        </w:rPr>
      </w:pPr>
    </w:p>
    <w:p>
      <w:pPr>
        <w:sectPr>
          <w:pgSz w:w="11900" w:h="16838" w:orient="portrait"/>
          <w:cols w:equalWidth="0" w:num="2">
            <w:col w:w="3820" w:space="720"/>
            <w:col w:w="6880"/>
          </w:cols>
          <w:pgMar w:left="240" w:top="121" w:right="23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Performance Matrix:</w:t>
      </w:r>
    </w:p>
    <w:p>
      <w:pPr>
        <w:spacing w:after="0" w:line="20" w:lineRule="exact"/>
        <w:rPr>
          <w:sz w:val="20"/>
          <w:szCs w:val="20"/>
          <w:color w:val="auto"/>
        </w:rPr>
      </w:pPr>
      <w:r>
        <w:rPr>
          <w:sz w:val="20"/>
          <w:szCs w:val="20"/>
          <w:color w:val="auto"/>
        </w:rPr>
        <w:br w:type="column"/>
      </w:r>
    </w:p>
    <w:p>
      <w:pPr>
        <w:jc w:val="both"/>
        <w:spacing w:after="0" w:line="244" w:lineRule="auto"/>
        <w:rPr>
          <w:sz w:val="20"/>
          <w:szCs w:val="20"/>
          <w:color w:val="auto"/>
        </w:rPr>
      </w:pPr>
      <w:r>
        <w:rPr>
          <w:rFonts w:ascii="Arial" w:cs="Arial" w:eastAsia="Arial" w:hAnsi="Arial"/>
          <w:sz w:val="20"/>
          <w:szCs w:val="20"/>
          <w:color w:val="auto"/>
        </w:rPr>
        <w:t>The number of Market Stock Units in which Participant may vest in accordance with the Vesting Schedule will depend upon the Company’s Stock Price Performance (as defined below) as compared to the NASDAQ Composite Stock Price Performance (as defined below) for the Performance Period and will be determined in accordance with Section 1 of Exhibit A.</w:t>
      </w:r>
    </w:p>
    <w:p>
      <w:pPr>
        <w:spacing w:after="0" w:line="195" w:lineRule="exact"/>
        <w:rPr>
          <w:sz w:val="20"/>
          <w:szCs w:val="20"/>
          <w:color w:val="auto"/>
        </w:rPr>
      </w:pPr>
    </w:p>
    <w:p>
      <w:pPr>
        <w:sectPr>
          <w:pgSz w:w="11900" w:h="16838" w:orient="portrait"/>
          <w:cols w:equalWidth="0" w:num="2">
            <w:col w:w="3820" w:space="720"/>
            <w:col w:w="6880"/>
          </w:cols>
          <w:pgMar w:left="240" w:top="121"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Vesting Schedule:</w:t>
      </w:r>
    </w:p>
    <w:p>
      <w:pPr>
        <w:spacing w:after="0" w:line="20" w:lineRule="exact"/>
        <w:rPr>
          <w:sz w:val="20"/>
          <w:szCs w:val="20"/>
          <w:color w:val="auto"/>
        </w:rPr>
      </w:pPr>
      <w:r>
        <w:rPr>
          <w:sz w:val="20"/>
          <w:szCs w:val="20"/>
          <w:color w:val="auto"/>
        </w:rPr>
        <w:br w:type="column"/>
      </w:r>
    </w:p>
    <w:p>
      <w:pPr>
        <w:jc w:val="both"/>
        <w:spacing w:after="0" w:line="243" w:lineRule="auto"/>
        <w:rPr>
          <w:sz w:val="20"/>
          <w:szCs w:val="20"/>
          <w:color w:val="auto"/>
        </w:rPr>
      </w:pPr>
      <w:r>
        <w:rPr>
          <w:rFonts w:ascii="Arial" w:cs="Arial" w:eastAsia="Arial" w:hAnsi="Arial"/>
          <w:sz w:val="20"/>
          <w:szCs w:val="20"/>
          <w:color w:val="auto"/>
        </w:rPr>
        <w:t>Subject to the terms and conditions of the Plan and the provisions in the attached Market Stock Unit Agreement and consistent with the Participant’s CEO Employment Agreement, the Participant will vest in his or her Calculated Market Stock Units (as defined below) on the 3-year anniversary of the Date of Grant (the “Measurement Date”). The schedule by which the Calculated Market Stock Units may vest is subject to</w:t>
      </w:r>
    </w:p>
    <w:p>
      <w:pPr>
        <w:sectPr>
          <w:pgSz w:w="11900" w:h="16838" w:orient="portrait"/>
          <w:cols w:equalWidth="0" w:num="2">
            <w:col w:w="3820" w:space="720"/>
            <w:col w:w="6880"/>
          </w:cols>
          <w:pgMar w:left="240" w:top="121" w:right="239" w:bottom="1440" w:gutter="0" w:footer="0" w:header="0"/>
          <w:type w:val="continuous"/>
        </w:sectPr>
      </w:pPr>
    </w:p>
    <w:bookmarkStart w:id="94" w:name="page95"/>
    <w:bookmarkEnd w:id="94"/>
    <w:p>
      <w:pPr>
        <w:ind w:left="4540"/>
        <w:spacing w:after="0" w:line="289" w:lineRule="auto"/>
        <w:rPr>
          <w:sz w:val="20"/>
          <w:szCs w:val="20"/>
          <w:color w:val="auto"/>
        </w:rPr>
      </w:pPr>
      <w:r>
        <w:rPr>
          <w:rFonts w:ascii="Arial" w:cs="Arial" w:eastAsia="Arial" w:hAnsi="Arial"/>
          <w:sz w:val="20"/>
          <w:szCs w:val="20"/>
          <w:color w:val="auto"/>
        </w:rPr>
        <w:t>adjustment and acceleration under certain limited circumstances under Section 3 of Exhibit A below).</w:t>
      </w:r>
    </w:p>
    <w:p>
      <w:pPr>
        <w:spacing w:after="0" w:line="1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By accepting this agreement online, you and the Company agree that this Award is granted under and governed by the terms and conditions of the Plan and the Agreement, each of which are made a part of this document. You further agree to accept, acknowledge and execute this Agreement as a condition to receiving any Market Stock Units under this Award.</w:t>
      </w:r>
    </w:p>
    <w:p>
      <w:pPr>
        <w:spacing w:after="0" w:line="15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Nothing in this Notice of Grant or in the attached Agreement or in the Plan shall confer upon Participant any right to continue in service for any period of specific duration or interfere with or otherwise restrict in any way the rights of the Company (or any Parent or Subsidiary employing or retaining Participant) or of Participant, which rights are hereby expressly reserved by each, to terminate Participant’s service at any time for any reason, with or without cause.</w:t>
      </w:r>
    </w:p>
    <w:p>
      <w:pPr>
        <w:spacing w:after="0" w:line="200" w:lineRule="exact"/>
        <w:rPr>
          <w:sz w:val="20"/>
          <w:szCs w:val="20"/>
          <w:color w:val="auto"/>
        </w:rPr>
      </w:pPr>
    </w:p>
    <w:p>
      <w:pPr>
        <w:spacing w:after="0" w:line="25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w:t>
      </w:r>
      <w:r>
        <w:rPr>
          <w:rFonts w:ascii="Arial" w:cs="Arial" w:eastAsia="Arial" w:hAnsi="Arial"/>
          <w:sz w:val="21"/>
          <w:szCs w:val="21"/>
          <w:color w:val="auto"/>
        </w:rPr>
        <w:t>2-</w:t>
      </w:r>
    </w:p>
    <w:p>
      <w:pPr>
        <w:sectPr>
          <w:pgSz w:w="11900" w:h="16838" w:orient="portrait"/>
          <w:cols w:equalWidth="0" w:num="1">
            <w:col w:w="11420"/>
          </w:cols>
          <w:pgMar w:left="240" w:top="595"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MARKET STOCK UNIT AGREEMENT</w:t>
      </w:r>
    </w:p>
    <w:p>
      <w:pPr>
        <w:spacing w:after="0" w:line="235" w:lineRule="exact"/>
        <w:rPr>
          <w:sz w:val="20"/>
          <w:szCs w:val="20"/>
          <w:color w:val="auto"/>
        </w:rPr>
      </w:pPr>
    </w:p>
    <w:p>
      <w:pPr>
        <w:ind w:left="1460" w:hanging="804"/>
        <w:spacing w:after="0"/>
        <w:tabs>
          <w:tab w:leader="none" w:pos="1460"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Grant</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firstLine="1305"/>
        <w:spacing w:after="0" w:line="289" w:lineRule="auto"/>
        <w:tabs>
          <w:tab w:leader="none" w:pos="2164" w:val="left"/>
        </w:tabs>
        <w:numPr>
          <w:ilvl w:val="1"/>
          <w:numId w:val="87"/>
        </w:numPr>
        <w:rPr>
          <w:rFonts w:ascii="Arial" w:cs="Arial" w:eastAsia="Arial" w:hAnsi="Arial"/>
          <w:sz w:val="20"/>
          <w:szCs w:val="20"/>
          <w:color w:val="auto"/>
        </w:rPr>
      </w:pPr>
      <w:r>
        <w:rPr>
          <w:rFonts w:ascii="Arial" w:cs="Arial" w:eastAsia="Arial" w:hAnsi="Arial"/>
          <w:sz w:val="20"/>
          <w:szCs w:val="20"/>
          <w:color w:val="auto"/>
        </w:rPr>
        <w:t>The Company hereby grants to Participant under the Plan an Award of Market Stock Units, subject to all of the terms and conditions in the Notice of Grant, this Agreement and the Plan.</w:t>
      </w:r>
    </w:p>
    <w:p>
      <w:pPr>
        <w:spacing w:after="0" w:line="175" w:lineRule="exact"/>
        <w:rPr>
          <w:rFonts w:ascii="Arial" w:cs="Arial" w:eastAsia="Arial" w:hAnsi="Arial"/>
          <w:sz w:val="20"/>
          <w:szCs w:val="20"/>
          <w:color w:val="auto"/>
        </w:rPr>
      </w:pPr>
    </w:p>
    <w:p>
      <w:pPr>
        <w:jc w:val="both"/>
        <w:ind w:firstLine="1305"/>
        <w:spacing w:after="0" w:line="278" w:lineRule="auto"/>
        <w:tabs>
          <w:tab w:leader="none" w:pos="2175" w:val="left"/>
        </w:tabs>
        <w:numPr>
          <w:ilvl w:val="1"/>
          <w:numId w:val="87"/>
        </w:numPr>
        <w:rPr>
          <w:rFonts w:ascii="Arial" w:cs="Arial" w:eastAsia="Arial" w:hAnsi="Arial"/>
          <w:sz w:val="20"/>
          <w:szCs w:val="20"/>
          <w:color w:val="auto"/>
        </w:rPr>
      </w:pPr>
      <w:r>
        <w:rPr>
          <w:rFonts w:ascii="Arial" w:cs="Arial" w:eastAsia="Arial" w:hAnsi="Arial"/>
          <w:sz w:val="20"/>
          <w:szCs w:val="20"/>
          <w:color w:val="auto"/>
        </w:rPr>
        <w:t>Subject to Section 3 below, the number of Market Stock Units in which the Participant may vest in accordance with the Vesting Schedule set forth in the Notice of Grant will depend upon the Company’s Stock Price Performance as compared to the NASDAQ Composite Index Performance calculated on the Measurement Date, determined as follows:</w:t>
      </w:r>
    </w:p>
    <w:p>
      <w:pPr>
        <w:spacing w:after="0" w:line="186" w:lineRule="exact"/>
        <w:rPr>
          <w:rFonts w:ascii="Arial" w:cs="Arial" w:eastAsia="Arial" w:hAnsi="Arial"/>
          <w:sz w:val="20"/>
          <w:szCs w:val="20"/>
          <w:color w:val="auto"/>
        </w:rPr>
      </w:pPr>
    </w:p>
    <w:p>
      <w:pPr>
        <w:ind w:left="2780" w:hanging="503"/>
        <w:spacing w:after="0"/>
        <w:tabs>
          <w:tab w:leader="none" w:pos="2780" w:val="left"/>
        </w:tabs>
        <w:numPr>
          <w:ilvl w:val="2"/>
          <w:numId w:val="87"/>
        </w:numPr>
        <w:rPr>
          <w:rFonts w:ascii="Arial" w:cs="Arial" w:eastAsia="Arial" w:hAnsi="Arial"/>
          <w:sz w:val="20"/>
          <w:szCs w:val="20"/>
          <w:color w:val="auto"/>
        </w:rPr>
      </w:pPr>
      <w:r>
        <w:rPr>
          <w:rFonts w:ascii="Arial" w:cs="Arial" w:eastAsia="Arial" w:hAnsi="Arial"/>
          <w:sz w:val="20"/>
          <w:szCs w:val="20"/>
          <w:u w:val="single" w:color="auto"/>
          <w:color w:val="auto"/>
        </w:rPr>
        <w:t>Performance Calculation</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firstLine="2601"/>
        <w:spacing w:after="0" w:line="274" w:lineRule="auto"/>
        <w:tabs>
          <w:tab w:leader="none" w:pos="3390" w:val="left"/>
        </w:tabs>
        <w:numPr>
          <w:ilvl w:val="3"/>
          <w:numId w:val="87"/>
        </w:numPr>
        <w:rPr>
          <w:rFonts w:ascii="Arial" w:cs="Arial" w:eastAsia="Arial" w:hAnsi="Arial"/>
          <w:sz w:val="20"/>
          <w:szCs w:val="20"/>
          <w:color w:val="auto"/>
        </w:rPr>
      </w:pPr>
      <w:r>
        <w:rPr>
          <w:rFonts w:ascii="Arial" w:cs="Arial" w:eastAsia="Arial" w:hAnsi="Arial"/>
          <w:sz w:val="20"/>
          <w:szCs w:val="20"/>
          <w:color w:val="auto"/>
        </w:rPr>
        <w:t>The “Company’s Stock Price Performance” means the percentage increase or decrease in (i) the average adjusted closing price per share of the Company’s common stock for the last 60 market trading days prior to the commencement of the Performance Period over (ii) the average adjusted closing price of the Company’s common stock for the last 60 market trading days prior to the Measurement Date.</w:t>
      </w:r>
    </w:p>
    <w:p>
      <w:pPr>
        <w:spacing w:after="0" w:line="192" w:lineRule="exact"/>
        <w:rPr>
          <w:rFonts w:ascii="Arial" w:cs="Arial" w:eastAsia="Arial" w:hAnsi="Arial"/>
          <w:sz w:val="20"/>
          <w:szCs w:val="20"/>
          <w:color w:val="auto"/>
        </w:rPr>
      </w:pPr>
    </w:p>
    <w:p>
      <w:pPr>
        <w:jc w:val="both"/>
        <w:ind w:firstLine="2601"/>
        <w:spacing w:after="0" w:line="322" w:lineRule="auto"/>
        <w:tabs>
          <w:tab w:leader="none" w:pos="3390" w:val="left"/>
        </w:tabs>
        <w:numPr>
          <w:ilvl w:val="3"/>
          <w:numId w:val="87"/>
        </w:numPr>
        <w:rPr>
          <w:rFonts w:ascii="Arial" w:cs="Arial" w:eastAsia="Arial" w:hAnsi="Arial"/>
          <w:sz w:val="18"/>
          <w:szCs w:val="18"/>
          <w:color w:val="auto"/>
        </w:rPr>
      </w:pPr>
      <w:r>
        <w:rPr>
          <w:rFonts w:ascii="Arial" w:cs="Arial" w:eastAsia="Arial" w:hAnsi="Arial"/>
          <w:sz w:val="18"/>
          <w:szCs w:val="18"/>
          <w:color w:val="auto"/>
        </w:rPr>
        <w:t>The “NASDAQ Composite Index Performance” means the percentage increase or decrease in (i) the adjusted index value of the NASDAQ Composite Index for the last 60 market trading days prior to the commencement of the Performance Period over (ii) the adjusted index value of the NAQDAQ Composite Index for the last 60 market trading days prior to the Measurement Date.</w:t>
      </w:r>
    </w:p>
    <w:p>
      <w:pPr>
        <w:spacing w:after="0" w:line="152" w:lineRule="exact"/>
        <w:rPr>
          <w:rFonts w:ascii="Arial" w:cs="Arial" w:eastAsia="Arial" w:hAnsi="Arial"/>
          <w:sz w:val="18"/>
          <w:szCs w:val="18"/>
          <w:color w:val="auto"/>
        </w:rPr>
      </w:pPr>
    </w:p>
    <w:p>
      <w:pPr>
        <w:jc w:val="both"/>
        <w:ind w:firstLine="2601"/>
        <w:spacing w:after="0" w:line="322" w:lineRule="auto"/>
        <w:tabs>
          <w:tab w:leader="none" w:pos="3390" w:val="left"/>
        </w:tabs>
        <w:numPr>
          <w:ilvl w:val="3"/>
          <w:numId w:val="87"/>
        </w:numPr>
        <w:rPr>
          <w:rFonts w:ascii="Arial" w:cs="Arial" w:eastAsia="Arial" w:hAnsi="Arial"/>
          <w:sz w:val="18"/>
          <w:szCs w:val="18"/>
          <w:color w:val="auto"/>
        </w:rPr>
      </w:pPr>
      <w:r>
        <w:rPr>
          <w:rFonts w:ascii="Arial" w:cs="Arial" w:eastAsia="Arial" w:hAnsi="Arial"/>
          <w:sz w:val="18"/>
          <w:szCs w:val="18"/>
          <w:color w:val="auto"/>
        </w:rPr>
        <w:t>The Company’s Stock Price Performance will be compared against the NASDAQ Composite Index Performance (each expressed as a growth rate percentage) to result in a growth rate (the “Growth Rate Delta”) equal to the Company’s Stock Price Performance minus the NASDAQ Composite Index Performance. The Growth Rate Delta will be calculated on the Measurement Date.</w:t>
      </w:r>
    </w:p>
    <w:p>
      <w:pPr>
        <w:spacing w:after="0" w:line="152" w:lineRule="exact"/>
        <w:rPr>
          <w:rFonts w:ascii="Arial" w:cs="Arial" w:eastAsia="Arial" w:hAnsi="Arial"/>
          <w:sz w:val="18"/>
          <w:szCs w:val="18"/>
          <w:color w:val="auto"/>
        </w:rPr>
      </w:pPr>
    </w:p>
    <w:p>
      <w:pPr>
        <w:ind w:left="2840" w:hanging="563"/>
        <w:spacing w:after="0"/>
        <w:tabs>
          <w:tab w:leader="none" w:pos="2840" w:val="left"/>
        </w:tabs>
        <w:numPr>
          <w:ilvl w:val="2"/>
          <w:numId w:val="87"/>
        </w:numPr>
        <w:rPr>
          <w:rFonts w:ascii="Arial" w:cs="Arial" w:eastAsia="Arial" w:hAnsi="Arial"/>
          <w:sz w:val="20"/>
          <w:szCs w:val="20"/>
          <w:color w:val="auto"/>
        </w:rPr>
      </w:pPr>
      <w:r>
        <w:rPr>
          <w:rFonts w:ascii="Arial" w:cs="Arial" w:eastAsia="Arial" w:hAnsi="Arial"/>
          <w:sz w:val="20"/>
          <w:szCs w:val="20"/>
          <w:u w:val="single" w:color="auto"/>
          <w:color w:val="auto"/>
        </w:rPr>
        <w:t>Market Stock Unit Calculation</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right="20" w:firstLine="2601"/>
        <w:spacing w:after="0" w:line="287" w:lineRule="auto"/>
        <w:tabs>
          <w:tab w:leader="none" w:pos="2921" w:val="left"/>
        </w:tabs>
        <w:numPr>
          <w:ilvl w:val="3"/>
          <w:numId w:val="87"/>
        </w:numPr>
        <w:rPr>
          <w:rFonts w:ascii="Arial" w:cs="Arial" w:eastAsia="Arial" w:hAnsi="Arial"/>
          <w:sz w:val="19"/>
          <w:szCs w:val="19"/>
          <w:color w:val="auto"/>
        </w:rPr>
      </w:pPr>
      <w:r>
        <w:rPr>
          <w:rFonts w:ascii="Arial" w:cs="Arial" w:eastAsia="Arial" w:hAnsi="Arial"/>
          <w:sz w:val="19"/>
          <w:szCs w:val="19"/>
          <w:color w:val="auto"/>
        </w:rPr>
        <w:t>If the Growth Rate Delta is equal to 0%, the number of Market Stock Units that will be eligible to vest (the “Calculated Market Stock Units”) on the Measurement Date will equal 100% of the Target Number of Market Stock Units.</w:t>
      </w:r>
    </w:p>
    <w:p>
      <w:pPr>
        <w:spacing w:after="0" w:line="152" w:lineRule="exact"/>
        <w:rPr>
          <w:rFonts w:ascii="Arial" w:cs="Arial" w:eastAsia="Arial" w:hAnsi="Arial"/>
          <w:sz w:val="19"/>
          <w:szCs w:val="19"/>
          <w:color w:val="auto"/>
        </w:rPr>
      </w:pPr>
    </w:p>
    <w:p>
      <w:pPr>
        <w:jc w:val="both"/>
        <w:ind w:firstLine="2601"/>
        <w:spacing w:after="0" w:line="244" w:lineRule="auto"/>
        <w:tabs>
          <w:tab w:leader="none" w:pos="3043" w:val="left"/>
        </w:tabs>
        <w:numPr>
          <w:ilvl w:val="3"/>
          <w:numId w:val="87"/>
        </w:numPr>
        <w:rPr>
          <w:rFonts w:ascii="Arial" w:cs="Arial" w:eastAsia="Arial" w:hAnsi="Arial"/>
          <w:sz w:val="20"/>
          <w:szCs w:val="20"/>
          <w:color w:val="auto"/>
        </w:rPr>
      </w:pPr>
      <w:r>
        <w:rPr>
          <w:rFonts w:ascii="Arial" w:cs="Arial" w:eastAsia="Arial" w:hAnsi="Arial"/>
          <w:sz w:val="20"/>
          <w:szCs w:val="20"/>
          <w:color w:val="auto"/>
        </w:rPr>
        <w:t>If the Growth Rate Delta is greater or less than 0%, the number of Market Stock Units that will be Calculated Market Stock Units will equal: (i) the Target Number of Market Stock Units, multiplied by (ii) the sum of (A) 100% plus (B) two times the Growth Rate Delta; provided, however, that in no event will more than the Maximum Number of Market Stock Units become Calculated Market Stock Units. If the Growth Rate Delta is less than or equal to negative-50%, then the number of Target Market Stock Units that will become Calculated Market Stock Units will equal 0.</w:t>
      </w:r>
    </w:p>
    <w:p>
      <w:pPr>
        <w:spacing w:after="0" w:line="231"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w:t>
      </w:r>
      <w:r>
        <w:rPr>
          <w:rFonts w:ascii="Arial" w:cs="Arial" w:eastAsia="Arial" w:hAnsi="Arial"/>
          <w:sz w:val="21"/>
          <w:szCs w:val="21"/>
          <w:color w:val="auto"/>
        </w:rPr>
        <w:t>3-</w:t>
      </w:r>
    </w:p>
    <w:p>
      <w:pPr>
        <w:sectPr>
          <w:pgSz w:w="11900" w:h="16838" w:orient="portrait"/>
          <w:cols w:equalWidth="0" w:num="1">
            <w:col w:w="11420"/>
          </w:cols>
          <w:pgMar w:left="240" w:top="805" w:right="239" w:bottom="1440" w:gutter="0" w:footer="0" w:header="0"/>
        </w:sectPr>
      </w:pPr>
    </w:p>
    <w:bookmarkStart w:id="96" w:name="page97"/>
    <w:bookmarkEnd w:id="96"/>
    <w:p>
      <w:pPr>
        <w:ind w:left="2892" w:hanging="623"/>
        <w:spacing w:after="0"/>
        <w:tabs>
          <w:tab w:leader="none" w:pos="2892" w:val="left"/>
        </w:tabs>
        <w:numPr>
          <w:ilvl w:val="3"/>
          <w:numId w:val="88"/>
        </w:numPr>
        <w:rPr>
          <w:rFonts w:ascii="Arial" w:cs="Arial" w:eastAsia="Arial" w:hAnsi="Arial"/>
          <w:sz w:val="20"/>
          <w:szCs w:val="20"/>
          <w:color w:val="auto"/>
        </w:rPr>
      </w:pPr>
      <w:r>
        <w:rPr>
          <w:rFonts w:ascii="Arial" w:cs="Arial" w:eastAsia="Arial" w:hAnsi="Arial"/>
          <w:sz w:val="20"/>
          <w:szCs w:val="20"/>
          <w:u w:val="single" w:color="auto"/>
          <w:color w:val="auto"/>
        </w:rPr>
        <w:t>Examples (for illustration purposes only)</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8" w:firstLine="2601"/>
        <w:spacing w:after="0" w:line="260" w:lineRule="auto"/>
        <w:tabs>
          <w:tab w:leader="none" w:pos="2913" w:val="left"/>
        </w:tabs>
        <w:numPr>
          <w:ilvl w:val="4"/>
          <w:numId w:val="88"/>
        </w:numPr>
        <w:rPr>
          <w:rFonts w:ascii="Arial" w:cs="Arial" w:eastAsia="Arial" w:hAnsi="Arial"/>
          <w:sz w:val="20"/>
          <w:szCs w:val="20"/>
          <w:color w:val="auto"/>
        </w:rPr>
      </w:pPr>
      <w:r>
        <w:rPr>
          <w:rFonts w:ascii="Arial" w:cs="Arial" w:eastAsia="Arial" w:hAnsi="Arial"/>
          <w:sz w:val="20"/>
          <w:szCs w:val="20"/>
          <w:color w:val="auto"/>
        </w:rPr>
        <w:t>Example #1: If the Growth Rate Delta equaled 20%, then 140% (equal to 100% plus (2 times 20%)) of the Target Number of Market Stock Units would be Calculated Market Stock Units.</w:t>
      </w:r>
    </w:p>
    <w:p>
      <w:pPr>
        <w:spacing w:after="0" w:line="176" w:lineRule="exact"/>
        <w:rPr>
          <w:rFonts w:ascii="Arial" w:cs="Arial" w:eastAsia="Arial" w:hAnsi="Arial"/>
          <w:sz w:val="20"/>
          <w:szCs w:val="20"/>
          <w:color w:val="auto"/>
        </w:rPr>
      </w:pPr>
    </w:p>
    <w:p>
      <w:pPr>
        <w:ind w:left="-8" w:right="20" w:firstLine="2601"/>
        <w:spacing w:after="0" w:line="260" w:lineRule="auto"/>
        <w:tabs>
          <w:tab w:leader="none" w:pos="3008" w:val="left"/>
        </w:tabs>
        <w:numPr>
          <w:ilvl w:val="4"/>
          <w:numId w:val="88"/>
        </w:numPr>
        <w:rPr>
          <w:rFonts w:ascii="Arial" w:cs="Arial" w:eastAsia="Arial" w:hAnsi="Arial"/>
          <w:sz w:val="20"/>
          <w:szCs w:val="20"/>
          <w:color w:val="auto"/>
        </w:rPr>
      </w:pPr>
      <w:r>
        <w:rPr>
          <w:rFonts w:ascii="Arial" w:cs="Arial" w:eastAsia="Arial" w:hAnsi="Arial"/>
          <w:sz w:val="20"/>
          <w:szCs w:val="20"/>
          <w:color w:val="auto"/>
        </w:rPr>
        <w:t>Example #2: If the Growth Rate Delta equaled negative-20%, then 60% (equal to 100% plus 2 times negative-20%)) of the Target Number of Market Stock Units would be Calculated Market Stock Units.</w:t>
      </w:r>
    </w:p>
    <w:p>
      <w:pPr>
        <w:spacing w:after="0" w:line="190" w:lineRule="exact"/>
        <w:rPr>
          <w:rFonts w:ascii="Arial" w:cs="Arial" w:eastAsia="Arial" w:hAnsi="Arial"/>
          <w:sz w:val="20"/>
          <w:szCs w:val="20"/>
          <w:color w:val="auto"/>
        </w:rPr>
      </w:pPr>
    </w:p>
    <w:p>
      <w:pPr>
        <w:jc w:val="both"/>
        <w:ind w:left="-8" w:right="20" w:firstLine="656"/>
        <w:spacing w:after="0" w:line="290" w:lineRule="auto"/>
        <w:tabs>
          <w:tab w:leader="none" w:pos="1437" w:val="left"/>
        </w:tabs>
        <w:numPr>
          <w:ilvl w:val="1"/>
          <w:numId w:val="89"/>
        </w:numPr>
        <w:rPr>
          <w:rFonts w:ascii="Arial" w:cs="Arial" w:eastAsia="Arial" w:hAnsi="Arial"/>
          <w:sz w:val="19"/>
          <w:szCs w:val="19"/>
          <w:color w:val="auto"/>
        </w:rPr>
      </w:pPr>
      <w:r>
        <w:rPr>
          <w:rFonts w:ascii="Arial" w:cs="Arial" w:eastAsia="Arial" w:hAnsi="Arial"/>
          <w:sz w:val="19"/>
          <w:szCs w:val="19"/>
          <w:u w:val="single" w:color="auto"/>
          <w:color w:val="auto"/>
        </w:rPr>
        <w:t>Company’s Obligation to Pay</w:t>
      </w:r>
      <w:r>
        <w:rPr>
          <w:rFonts w:ascii="Arial" w:cs="Arial" w:eastAsia="Arial" w:hAnsi="Arial"/>
          <w:sz w:val="19"/>
          <w:szCs w:val="19"/>
          <w:color w:val="auto"/>
        </w:rPr>
        <w:t>. Each Market Stock Unit represents a value equal to the Fair Market Value of a Share on the date it is granted. Unless and until the Market Stock Units will have vested in the manner set forth in Section 3, Participant will have no right to payment of any such Market Stock Units. Prior to actual payment of any vested Market Stock Units, such Market Stock Unit will represent an unsecured obligation of the Company, payable (if at all) only from the general assets of the Company. Payment of any vested Market Stock Units will be made in whole Shares only and any fractional Shares will be forfeited at the time of payment.</w:t>
      </w:r>
    </w:p>
    <w:p>
      <w:pPr>
        <w:spacing w:after="0" w:line="179" w:lineRule="exact"/>
        <w:rPr>
          <w:rFonts w:ascii="Arial" w:cs="Arial" w:eastAsia="Arial" w:hAnsi="Arial"/>
          <w:sz w:val="19"/>
          <w:szCs w:val="19"/>
          <w:color w:val="auto"/>
        </w:rPr>
      </w:pPr>
    </w:p>
    <w:p>
      <w:pPr>
        <w:jc w:val="both"/>
        <w:ind w:left="-8" w:firstLine="656"/>
        <w:spacing w:after="0" w:line="278" w:lineRule="auto"/>
        <w:tabs>
          <w:tab w:leader="none" w:pos="1437" w:val="left"/>
        </w:tabs>
        <w:numPr>
          <w:ilvl w:val="1"/>
          <w:numId w:val="89"/>
        </w:numPr>
        <w:rPr>
          <w:rFonts w:ascii="Arial" w:cs="Arial" w:eastAsia="Arial" w:hAnsi="Arial"/>
          <w:sz w:val="20"/>
          <w:szCs w:val="20"/>
          <w:color w:val="auto"/>
        </w:rPr>
      </w:pPr>
      <w:r>
        <w:rPr>
          <w:rFonts w:ascii="Arial" w:cs="Arial" w:eastAsia="Arial" w:hAnsi="Arial"/>
          <w:sz w:val="20"/>
          <w:szCs w:val="20"/>
          <w:u w:val="single" w:color="auto"/>
          <w:color w:val="auto"/>
        </w:rPr>
        <w:t>Vesting Schedule</w:t>
      </w:r>
      <w:r>
        <w:rPr>
          <w:rFonts w:ascii="Arial" w:cs="Arial" w:eastAsia="Arial" w:hAnsi="Arial"/>
          <w:sz w:val="20"/>
          <w:szCs w:val="20"/>
          <w:color w:val="auto"/>
        </w:rPr>
        <w:t>. The Market Stock Units awarded by this Agreement will vest in Participant according to the Vesting Schedule set forth on the attached Notice of Grant, subject to Participant continuing to be a Service Provider through the Measurement Date; provided however:</w:t>
      </w:r>
    </w:p>
    <w:p>
      <w:pPr>
        <w:spacing w:after="0" w:line="173" w:lineRule="exact"/>
        <w:rPr>
          <w:rFonts w:ascii="Arial" w:cs="Arial" w:eastAsia="Arial" w:hAnsi="Arial"/>
          <w:sz w:val="20"/>
          <w:szCs w:val="20"/>
          <w:color w:val="auto"/>
        </w:rPr>
      </w:pPr>
    </w:p>
    <w:p>
      <w:pPr>
        <w:jc w:val="both"/>
        <w:ind w:left="-8" w:firstLine="1305"/>
        <w:spacing w:after="0" w:line="272" w:lineRule="auto"/>
        <w:tabs>
          <w:tab w:leader="none" w:pos="1756" w:val="left"/>
        </w:tabs>
        <w:numPr>
          <w:ilvl w:val="2"/>
          <w:numId w:val="89"/>
        </w:numPr>
        <w:rPr>
          <w:rFonts w:ascii="Arial" w:cs="Arial" w:eastAsia="Arial" w:hAnsi="Arial"/>
          <w:sz w:val="18"/>
          <w:szCs w:val="18"/>
          <w:color w:val="auto"/>
        </w:rPr>
      </w:pPr>
      <w:r>
        <w:rPr>
          <w:rFonts w:ascii="Arial" w:cs="Arial" w:eastAsia="Arial" w:hAnsi="Arial"/>
          <w:sz w:val="18"/>
          <w:szCs w:val="18"/>
          <w:color w:val="auto"/>
        </w:rPr>
        <w:t>Upon a Change of Control (as such term is defined in the Participant’s CEO Employment Agreement), and subject to Participant’s continuing to be a Service Provider through such date, the vesting of the Calculated Market Stock Units will accelerate on a pro rata basis based on (i) the amount of time that has lapsed between the Date of Grant and the date of the closing of the Change of Control relative to (ii) the original 3-year performance period (with the number of Calculated Market Stock Units eligible to be earned calculated using the amount to be paid to holders of the Company’s Common Stock in the Change of Control transaction). Any unvested Calculated Market Stock Units that do not accelerate based on the terms of the preceding sentence will vest ratably in substantially equal installments on each anniversary of the Date of Grant that occurs following the closing date of such Change of Control transaction with the final vesting date to be the 3-year anniversary of the Date of Grant, to the extent any Calculated Market Stock Units remain outstanding following the Change of Control and subject to Participant continuing to be a Service Provider through the applicable vesting date.</w:t>
      </w:r>
    </w:p>
    <w:p>
      <w:pPr>
        <w:spacing w:after="0" w:line="171" w:lineRule="exact"/>
        <w:rPr>
          <w:rFonts w:ascii="Arial" w:cs="Arial" w:eastAsia="Arial" w:hAnsi="Arial"/>
          <w:sz w:val="18"/>
          <w:szCs w:val="18"/>
          <w:color w:val="auto"/>
        </w:rPr>
      </w:pPr>
    </w:p>
    <w:p>
      <w:pPr>
        <w:jc w:val="both"/>
        <w:ind w:left="-8" w:firstLine="1305"/>
        <w:spacing w:after="0" w:line="260" w:lineRule="auto"/>
        <w:tabs>
          <w:tab w:leader="none" w:pos="1767" w:val="left"/>
        </w:tabs>
        <w:numPr>
          <w:ilvl w:val="2"/>
          <w:numId w:val="89"/>
        </w:numPr>
        <w:rPr>
          <w:rFonts w:ascii="Arial" w:cs="Arial" w:eastAsia="Arial" w:hAnsi="Arial"/>
          <w:sz w:val="19"/>
          <w:szCs w:val="19"/>
          <w:color w:val="auto"/>
        </w:rPr>
      </w:pPr>
      <w:r>
        <w:rPr>
          <w:rFonts w:ascii="Arial" w:cs="Arial" w:eastAsia="Arial" w:hAnsi="Arial"/>
          <w:sz w:val="19"/>
          <w:szCs w:val="19"/>
          <w:color w:val="auto"/>
        </w:rPr>
        <w:t>In the event Participant’s employment with the Company terminates as a result of Participant’s death or Disability (as such term is defined in the Employment Agreement) following the Start Date (as such term is defined in the Employment Agreement), then, on the date of such termination, Participant will vest in the Calculated Market Stock Units (with the number of Calculated Market Stock Units eligible to be earned calculated using the date of employment termination as the measurement date for purposes of calculating the Company’s total shareholder return compared to that of the NASDAQ Composite).</w:t>
      </w:r>
    </w:p>
    <w:p>
      <w:pPr>
        <w:spacing w:after="0" w:line="180" w:lineRule="exact"/>
        <w:rPr>
          <w:rFonts w:ascii="Arial" w:cs="Arial" w:eastAsia="Arial" w:hAnsi="Arial"/>
          <w:sz w:val="19"/>
          <w:szCs w:val="19"/>
          <w:color w:val="auto"/>
        </w:rPr>
      </w:pPr>
    </w:p>
    <w:p>
      <w:pPr>
        <w:ind w:left="1692" w:hanging="395"/>
        <w:spacing w:after="0"/>
        <w:tabs>
          <w:tab w:leader="none" w:pos="1692" w:val="left"/>
        </w:tabs>
        <w:numPr>
          <w:ilvl w:val="2"/>
          <w:numId w:val="89"/>
        </w:numPr>
        <w:rPr>
          <w:rFonts w:ascii="Arial" w:cs="Arial" w:eastAsia="Arial" w:hAnsi="Arial"/>
          <w:sz w:val="18"/>
          <w:szCs w:val="18"/>
          <w:color w:val="auto"/>
        </w:rPr>
      </w:pPr>
      <w:r>
        <w:rPr>
          <w:rFonts w:ascii="Arial" w:cs="Arial" w:eastAsia="Arial" w:hAnsi="Arial"/>
          <w:sz w:val="18"/>
          <w:szCs w:val="18"/>
          <w:color w:val="auto"/>
        </w:rPr>
        <w:t>If upon or within 18 months following a Change of Control (as such term is defined in the CEO Employment Agreement)</w:t>
      </w:r>
    </w:p>
    <w:p>
      <w:pPr>
        <w:spacing w:after="0" w:line="38" w:lineRule="exact"/>
        <w:rPr>
          <w:rFonts w:ascii="Arial" w:cs="Arial" w:eastAsia="Arial" w:hAnsi="Arial"/>
          <w:sz w:val="18"/>
          <w:szCs w:val="18"/>
          <w:color w:val="auto"/>
        </w:rPr>
      </w:pPr>
    </w:p>
    <w:p>
      <w:pPr>
        <w:jc w:val="both"/>
        <w:ind w:left="-8" w:firstLine="8"/>
        <w:spacing w:after="0" w:line="276" w:lineRule="auto"/>
        <w:tabs>
          <w:tab w:leader="none" w:pos="236"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(or any parent or subsidiary or successor of the Company) terminates Participant’s employment with the Company other than for Cause (as such term is defined in the CEO Employment Agreement), death or Disability (as such term is defined in the CEO Employment Agreement), or (ii) Participant resigns from such employment for Good Reason (as such term is defined in the CEO Employment Agreement), then, subject to the terms and conditions of Section 8 of the Employment Agreement, Participant will be entitled to 100% accelerated vesting.</w:t>
      </w:r>
    </w:p>
    <w:p>
      <w:pPr>
        <w:spacing w:after="0" w:line="202" w:lineRule="exact"/>
        <w:rPr>
          <w:sz w:val="20"/>
          <w:szCs w:val="20"/>
          <w:color w:val="auto"/>
        </w:rPr>
      </w:pPr>
    </w:p>
    <w:p>
      <w:pPr>
        <w:ind w:left="4532"/>
        <w:spacing w:after="0"/>
        <w:rPr>
          <w:sz w:val="20"/>
          <w:szCs w:val="20"/>
          <w:color w:val="auto"/>
        </w:rPr>
      </w:pPr>
      <w:r>
        <w:rPr>
          <w:rFonts w:ascii="Arial" w:cs="Arial" w:eastAsia="Arial" w:hAnsi="Arial"/>
          <w:sz w:val="20"/>
          <w:szCs w:val="20"/>
          <w:color w:val="auto"/>
        </w:rPr>
        <w:t>-</w:t>
      </w:r>
      <w:r>
        <w:rPr>
          <w:rFonts w:ascii="Arial" w:cs="Arial" w:eastAsia="Arial" w:hAnsi="Arial"/>
          <w:sz w:val="21"/>
          <w:szCs w:val="21"/>
          <w:color w:val="auto"/>
        </w:rPr>
        <w:t>4-</w:t>
      </w:r>
    </w:p>
    <w:p>
      <w:pPr>
        <w:sectPr>
          <w:pgSz w:w="11900" w:h="16838" w:orient="portrait"/>
          <w:cols w:equalWidth="0" w:num="1">
            <w:col w:w="11412"/>
          </w:cols>
          <w:pgMar w:left="248" w:top="595" w:right="239" w:bottom="1440" w:gutter="0" w:footer="0" w:header="0"/>
        </w:sectPr>
      </w:pPr>
    </w:p>
    <w:bookmarkStart w:id="97" w:name="page98"/>
    <w:bookmarkEnd w:id="97"/>
    <w:p>
      <w:pPr>
        <w:jc w:val="both"/>
        <w:ind w:left="-8" w:firstLine="656"/>
        <w:spacing w:after="0" w:line="278" w:lineRule="auto"/>
        <w:tabs>
          <w:tab w:leader="none" w:pos="1437" w:val="left"/>
        </w:tabs>
        <w:numPr>
          <w:ilvl w:val="1"/>
          <w:numId w:val="91"/>
        </w:numPr>
        <w:rPr>
          <w:rFonts w:ascii="Arial" w:cs="Arial" w:eastAsia="Arial" w:hAnsi="Arial"/>
          <w:sz w:val="20"/>
          <w:szCs w:val="20"/>
          <w:color w:val="auto"/>
        </w:rPr>
      </w:pPr>
      <w:r>
        <w:rPr>
          <w:rFonts w:ascii="Arial" w:cs="Arial" w:eastAsia="Arial" w:hAnsi="Arial"/>
          <w:sz w:val="20"/>
          <w:szCs w:val="20"/>
          <w:u w:val="single" w:color="auto"/>
          <w:color w:val="auto"/>
        </w:rPr>
        <w:t>Forfeiture upon Termination of Status as a Service Provider</w:t>
      </w:r>
      <w:r>
        <w:rPr>
          <w:rFonts w:ascii="Arial" w:cs="Arial" w:eastAsia="Arial" w:hAnsi="Arial"/>
          <w:sz w:val="20"/>
          <w:szCs w:val="20"/>
          <w:color w:val="auto"/>
        </w:rPr>
        <w:t>. Subject to Section 3 hereof, if Participant ceases to be a Service Provider for any or no reason, the then-unvested Market Stock Units awarded by this Agreement will thereupon be forfeited at no cost to the Company and Participant will have no further rights thereunder.</w:t>
      </w:r>
    </w:p>
    <w:p>
      <w:pPr>
        <w:spacing w:after="0" w:line="186" w:lineRule="exact"/>
        <w:rPr>
          <w:rFonts w:ascii="Arial" w:cs="Arial" w:eastAsia="Arial" w:hAnsi="Arial"/>
          <w:sz w:val="20"/>
          <w:szCs w:val="20"/>
          <w:color w:val="auto"/>
        </w:rPr>
      </w:pPr>
    </w:p>
    <w:p>
      <w:pPr>
        <w:jc w:val="both"/>
        <w:ind w:left="-8" w:firstLine="656"/>
        <w:spacing w:after="0" w:line="297" w:lineRule="auto"/>
        <w:tabs>
          <w:tab w:leader="none" w:pos="1437"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Payment after Vesting</w:t>
      </w:r>
      <w:r>
        <w:rPr>
          <w:rFonts w:ascii="Arial" w:cs="Arial" w:eastAsia="Arial" w:hAnsi="Arial"/>
          <w:sz w:val="18"/>
          <w:szCs w:val="18"/>
          <w:color w:val="auto"/>
        </w:rPr>
        <w:t>. Any Market Stock Units that vest in accordance with Section 3 will be paid to Participant (or in the event of Participant’s death, to his or her estate) in whole Shares, subject to Participant satisfying any applicable tax withholding obligations as set forth in Section 7. Subject to the provisions of Section 19, any Shares will be issued to Participant as soon as practicable after the relevant vesting date, but in any event, within the period ending on the later to occur of the date that is two-and-one-half months from the end of</w:t>
      </w:r>
    </w:p>
    <w:p>
      <w:pPr>
        <w:spacing w:after="0" w:line="1" w:lineRule="exact"/>
        <w:rPr>
          <w:rFonts w:ascii="Arial" w:cs="Arial" w:eastAsia="Arial" w:hAnsi="Arial"/>
          <w:sz w:val="18"/>
          <w:szCs w:val="18"/>
          <w:color w:val="auto"/>
        </w:rPr>
      </w:pPr>
    </w:p>
    <w:p>
      <w:pPr>
        <w:ind w:left="272" w:hanging="272"/>
        <w:spacing w:after="0"/>
        <w:tabs>
          <w:tab w:leader="none" w:pos="272" w:val="left"/>
        </w:tabs>
        <w:numPr>
          <w:ilvl w:val="0"/>
          <w:numId w:val="92"/>
        </w:numPr>
        <w:rPr>
          <w:rFonts w:ascii="Arial" w:cs="Arial" w:eastAsia="Arial" w:hAnsi="Arial"/>
          <w:sz w:val="20"/>
          <w:szCs w:val="20"/>
          <w:color w:val="auto"/>
        </w:rPr>
      </w:pPr>
      <w:r>
        <w:rPr>
          <w:rFonts w:ascii="Arial" w:cs="Arial" w:eastAsia="Arial" w:hAnsi="Arial"/>
          <w:sz w:val="20"/>
          <w:szCs w:val="20"/>
          <w:color w:val="auto"/>
        </w:rPr>
        <w:t>Participant’s tax year that includes the vesting date, or (b) the Company’s tax year that includes the vesting date.</w:t>
      </w:r>
    </w:p>
    <w:p>
      <w:pPr>
        <w:spacing w:after="0" w:line="242" w:lineRule="exact"/>
        <w:rPr>
          <w:rFonts w:ascii="Arial" w:cs="Arial" w:eastAsia="Arial" w:hAnsi="Arial"/>
          <w:sz w:val="20"/>
          <w:szCs w:val="20"/>
          <w:color w:val="auto"/>
        </w:rPr>
      </w:pPr>
    </w:p>
    <w:p>
      <w:pPr>
        <w:jc w:val="both"/>
        <w:ind w:left="-8" w:firstLine="656"/>
        <w:spacing w:after="0" w:line="314" w:lineRule="auto"/>
        <w:tabs>
          <w:tab w:leader="none" w:pos="1437"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Payments after Death</w:t>
      </w:r>
      <w:r>
        <w:rPr>
          <w:rFonts w:ascii="Arial" w:cs="Arial" w:eastAsia="Arial" w:hAnsi="Arial"/>
          <w:sz w:val="18"/>
          <w:szCs w:val="18"/>
          <w:color w:val="auto"/>
        </w:rPr>
        <w:t>. Any distribution or delivery to be made to Participant under this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59" w:lineRule="exact"/>
        <w:rPr>
          <w:rFonts w:ascii="Arial" w:cs="Arial" w:eastAsia="Arial" w:hAnsi="Arial"/>
          <w:sz w:val="18"/>
          <w:szCs w:val="18"/>
          <w:color w:val="auto"/>
        </w:rPr>
      </w:pPr>
    </w:p>
    <w:p>
      <w:pPr>
        <w:ind w:left="1452" w:hanging="804"/>
        <w:spacing w:after="0"/>
        <w:tabs>
          <w:tab w:leader="none" w:pos="1452" w:val="left"/>
        </w:tabs>
        <w:numPr>
          <w:ilvl w:val="1"/>
          <w:numId w:val="92"/>
        </w:numPr>
        <w:rPr>
          <w:rFonts w:ascii="Arial" w:cs="Arial" w:eastAsia="Arial" w:hAnsi="Arial"/>
          <w:sz w:val="20"/>
          <w:szCs w:val="20"/>
          <w:color w:val="auto"/>
        </w:rPr>
      </w:pPr>
      <w:r>
        <w:rPr>
          <w:rFonts w:ascii="Arial" w:cs="Arial" w:eastAsia="Arial" w:hAnsi="Arial"/>
          <w:sz w:val="20"/>
          <w:szCs w:val="20"/>
          <w:u w:val="single" w:color="auto"/>
          <w:color w:val="auto"/>
        </w:rPr>
        <w:t>Withholding of Taxes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8" w:firstLine="1305"/>
        <w:spacing w:after="0" w:line="243" w:lineRule="auto"/>
        <w:tabs>
          <w:tab w:leader="none" w:pos="1756" w:val="left"/>
        </w:tabs>
        <w:numPr>
          <w:ilvl w:val="2"/>
          <w:numId w:val="92"/>
        </w:numPr>
        <w:rPr>
          <w:rFonts w:ascii="Arial" w:cs="Arial" w:eastAsia="Arial" w:hAnsi="Arial"/>
          <w:sz w:val="20"/>
          <w:szCs w:val="20"/>
          <w:color w:val="auto"/>
        </w:rPr>
      </w:pPr>
      <w:r>
        <w:rPr>
          <w:rFonts w:ascii="Arial" w:cs="Arial" w:eastAsia="Arial" w:hAnsi="Arial"/>
          <w:sz w:val="20"/>
          <w:szCs w:val="20"/>
          <w:u w:val="single" w:color="auto"/>
          <w:color w:val="auto"/>
        </w:rPr>
        <w:t>Generally</w:t>
      </w:r>
      <w:r>
        <w:rPr>
          <w:rFonts w:ascii="Arial" w:cs="Arial" w:eastAsia="Arial" w:hAnsi="Arial"/>
          <w:sz w:val="20"/>
          <w:szCs w:val="20"/>
          <w:color w:val="auto"/>
        </w:rPr>
        <w:t>. The Participant is ultimately liable and responsible for all taxes owed in connection with the Market Stock Units, regardless of any action the Company or any of its Subsidiaries takes with respect to any tax withholding obligations that arise in connection with the Market Stock Units. Neither the Company nor any of its Subsidiaries makes any representation or undertaking regarding the treatment of any tax withholding in connection with the grant or vesting of the Market Stock Units or the subsequent sale of Shares issuable pursuant to the Market Stock Units. The Company and its Subsidiaries do not commit and are under no obligation to structure the Market Stock Units to reduce or eliminate the Participant’s tax liability.</w:t>
      </w:r>
    </w:p>
    <w:p>
      <w:pPr>
        <w:spacing w:after="0" w:line="196" w:lineRule="exact"/>
        <w:rPr>
          <w:rFonts w:ascii="Arial" w:cs="Arial" w:eastAsia="Arial" w:hAnsi="Arial"/>
          <w:sz w:val="20"/>
          <w:szCs w:val="20"/>
          <w:color w:val="auto"/>
        </w:rPr>
      </w:pPr>
    </w:p>
    <w:p>
      <w:pPr>
        <w:jc w:val="both"/>
        <w:ind w:left="-8" w:firstLine="1305"/>
        <w:spacing w:after="0" w:line="257" w:lineRule="auto"/>
        <w:tabs>
          <w:tab w:leader="none" w:pos="1753" w:val="left"/>
        </w:tabs>
        <w:numPr>
          <w:ilvl w:val="2"/>
          <w:numId w:val="92"/>
        </w:numPr>
        <w:rPr>
          <w:rFonts w:ascii="Arial" w:cs="Arial" w:eastAsia="Arial" w:hAnsi="Arial"/>
          <w:sz w:val="19"/>
          <w:szCs w:val="19"/>
          <w:color w:val="auto"/>
        </w:rPr>
      </w:pPr>
      <w:r>
        <w:rPr>
          <w:rFonts w:ascii="Arial" w:cs="Arial" w:eastAsia="Arial" w:hAnsi="Arial"/>
          <w:sz w:val="19"/>
          <w:szCs w:val="19"/>
          <w:u w:val="single" w:color="auto"/>
          <w:color w:val="auto"/>
        </w:rPr>
        <w:t>Payment of Withholding Taxes</w:t>
      </w:r>
      <w:r>
        <w:rPr>
          <w:rFonts w:ascii="Arial" w:cs="Arial" w:eastAsia="Arial" w:hAnsi="Arial"/>
          <w:sz w:val="19"/>
          <w:szCs w:val="19"/>
          <w:color w:val="auto"/>
        </w:rPr>
        <w:t>. Notwithstanding any contrary provision of this Agreement, no Shares will be issued to Participant, unless and until satisfactory arrangements (as determined by the Administrator) will have been made by the Participant with respect to the payment of any taxes which the Company determines must be withheld with respect to the Market Stock Units. The Administrator, in its sole discretion and pursuant to such procedures as it may specify from time to time, may satisfy such tax withholding obligations, in whole or in part, by withholding otherwise deliverable Shares having an aggregate Fair Market Value sufficient to (but not exceeding) the minimum amount required to be withheld. In addition and to the maximum extent permitted by law, the Company has the right to retain without notice from salary or other amounts payable to the Participant, cash having a value sufficient to satisfy any tax withholding obligations that cannot be satisfied by the withholding of otherwise deliverable Shares.</w:t>
      </w:r>
    </w:p>
    <w:p>
      <w:pPr>
        <w:spacing w:after="0" w:line="194" w:lineRule="exact"/>
        <w:rPr>
          <w:rFonts w:ascii="Arial" w:cs="Arial" w:eastAsia="Arial" w:hAnsi="Arial"/>
          <w:sz w:val="19"/>
          <w:szCs w:val="19"/>
          <w:color w:val="auto"/>
        </w:rPr>
      </w:pPr>
    </w:p>
    <w:p>
      <w:pPr>
        <w:jc w:val="both"/>
        <w:ind w:left="-8" w:firstLine="656"/>
        <w:spacing w:after="0" w:line="314" w:lineRule="auto"/>
        <w:tabs>
          <w:tab w:leader="none" w:pos="1437"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provided that the Participant shall be entitled to any award adjustments provided pursuant to Section 18(a) of the Plan.</w:t>
      </w:r>
    </w:p>
    <w:p>
      <w:pPr>
        <w:spacing w:after="0" w:line="182" w:lineRule="exact"/>
        <w:rPr>
          <w:sz w:val="20"/>
          <w:szCs w:val="20"/>
          <w:color w:val="auto"/>
        </w:rPr>
      </w:pPr>
    </w:p>
    <w:p>
      <w:pPr>
        <w:ind w:left="4532"/>
        <w:spacing w:after="0"/>
        <w:rPr>
          <w:sz w:val="20"/>
          <w:szCs w:val="20"/>
          <w:color w:val="auto"/>
        </w:rPr>
      </w:pPr>
      <w:r>
        <w:rPr>
          <w:rFonts w:ascii="Arial" w:cs="Arial" w:eastAsia="Arial" w:hAnsi="Arial"/>
          <w:sz w:val="20"/>
          <w:szCs w:val="20"/>
          <w:color w:val="auto"/>
        </w:rPr>
        <w:t>-</w:t>
      </w:r>
      <w:r>
        <w:rPr>
          <w:rFonts w:ascii="Arial" w:cs="Arial" w:eastAsia="Arial" w:hAnsi="Arial"/>
          <w:sz w:val="21"/>
          <w:szCs w:val="21"/>
          <w:color w:val="auto"/>
        </w:rPr>
        <w:t>5-</w:t>
      </w:r>
    </w:p>
    <w:p>
      <w:pPr>
        <w:sectPr>
          <w:pgSz w:w="11900" w:h="16838" w:orient="portrait"/>
          <w:cols w:equalWidth="0" w:num="1">
            <w:col w:w="11412"/>
          </w:cols>
          <w:pgMar w:left="248" w:top="595" w:right="239" w:bottom="1440" w:gutter="0" w:footer="0" w:header="0"/>
        </w:sectPr>
      </w:pPr>
    </w:p>
    <w:bookmarkStart w:id="98" w:name="page99"/>
    <w:bookmarkEnd w:id="98"/>
    <w:p>
      <w:pPr>
        <w:jc w:val="both"/>
        <w:ind w:left="-656" w:firstLine="656"/>
        <w:spacing w:after="0" w:line="271" w:lineRule="auto"/>
        <w:tabs>
          <w:tab w:leader="none" w:pos="789"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No Effect on Service</w:t>
      </w:r>
      <w:r>
        <w:rPr>
          <w:rFonts w:ascii="Arial" w:cs="Arial" w:eastAsia="Arial" w:hAnsi="Arial"/>
          <w:sz w:val="20"/>
          <w:szCs w:val="20"/>
          <w:color w:val="auto"/>
        </w:rPr>
        <w:t>. Participant acknowledges and agrees that the vesting of the Market Stock Units pursuant to Section 3 hereof is earned only by Participant continuing to be a Service Provider through the applicable vesting dates (and not through the act of being hired or acquiring Shares hereunder), subject, however, to the provisions in Section 3(a)-(c) above). Participant further acknowledges and agrees that this Agreement, the transactions contemplated hereunder and the vesting schedule set forth herein do not constitute an express or implied promise of Participant continuing to be a Service Provider for the vesting period, for any period, or at all, and will not interfere with the Participant’s right or the right of the Company (or the Affiliate employing or retaining Participant) to terminate Participant as a Service Provider at any time, with or without cause.</w:t>
      </w:r>
    </w:p>
    <w:p>
      <w:pPr>
        <w:spacing w:after="0" w:line="194" w:lineRule="exact"/>
        <w:rPr>
          <w:rFonts w:ascii="Arial" w:cs="Arial" w:eastAsia="Arial" w:hAnsi="Arial"/>
          <w:sz w:val="20"/>
          <w:szCs w:val="20"/>
          <w:color w:val="auto"/>
        </w:rPr>
      </w:pPr>
    </w:p>
    <w:p>
      <w:pPr>
        <w:jc w:val="both"/>
        <w:ind w:left="-656" w:firstLine="656"/>
        <w:spacing w:after="0" w:line="274" w:lineRule="auto"/>
        <w:tabs>
          <w:tab w:leader="none" w:pos="888"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Address for Notices</w:t>
      </w:r>
      <w:r>
        <w:rPr>
          <w:rFonts w:ascii="Arial" w:cs="Arial" w:eastAsia="Arial" w:hAnsi="Arial"/>
          <w:sz w:val="20"/>
          <w:szCs w:val="20"/>
          <w:color w:val="auto"/>
        </w:rPr>
        <w:t>. Any notice to be given to the Company under the terms of this Agreement will be addressed to the Company, in care of Stock Administrator at Align Technology, Inc., 2560 Orchard Parkway, San Jose, CA 95131, or at such other address as the Company may hereafter designate in writing. Any notice to be given to the Participant regarding his Market Stock Unit award shall comply with the notice provisions in the Participant’s CEO Employment Agreement.</w:t>
      </w:r>
    </w:p>
    <w:p>
      <w:pPr>
        <w:spacing w:after="0" w:line="192" w:lineRule="exact"/>
        <w:rPr>
          <w:rFonts w:ascii="Arial" w:cs="Arial" w:eastAsia="Arial" w:hAnsi="Arial"/>
          <w:sz w:val="20"/>
          <w:szCs w:val="20"/>
          <w:color w:val="auto"/>
        </w:rPr>
      </w:pPr>
    </w:p>
    <w:p>
      <w:pPr>
        <w:jc w:val="both"/>
        <w:ind w:left="-656" w:firstLine="656"/>
        <w:spacing w:after="0" w:line="303" w:lineRule="auto"/>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Grant is Not Transferable</w:t>
      </w:r>
      <w:r>
        <w:rPr>
          <w:rFonts w:ascii="Arial" w:cs="Arial" w:eastAsia="Arial" w:hAnsi="Arial"/>
          <w:sz w:val="18"/>
          <w:szCs w:val="18"/>
          <w:color w:val="auto"/>
        </w:rPr>
        <w:t>. Except to the limited extent provided in Section 6, or, in the event of Participant’s death, by his will or the laws of descent or distribution (pursuant to Section 15 of the Plan) or as otherwise determined by the Plan Administrator (pursuant to Section 15 of the Plan),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 Notwithstanding the above, the rights relating to Participant’s Restricted Stock Unit grant can be exercised on the Participant’s behalf by his legal representative in the event of his legal incapacity, or, in the event of his death, by his designated beneficiary (if any) or, if no beneficiary is designated with respect to his Restricted Stock Units, by his estate.</w:t>
      </w:r>
    </w:p>
    <w:p>
      <w:pPr>
        <w:spacing w:after="0" w:line="173" w:lineRule="exact"/>
        <w:rPr>
          <w:rFonts w:ascii="Arial" w:cs="Arial" w:eastAsia="Arial" w:hAnsi="Arial"/>
          <w:sz w:val="18"/>
          <w:szCs w:val="18"/>
          <w:color w:val="auto"/>
        </w:rPr>
      </w:pPr>
    </w:p>
    <w:p>
      <w:pPr>
        <w:ind w:left="-656" w:firstLine="656"/>
        <w:spacing w:after="0" w:line="316" w:lineRule="auto"/>
        <w:tabs>
          <w:tab w:leader="none" w:pos="888"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Binding Agreement</w:t>
      </w:r>
      <w:r>
        <w:rPr>
          <w:rFonts w:ascii="Arial" w:cs="Arial" w:eastAsia="Arial" w:hAnsi="Arial"/>
          <w:sz w:val="19"/>
          <w:szCs w:val="19"/>
          <w:color w:val="auto"/>
        </w:rPr>
        <w:t>. Subject to the limitation on the transferability of this grant contained herein, this Agreement will be binding upon and inure to the benefit of the heirs, legatees, legal representatives, successors and assigns of the parties hereto.</w:t>
      </w:r>
    </w:p>
    <w:p>
      <w:pPr>
        <w:spacing w:after="0" w:line="153" w:lineRule="exact"/>
        <w:rPr>
          <w:rFonts w:ascii="Arial" w:cs="Arial" w:eastAsia="Arial" w:hAnsi="Arial"/>
          <w:sz w:val="19"/>
          <w:szCs w:val="19"/>
          <w:color w:val="auto"/>
        </w:rPr>
      </w:pPr>
    </w:p>
    <w:p>
      <w:pPr>
        <w:jc w:val="both"/>
        <w:ind w:left="-656" w:firstLine="656"/>
        <w:spacing w:after="0" w:line="285" w:lineRule="auto"/>
        <w:tabs>
          <w:tab w:leader="none" w:pos="888"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Additional Conditions to Issuance of Stock</w:t>
      </w:r>
      <w:r>
        <w:rPr>
          <w:rFonts w:ascii="Arial" w:cs="Arial" w:eastAsia="Arial" w:hAnsi="Arial"/>
          <w:sz w:val="19"/>
          <w:szCs w:val="19"/>
          <w:color w:val="auto"/>
        </w:rPr>
        <w:t>. If at any time the Company will determine, in its discretion, that the listing, registration or qualification of the Shares upon any securities exchange or under any state or federal law, or the consent or approval of any governmental regulatory authority is necessary or desirable as a condition to the issuance of shares to Participant (or his estate), such issuance will not occur unless and until such listing, registration, qualification, consent or approval will have been effected or obtained free of any conditions not acceptable to the Company. Where the Company determines that the delivery of the payment of any Shares will violate federal securities laws or other applicable laws, the Company will defer delivery until the earliest date at which the Company reasonably anticipates that the delivery of Shares will no longer cause such violation. The Company will make all reasonable efforts to meet the requirements of any such state or federal law or securities exchange and to obtain any such consent or approval of any such governmental authority. The Company represents and acknowledges that, as of the Date of Grant, there are currently no delivery restrictions in effect of the type referred to in this Section 13.</w:t>
      </w:r>
    </w:p>
    <w:p>
      <w:pPr>
        <w:spacing w:after="0" w:line="187" w:lineRule="exact"/>
        <w:rPr>
          <w:rFonts w:ascii="Arial" w:cs="Arial" w:eastAsia="Arial" w:hAnsi="Arial"/>
          <w:sz w:val="19"/>
          <w:szCs w:val="19"/>
          <w:color w:val="auto"/>
        </w:rPr>
      </w:pPr>
    </w:p>
    <w:p>
      <w:pPr>
        <w:ind w:left="-656" w:firstLine="656"/>
        <w:spacing w:after="0" w:line="289" w:lineRule="auto"/>
        <w:tabs>
          <w:tab w:leader="none" w:pos="888"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Plan Governs</w:t>
      </w:r>
      <w:r>
        <w:rPr>
          <w:rFonts w:ascii="Arial" w:cs="Arial" w:eastAsia="Arial" w:hAnsi="Arial"/>
          <w:sz w:val="20"/>
          <w:szCs w:val="20"/>
          <w:color w:val="auto"/>
        </w:rPr>
        <w:t>. This Agreement is subject to all terms and provisions of the Plan. In the event of a conflict between one or more provisions of this Agreement and one or more provisions of the Plan, the provisions of the Plan will govern.</w:t>
      </w:r>
    </w:p>
    <w:p>
      <w:pPr>
        <w:spacing w:after="0" w:line="198" w:lineRule="exact"/>
        <w:rPr>
          <w:sz w:val="20"/>
          <w:szCs w:val="20"/>
          <w:color w:val="auto"/>
        </w:rPr>
      </w:pPr>
    </w:p>
    <w:p>
      <w:pPr>
        <w:ind w:left="3884"/>
        <w:spacing w:after="0"/>
        <w:rPr>
          <w:sz w:val="20"/>
          <w:szCs w:val="20"/>
          <w:color w:val="auto"/>
        </w:rPr>
      </w:pPr>
      <w:r>
        <w:rPr>
          <w:rFonts w:ascii="Arial" w:cs="Arial" w:eastAsia="Arial" w:hAnsi="Arial"/>
          <w:sz w:val="20"/>
          <w:szCs w:val="20"/>
          <w:color w:val="auto"/>
        </w:rPr>
        <w:t>-</w:t>
      </w:r>
      <w:r>
        <w:rPr>
          <w:rFonts w:ascii="Arial" w:cs="Arial" w:eastAsia="Arial" w:hAnsi="Arial"/>
          <w:sz w:val="21"/>
          <w:szCs w:val="21"/>
          <w:color w:val="auto"/>
        </w:rPr>
        <w:t>6-</w:t>
      </w:r>
    </w:p>
    <w:p>
      <w:pPr>
        <w:sectPr>
          <w:pgSz w:w="11900" w:h="16838" w:orient="portrait"/>
          <w:cols w:equalWidth="0" w:num="1">
            <w:col w:w="10764"/>
          </w:cols>
          <w:pgMar w:left="896" w:top="595" w:right="239" w:bottom="1440" w:gutter="0" w:footer="0" w:header="0"/>
        </w:sectPr>
      </w:pPr>
    </w:p>
    <w:bookmarkStart w:id="99" w:name="page100"/>
    <w:bookmarkEnd w:id="99"/>
    <w:p>
      <w:pPr>
        <w:jc w:val="both"/>
        <w:ind w:firstLine="656"/>
        <w:spacing w:after="0" w:line="272" w:lineRule="auto"/>
        <w:tabs>
          <w:tab w:leader="none" w:pos="1544"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Administrator Authority</w:t>
      </w:r>
      <w:r>
        <w:rPr>
          <w:rFonts w:ascii="Arial" w:cs="Arial" w:eastAsia="Arial" w:hAnsi="Arial"/>
          <w:sz w:val="20"/>
          <w:szCs w:val="20"/>
          <w:color w:val="auto"/>
        </w:rPr>
        <w:t>. The Administrator will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Market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Agreement.</w:t>
      </w:r>
    </w:p>
    <w:p>
      <w:pPr>
        <w:spacing w:after="0" w:line="191" w:lineRule="exact"/>
        <w:rPr>
          <w:rFonts w:ascii="Arial" w:cs="Arial" w:eastAsia="Arial" w:hAnsi="Arial"/>
          <w:sz w:val="20"/>
          <w:szCs w:val="20"/>
          <w:color w:val="auto"/>
        </w:rPr>
      </w:pPr>
    </w:p>
    <w:p>
      <w:pPr>
        <w:jc w:val="both"/>
        <w:ind w:firstLine="656"/>
        <w:spacing w:after="0" w:line="273" w:lineRule="auto"/>
        <w:tabs>
          <w:tab w:leader="none" w:pos="1544"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Electronic Delivery</w:t>
      </w:r>
      <w:r>
        <w:rPr>
          <w:rFonts w:ascii="Arial" w:cs="Arial" w:eastAsia="Arial" w:hAnsi="Arial"/>
          <w:sz w:val="20"/>
          <w:szCs w:val="20"/>
          <w:color w:val="auto"/>
        </w:rPr>
        <w:t>. The Company may, in its sole discretion, decide to deliver any documents related to Market Stock Units awarded under the Plan or future Market Stock Units that may be awarded under the Plan by electronic means or request Participant’s consent to participate in the Plan by electronic means. Participant hereby consents to receive such documents by electronic delivery and agrees to participate in the Plan through an on-line or electronic system established and maintained by the Company or another third party designated by the Company.</w:t>
      </w:r>
    </w:p>
    <w:p>
      <w:pPr>
        <w:spacing w:after="0" w:line="191" w:lineRule="exact"/>
        <w:rPr>
          <w:rFonts w:ascii="Arial" w:cs="Arial" w:eastAsia="Arial" w:hAnsi="Arial"/>
          <w:sz w:val="20"/>
          <w:szCs w:val="20"/>
          <w:color w:val="auto"/>
        </w:rPr>
      </w:pPr>
    </w:p>
    <w:p>
      <w:pPr>
        <w:ind w:left="1560" w:hanging="904"/>
        <w:spacing w:after="0"/>
        <w:tabs>
          <w:tab w:leader="none" w:pos="1560"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Captions</w:t>
      </w:r>
      <w:r>
        <w:rPr>
          <w:rFonts w:ascii="Arial" w:cs="Arial" w:eastAsia="Arial" w:hAnsi="Arial"/>
          <w:sz w:val="16"/>
          <w:szCs w:val="16"/>
          <w:color w:val="auto"/>
        </w:rPr>
        <w:t>. Captions provided herein are for convenience only and are not to serve as a basis for interpretation or construction</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of this Agreement.</w:t>
      </w:r>
    </w:p>
    <w:p>
      <w:pPr>
        <w:spacing w:after="0" w:line="242" w:lineRule="exact"/>
        <w:rPr>
          <w:rFonts w:ascii="Arial" w:cs="Arial" w:eastAsia="Arial" w:hAnsi="Arial"/>
          <w:sz w:val="16"/>
          <w:szCs w:val="16"/>
          <w:color w:val="auto"/>
        </w:rPr>
      </w:pPr>
    </w:p>
    <w:p>
      <w:pPr>
        <w:jc w:val="both"/>
        <w:ind w:firstLine="656"/>
        <w:spacing w:after="0" w:line="278" w:lineRule="auto"/>
        <w:tabs>
          <w:tab w:leader="none" w:pos="1544"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in this Agreement will be held invalid or unenforceable, such provision will be severable from, and such invalidity or unenforceability will not be construed to have any effect on, the remaining provisions of this Agreement.</w:t>
      </w:r>
    </w:p>
    <w:p>
      <w:pPr>
        <w:spacing w:after="0" w:line="186" w:lineRule="exact"/>
        <w:rPr>
          <w:rFonts w:ascii="Arial" w:cs="Arial" w:eastAsia="Arial" w:hAnsi="Arial"/>
          <w:sz w:val="20"/>
          <w:szCs w:val="20"/>
          <w:color w:val="auto"/>
        </w:rPr>
      </w:pPr>
    </w:p>
    <w:p>
      <w:pPr>
        <w:jc w:val="both"/>
        <w:ind w:firstLine="656"/>
        <w:spacing w:after="0" w:line="301" w:lineRule="auto"/>
        <w:tabs>
          <w:tab w:leader="none" w:pos="1544"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Notwithstanding anything in the Plan or this Agreement to the contrary, if the vesting of the balance, or some lesser portion of the balance, of the Market Stock Units is accelerated in connection with Participant’s termination as a Service Provider (provided that such termination is a “separation from service” within the meaning of Section 409A, as determined by the Company), other than due to death, and if (x) Participant is a “specified employee” within the meaning of Section 409A at the time of such termination as a Service Provider and (y) the payment of such accelerated Market Stock Units would result in the imposition of additional tax under Section 409A if paid to Participant on or within the six (6) month period following Participant’s termination as a Service Provider, then the payment of such accelerated Market Stock Units will not be made until the date six (6) months and one (1) day following the date of Participant’s termination as a Service Provider, unless the Participant dies following his or her termination as a Service Provider, in which case, the Market Stock Units will be paid in Shares to the Participant’s estate as soon as practicable following his or her death. It is the intent of this Agreement to comply with the requirements of Section 409A so that none of the Market Stock Units provided under this Agreement or Shares issuable thereunder will be subject to the additional tax imposed under Section 409A, and any ambiguities herein will be interpreted to so comply. For purposes of this Agreement, “Section 409A” means Section 409A of the Code, and any proposed, temporary or final Treasury Regulations and Internal Revenue Service guidance thereunder, as each may be amended from time to time.</w:t>
      </w:r>
    </w:p>
    <w:p>
      <w:pPr>
        <w:spacing w:after="0" w:line="177" w:lineRule="exact"/>
        <w:rPr>
          <w:rFonts w:ascii="Arial" w:cs="Arial" w:eastAsia="Arial" w:hAnsi="Arial"/>
          <w:sz w:val="18"/>
          <w:szCs w:val="18"/>
          <w:color w:val="auto"/>
        </w:rPr>
      </w:pPr>
    </w:p>
    <w:p>
      <w:pPr>
        <w:jc w:val="both"/>
        <w:ind w:firstLine="656"/>
        <w:spacing w:after="0" w:line="273" w:lineRule="auto"/>
        <w:tabs>
          <w:tab w:leader="none" w:pos="1544"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the laws of the State of California, without giving effect to the conflict of law principles thereof. For purposes of litigating any dispute that arises under this Award of Market Stock Units or this Agreement, the parties hereby submit to and consent to the jurisdiction of the State of California, and agree that such litigation shall be conducted in the courts of Santa Clara County, California, or the federal courts for the United States for the Northern District of California, and no other courts, where this Award of Market Stock Units is made and/or to be performed.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[Remainder of Page Intentionally Left Blank]</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w:t>
      </w:r>
      <w:r>
        <w:rPr>
          <w:rFonts w:ascii="Arial" w:cs="Arial" w:eastAsia="Arial" w:hAnsi="Arial"/>
          <w:sz w:val="21"/>
          <w:szCs w:val="21"/>
          <w:color w:val="auto"/>
        </w:rPr>
        <w:t>7-</w:t>
      </w:r>
    </w:p>
    <w:p>
      <w:pPr>
        <w:sectPr>
          <w:pgSz w:w="11900" w:h="16838" w:orient="portrait"/>
          <w:cols w:equalWidth="0" w:num="1">
            <w:col w:w="11420"/>
          </w:cols>
          <w:pgMar w:left="240" w:top="595" w:right="239" w:bottom="1440" w:gutter="0" w:footer="0" w:header="0"/>
        </w:sectPr>
      </w:pPr>
    </w:p>
    <w:bookmarkStart w:id="100" w:name="page101"/>
    <w:bookmarkEnd w:id="100"/>
    <w:p>
      <w:pPr>
        <w:jc w:val="both"/>
        <w:ind w:firstLine="648"/>
        <w:spacing w:after="0" w:line="315" w:lineRule="auto"/>
        <w:rPr>
          <w:sz w:val="20"/>
          <w:szCs w:val="20"/>
          <w:color w:val="auto"/>
        </w:rPr>
      </w:pPr>
      <w:r>
        <w:rPr>
          <w:rFonts w:ascii="Arial" w:cs="Arial" w:eastAsia="Arial" w:hAnsi="Arial"/>
          <w:sz w:val="16"/>
          <w:szCs w:val="16"/>
          <w:b w:val="1"/>
          <w:bCs w:val="1"/>
          <w:color w:val="auto"/>
        </w:rPr>
        <w:t>By Participant’s acceptance of this Agreement, Participant represents that he or she is familiar with the terms and provisions of the Plan, and hereby accepts this Agreement subject to all of the terms and provisions thereof. Participant has reviewed the Plan and this Agreement in their entirety, has had an opportunity to obtain the advice of counsel prior to executing this Agreement and fully understands all provisions of this Agreement. Participant agrees to accept as binding, conclusive and final all decisions or interpretations of the Administrator upon any questions arising under the Plan or this Agreement, but does not waive any rights he has under his CEO Employment Agreement. Participant further agrees to notify the Company upon any change in the residence indicated in the Notice of Grant of Market Stock Units if and to the extent that the Company is not otherwise notified of any such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440" w:type="dxa"/>
            <w:vAlign w:val="bottom"/>
            <w:gridSpan w:val="2"/>
          </w:tcPr>
          <w:p>
            <w:pPr>
              <w:jc w:val="right"/>
              <w:ind w:right="1560"/>
              <w:spacing w:after="0"/>
              <w:rPr>
                <w:sz w:val="20"/>
                <w:szCs w:val="20"/>
                <w:color w:val="auto"/>
              </w:rPr>
            </w:pPr>
            <w:r>
              <w:rPr>
                <w:rFonts w:ascii="Arial" w:cs="Arial" w:eastAsia="Arial" w:hAnsi="Arial"/>
                <w:sz w:val="20"/>
                <w:szCs w:val="20"/>
                <w:b w:val="1"/>
                <w:bCs w:val="1"/>
                <w:color w:val="auto"/>
                <w:w w:val="98"/>
              </w:rPr>
              <w:t>JOSEPH M. HOGAN</w:t>
            </w:r>
          </w:p>
        </w:tc>
        <w:tc>
          <w:tcPr>
            <w:tcW w:w="7980" w:type="dxa"/>
            <w:vAlign w:val="bottom"/>
          </w:tcPr>
          <w:p>
            <w:pPr>
              <w:ind w:left="20"/>
              <w:spacing w:after="0"/>
              <w:rPr>
                <w:sz w:val="20"/>
                <w:szCs w:val="20"/>
                <w:color w:val="auto"/>
              </w:rPr>
            </w:pPr>
            <w:r>
              <w:rPr>
                <w:rFonts w:ascii="Arial" w:cs="Arial" w:eastAsia="Arial" w:hAnsi="Arial"/>
                <w:sz w:val="20"/>
                <w:szCs w:val="20"/>
                <w:b w:val="1"/>
                <w:bCs w:val="1"/>
                <w:color w:val="auto"/>
              </w:rPr>
              <w:t>ALIGN TECHNOLOGY, INC.</w:t>
            </w:r>
          </w:p>
        </w:tc>
      </w:tr>
      <w:tr>
        <w:trPr>
          <w:trHeight w:val="962"/>
        </w:trPr>
        <w:tc>
          <w:tcPr>
            <w:tcW w:w="3440" w:type="dxa"/>
            <w:vAlign w:val="bottom"/>
            <w:gridSpan w:val="2"/>
          </w:tcPr>
          <w:p>
            <w:pPr>
              <w:jc w:val="right"/>
              <w:ind w:right="1560"/>
              <w:spacing w:after="0"/>
              <w:rPr>
                <w:sz w:val="20"/>
                <w:szCs w:val="20"/>
                <w:color w:val="auto"/>
              </w:rPr>
            </w:pPr>
            <w:r>
              <w:rPr>
                <w:rFonts w:ascii="Arial" w:cs="Arial" w:eastAsia="Arial" w:hAnsi="Arial"/>
                <w:sz w:val="18"/>
                <w:szCs w:val="18"/>
                <w:color w:val="auto"/>
                <w:w w:val="96"/>
              </w:rPr>
              <w:t>/s/ JOSEPH M. HOGAN</w:t>
            </w:r>
          </w:p>
        </w:tc>
        <w:tc>
          <w:tcPr>
            <w:tcW w:w="7980" w:type="dxa"/>
            <w:vAlign w:val="bottom"/>
          </w:tcPr>
          <w:p>
            <w:pPr>
              <w:ind w:left="80"/>
              <w:spacing w:after="0"/>
              <w:rPr>
                <w:sz w:val="20"/>
                <w:szCs w:val="20"/>
                <w:color w:val="auto"/>
              </w:rPr>
            </w:pPr>
            <w:r>
              <w:rPr>
                <w:rFonts w:ascii="Arial" w:cs="Arial" w:eastAsia="Arial" w:hAnsi="Arial"/>
                <w:sz w:val="22"/>
                <w:szCs w:val="22"/>
                <w:color w:val="auto"/>
              </w:rPr>
              <w:t>/s/ Roger E. George</w:t>
            </w:r>
          </w:p>
        </w:tc>
      </w:tr>
      <w:tr>
        <w:trPr>
          <w:trHeight w:val="459"/>
        </w:trPr>
        <w:tc>
          <w:tcPr>
            <w:tcW w:w="32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By</w:t>
            </w:r>
          </w:p>
        </w:tc>
      </w:tr>
      <w:tr>
        <w:trPr>
          <w:trHeight w:val="318"/>
        </w:trPr>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9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Roger E. George</w:t>
            </w:r>
          </w:p>
        </w:tc>
      </w:tr>
      <w:tr>
        <w:trPr>
          <w:trHeight w:val="280"/>
        </w:trPr>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980" w:type="dxa"/>
            <w:vAlign w:val="bottom"/>
          </w:tcPr>
          <w:p>
            <w:pPr>
              <w:ind w:left="20"/>
              <w:spacing w:after="0"/>
              <w:rPr>
                <w:sz w:val="20"/>
                <w:szCs w:val="20"/>
                <w:color w:val="auto"/>
              </w:rPr>
            </w:pPr>
            <w:r>
              <w:rPr>
                <w:rFonts w:ascii="Arial" w:cs="Arial" w:eastAsia="Arial" w:hAnsi="Arial"/>
                <w:sz w:val="22"/>
                <w:szCs w:val="22"/>
                <w:color w:val="auto"/>
              </w:rPr>
              <w:t>Print Name</w:t>
            </w:r>
          </w:p>
        </w:tc>
      </w:tr>
      <w:tr>
        <w:trPr>
          <w:trHeight w:val="632"/>
        </w:trPr>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9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Vice President, Corporate &amp; Legal Affairs and General Counsel</w:t>
            </w:r>
          </w:p>
        </w:tc>
      </w:tr>
      <w:tr>
        <w:trPr>
          <w:trHeight w:val="280"/>
        </w:trPr>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980" w:type="dxa"/>
            <w:vAlign w:val="bottom"/>
          </w:tcPr>
          <w:p>
            <w:pPr>
              <w:ind w:left="20"/>
              <w:spacing w:after="0"/>
              <w:rPr>
                <w:sz w:val="20"/>
                <w:szCs w:val="20"/>
                <w:color w:val="auto"/>
              </w:rPr>
            </w:pPr>
            <w:r>
              <w:rPr>
                <w:rFonts w:ascii="Arial" w:cs="Arial" w:eastAsia="Arial" w:hAnsi="Arial"/>
                <w:sz w:val="22"/>
                <w:szCs w:val="22"/>
                <w:color w:val="auto"/>
              </w:rPr>
              <w:t>Title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w:t>
      </w:r>
      <w:r>
        <w:rPr>
          <w:rFonts w:ascii="Arial" w:cs="Arial" w:eastAsia="Arial" w:hAnsi="Arial"/>
          <w:sz w:val="21"/>
          <w:szCs w:val="21"/>
          <w:color w:val="auto"/>
        </w:rPr>
        <w:t>8-</w:t>
      </w:r>
    </w:p>
    <w:p>
      <w:pPr>
        <w:sectPr>
          <w:pgSz w:w="11900" w:h="16838" w:orient="portrait"/>
          <w:cols w:equalWidth="0" w:num="1">
            <w:col w:w="11420"/>
          </w:cols>
          <w:pgMar w:left="240" w:top="805"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Joseph M. Hogan, certify that:</w:t>
      </w:r>
    </w:p>
    <w:p>
      <w:pPr>
        <w:spacing w:after="0" w:line="387"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Align Technology, Inc.;</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9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2015</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JOSEPH 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40132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Joseph M. Hogan</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64"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L. White, certify that:</w:t>
      </w:r>
    </w:p>
    <w:p>
      <w:pPr>
        <w:spacing w:after="0" w:line="387" w:lineRule="exact"/>
        <w:rPr>
          <w:sz w:val="20"/>
          <w:szCs w:val="20"/>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Align Technology, Inc.;</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9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2015</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DAVID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40132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David L. White</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6" w:lineRule="exact"/>
        <w:rPr>
          <w:sz w:val="20"/>
          <w:szCs w:val="20"/>
          <w:color w:val="auto"/>
        </w:rPr>
      </w:pPr>
    </w:p>
    <w:p>
      <w:pPr>
        <w:jc w:val="both"/>
        <w:ind w:firstLine="432"/>
        <w:spacing w:after="0" w:line="306" w:lineRule="auto"/>
        <w:rPr>
          <w:sz w:val="20"/>
          <w:szCs w:val="20"/>
          <w:color w:val="auto"/>
        </w:rPr>
      </w:pPr>
      <w:r>
        <w:rPr>
          <w:rFonts w:ascii="Arial" w:cs="Arial" w:eastAsia="Arial" w:hAnsi="Arial"/>
          <w:sz w:val="18"/>
          <w:szCs w:val="18"/>
          <w:color w:val="auto"/>
        </w:rPr>
        <w:t>I, Joseph M. Hogan, certify, pursuant to 18 U.S.C. Section 1350, as adopted pursuant to Section 906 of the Sarbanes-Oxley Act of 2002, that the Quarterly Report of Align Technology, Inc. on Form 10-Q for the quarter ended June 30, 2015 fully complies with the requirements of Section 13(a) or 15(d) of the Securities Exchange Act of 1934 and that information contained in such Quarterly Report on Form 10-Q fairly presents in all material respects the financial condition and results of operations of Align Technology,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94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Pr>
          <w:p>
            <w:pPr>
              <w:jc w:val="center"/>
              <w:spacing w:after="0"/>
              <w:rPr>
                <w:sz w:val="20"/>
                <w:szCs w:val="20"/>
                <w:color w:val="auto"/>
              </w:rPr>
            </w:pPr>
            <w:r>
              <w:rPr>
                <w:rFonts w:ascii="Arial" w:cs="Arial" w:eastAsia="Arial" w:hAnsi="Arial"/>
                <w:sz w:val="18"/>
                <w:szCs w:val="18"/>
                <w:color w:val="auto"/>
                <w:w w:val="98"/>
              </w:rPr>
              <w:t>/S/  JOSEPH M. HOGAN</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89"/>
              </w:rPr>
              <w:t>Joseph M. Hogan</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32"/>
        <w:spacing w:after="0" w:line="306" w:lineRule="auto"/>
        <w:rPr>
          <w:sz w:val="20"/>
          <w:szCs w:val="20"/>
          <w:color w:val="auto"/>
        </w:rPr>
      </w:pPr>
      <w:r>
        <w:rPr>
          <w:rFonts w:ascii="Arial" w:cs="Arial" w:eastAsia="Arial" w:hAnsi="Arial"/>
          <w:sz w:val="18"/>
          <w:szCs w:val="18"/>
          <w:color w:val="auto"/>
        </w:rPr>
        <w:t>I, David L. White, certify, pursuant to 18 U.S.C. Section 1350, as adopted pursuant to Section 906 of the Sarbanes-Oxley Act of 2002, that the Quarterly Report of Align Technology, Inc. on Form 10-Q for the quarter ended June 30, 2015 fully complies with the requirements of Section 13(a) or 15(d) of the Securities Exchange Act of 1934 and that information contained in such Quarterly Report on Form 10-Q fairly presents in all material respects the financial condition and results of operations of Align Technology,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94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Pr>
          <w:p>
            <w:pPr>
              <w:jc w:val="center"/>
              <w:spacing w:after="0"/>
              <w:rPr>
                <w:sz w:val="20"/>
                <w:szCs w:val="20"/>
                <w:color w:val="auto"/>
              </w:rPr>
            </w:pPr>
            <w:r>
              <w:rPr>
                <w:rFonts w:ascii="Arial" w:cs="Arial" w:eastAsia="Arial" w:hAnsi="Arial"/>
                <w:sz w:val="18"/>
                <w:szCs w:val="18"/>
                <w:color w:val="auto"/>
                <w:w w:val="99"/>
              </w:rPr>
              <w:t>/S/  DAVID L. WHITE</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5"/>
              </w:rPr>
              <w:t>David L. White</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2015</w:t>
      </w:r>
    </w:p>
    <w:sectPr>
      <w:pgSz w:w="11900" w:h="16838" w:orient="portrait"/>
      <w:cols w:equalWidth="0" w:num="1">
        <w:col w:w="11420"/>
      </w:cols>
      <w:pgMar w:left="240" w:top="64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x"/>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1"/>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1)"/>
      <w:numFmt w:val="decimal"/>
      <w:start w:val="1"/>
    </w:lvl>
  </w:abstractNum>
  <w:abstractNum w:abstractNumId="5">
    <w:nsid w:val="1BA026FA"/>
    <w:multiLevelType w:val="hybridMultilevel"/>
    <w:lvl w:ilvl="0">
      <w:lvlJc w:val="left"/>
      <w:lvlText w:val="(%1)"/>
      <w:numFmt w:val="decimal"/>
      <w:start w:val="2"/>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lvl w:ilvl="1">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1)"/>
      <w:numFmt w:val="decimal"/>
      <w:start w:val="1"/>
    </w:lvl>
  </w:abstractNum>
  <w:abstractNum w:abstractNumId="30">
    <w:nsid w:val="579BE4F1"/>
    <w:multiLevelType w:val="hybridMultilevel"/>
    <w:lvl w:ilvl="0">
      <w:lvlJc w:val="left"/>
      <w:lvlText w:val="(%1)"/>
      <w:numFmt w:val="lowerLetter"/>
      <w:start w:val="1"/>
    </w:lvl>
  </w:abstractNum>
  <w:abstractNum w:abstractNumId="31">
    <w:nsid w:val="310C50B3"/>
    <w:multiLevelType w:val="hybridMultilevel"/>
    <w:lvl w:ilvl="0">
      <w:lvlJc w:val="left"/>
      <w:lvlText w:val="(%1)"/>
      <w:numFmt w:val="lowerLetter"/>
      <w:start w:val="3"/>
    </w:lvl>
  </w:abstractNum>
  <w:abstractNum w:abstractNumId="32">
    <w:nsid w:val="5FF87E05"/>
    <w:multiLevelType w:val="hybridMultilevel"/>
    <w:lvl w:ilvl="0">
      <w:lvlJc w:val="left"/>
      <w:lvlText w:val="%1."/>
      <w:numFmt w:val="decimal"/>
      <w:start w:val="1"/>
    </w:lvl>
    <w:lvl w:ilvl="1">
      <w:lvlJc w:val="left"/>
      <w:lvlText w:val="(%2)"/>
      <w:numFmt w:val="lowerLetter"/>
      <w:start w:val="1"/>
    </w:lvl>
  </w:abstractNum>
  <w:abstractNum w:abstractNumId="33">
    <w:nsid w:val="2F305DEF"/>
    <w:multiLevelType w:val="hybridMultilevel"/>
    <w:lvl w:ilvl="0">
      <w:lvlJc w:val="left"/>
      <w:lvlText w:val="%1"/>
      <w:numFmt w:val="decimal"/>
      <w:start w:val="1"/>
    </w:lvl>
    <w:lvl w:ilvl="1">
      <w:lvlJc w:val="left"/>
      <w:lvlText w:val="(%2)"/>
      <w:numFmt w:val="lowerLetter"/>
      <w:start w:val="2"/>
    </w:lvl>
  </w:abstractNum>
  <w:abstractNum w:abstractNumId="34">
    <w:nsid w:val="25A70BF7"/>
    <w:multiLevelType w:val="hybridMultilevel"/>
    <w:lvl w:ilvl="0">
      <w:lvlJc w:val="left"/>
      <w:lvlText w:val="%1."/>
      <w:numFmt w:val="decimal"/>
      <w:start w:val="8"/>
    </w:lvl>
    <w:lvl w:ilvl="1">
      <w:lvlJc w:val="left"/>
      <w:lvlText w:val="%2"/>
      <w:numFmt w:val="lowerLetter"/>
      <w:start w:val="1"/>
    </w:lvl>
  </w:abstractNum>
  <w:abstractNum w:abstractNumId="35">
    <w:nsid w:val="1DBABF00"/>
    <w:multiLevelType w:val="hybridMultilevel"/>
    <w:lvl w:ilvl="0">
      <w:lvlJc w:val="left"/>
      <w:lvlText w:val="%1."/>
      <w:numFmt w:val="decimal"/>
      <w:start w:val="12"/>
    </w:lvl>
  </w:abstractNum>
  <w:abstractNum w:abstractNumId="36">
    <w:nsid w:val="4AD084E9"/>
    <w:multiLevelType w:val="hybridMultilevel"/>
    <w:lvl w:ilvl="0">
      <w:lvlJc w:val="left"/>
      <w:lvlText w:val="%1."/>
      <w:numFmt w:val="decimal"/>
      <w:start w:val="20"/>
    </w:lvl>
  </w:abstractNum>
  <w:abstractNum w:abstractNumId="37">
    <w:nsid w:val="1F48EAA1"/>
    <w:multiLevelType w:val="hybridMultilevel"/>
    <w:lvl w:ilvl="0">
      <w:lvlJc w:val="left"/>
      <w:lvlText w:val="%1."/>
      <w:numFmt w:val="decimal"/>
      <w:start w:val="21"/>
    </w:lvl>
  </w:abstractNum>
  <w:abstractNum w:abstractNumId="38">
    <w:nsid w:val="1381823A"/>
    <w:multiLevelType w:val="hybridMultilevel"/>
    <w:lvl w:ilvl="0">
      <w:lvlJc w:val="left"/>
      <w:lvlText w:val="%1."/>
      <w:numFmt w:val="decimal"/>
      <w:start w:val="1"/>
    </w:lvl>
    <w:lvl w:ilvl="1">
      <w:lvlJc w:val="left"/>
      <w:lvlText w:val="%2."/>
      <w:numFmt w:val="lowerLetter"/>
      <w:start w:val="1"/>
    </w:lvl>
  </w:abstractNum>
  <w:abstractNum w:abstractNumId="39">
    <w:nsid w:val="5DB70AE5"/>
    <w:multiLevelType w:val="hybridMultilevel"/>
    <w:lvl w:ilvl="0">
      <w:lvlJc w:val="left"/>
      <w:lvlText w:val="%1."/>
      <w:numFmt w:val="decimal"/>
      <w:start w:val="2"/>
    </w:lvl>
  </w:abstractNum>
  <w:abstractNum w:abstractNumId="40">
    <w:nsid w:val="100F8FCA"/>
    <w:multiLevelType w:val="hybridMultilevel"/>
    <w:lvl w:ilvl="0">
      <w:lvlJc w:val="left"/>
      <w:lvlText w:val="%1."/>
      <w:numFmt w:val="decimal"/>
      <w:start w:val="6"/>
    </w:lvl>
    <w:lvl w:ilvl="1">
      <w:lvlJc w:val="left"/>
      <w:lvlText w:val="%2."/>
      <w:numFmt w:val="lowerLetter"/>
      <w:start w:val="1"/>
    </w:lvl>
  </w:abstractNum>
  <w:abstractNum w:abstractNumId="41">
    <w:nsid w:val="6590700B"/>
    <w:multiLevelType w:val="hybridMultilevel"/>
    <w:lvl w:ilvl="0">
      <w:lvlJc w:val="left"/>
      <w:lvlText w:val="%1."/>
      <w:numFmt w:val="decimal"/>
      <w:start w:val="7"/>
    </w:lvl>
  </w:abstractNum>
  <w:abstractNum w:abstractNumId="42">
    <w:nsid w:val="15014ACB"/>
    <w:multiLevelType w:val="hybridMultilevel"/>
    <w:lvl w:ilvl="0">
      <w:lvlJc w:val="left"/>
      <w:lvlText w:val="%1."/>
      <w:numFmt w:val="decimal"/>
      <w:start w:val="9"/>
    </w:lvl>
  </w:abstractNum>
  <w:abstractNum w:abstractNumId="43">
    <w:nsid w:val="5F5E7FD0"/>
    <w:multiLevelType w:val="hybridMultilevel"/>
    <w:lvl w:ilvl="0">
      <w:lvlJc w:val="left"/>
      <w:lvlText w:val="%1."/>
      <w:numFmt w:val="decimal"/>
      <w:start w:val="15"/>
    </w:lvl>
  </w:abstractNum>
  <w:abstractNum w:abstractNumId="44">
    <w:nsid w:val="98A3148"/>
    <w:multiLevelType w:val="hybridMultilevel"/>
    <w:lvl w:ilvl="0">
      <w:lvlJc w:val="left"/>
      <w:lvlText w:val="%1."/>
      <w:numFmt w:val="decimal"/>
      <w:start w:val="19"/>
    </w:lvl>
  </w:abstractNum>
  <w:abstractNum w:abstractNumId="45">
    <w:nsid w:val="799D0247"/>
    <w:multiLevelType w:val="hybridMultilevel"/>
    <w:lvl w:ilvl="0">
      <w:lvlJc w:val="left"/>
      <w:lvlText w:val="%1."/>
      <w:numFmt w:val="decimal"/>
      <w:start w:val="25"/>
    </w:lvl>
  </w:abstractNum>
  <w:abstractNum w:abstractNumId="46">
    <w:nsid w:val="6B94764"/>
    <w:multiLevelType w:val="hybridMultilevel"/>
    <w:lvl w:ilvl="0">
      <w:lvlJc w:val="left"/>
      <w:lvlText w:val="(%1)"/>
      <w:numFmt w:val="lowerLetter"/>
      <w:start w:val="1"/>
    </w:lvl>
  </w:abstractNum>
  <w:abstractNum w:abstractNumId="47">
    <w:nsid w:val="42C296BD"/>
    <w:multiLevelType w:val="hybridMultilevel"/>
    <w:lvl w:ilvl="0">
      <w:lvlJc w:val="left"/>
      <w:lvlText w:val="%1"/>
      <w:numFmt w:val="lowerRoman"/>
      <w:start w:val="1"/>
    </w:lvl>
    <w:lvl w:ilvl="1">
      <w:lvlJc w:val="left"/>
      <w:lvlText w:val="%2."/>
      <w:numFmt w:val="decimal"/>
      <w:start w:val="1"/>
    </w:lvl>
  </w:abstractNum>
  <w:abstractNum w:abstractNumId="48">
    <w:nsid w:val="168E121F"/>
    <w:multiLevelType w:val="hybridMultilevel"/>
    <w:lvl w:ilvl="0">
      <w:lvlJc w:val="left"/>
      <w:lvlText w:val="(%1)"/>
      <w:numFmt w:val="lowerRoman"/>
      <w:start w:val="2"/>
    </w:lvl>
    <w:lvl w:ilvl="1">
      <w:lvlJc w:val="left"/>
      <w:lvlText w:val="%2"/>
      <w:numFmt w:val="decimal"/>
      <w:start w:val="1"/>
    </w:lvl>
  </w:abstractNum>
  <w:abstractNum w:abstractNumId="49">
    <w:nsid w:val="1EBA5D23"/>
    <w:multiLevelType w:val="hybridMultilevel"/>
    <w:lvl w:ilvl="0">
      <w:lvlJc w:val="left"/>
      <w:lvlText w:val="%1."/>
      <w:numFmt w:val="decimal"/>
      <w:start w:val="2"/>
    </w:lvl>
  </w:abstractNum>
  <w:abstractNum w:abstractNumId="50">
    <w:nsid w:val="661E3F1E"/>
    <w:multiLevelType w:val="hybridMultilevel"/>
    <w:lvl w:ilvl="0">
      <w:lvlJc w:val="left"/>
      <w:lvlText w:val="(%1)"/>
      <w:numFmt w:val="lowerRoman"/>
      <w:start w:val="1"/>
    </w:lvl>
  </w:abstractNum>
  <w:abstractNum w:abstractNumId="51">
    <w:nsid w:val="5DC79EA8"/>
    <w:multiLevelType w:val="hybridMultilevel"/>
    <w:lvl w:ilvl="0">
      <w:lvlJc w:val="left"/>
      <w:lvlText w:val="%1"/>
      <w:numFmt w:val="decimal"/>
      <w:start w:val="100"/>
    </w:lvl>
  </w:abstractNum>
  <w:abstractNum w:abstractNumId="52">
    <w:nsid w:val="540A471C"/>
    <w:multiLevelType w:val="hybridMultilevel"/>
    <w:lvl w:ilvl="0">
      <w:lvlJc w:val="left"/>
      <w:lvlText w:val="%1"/>
      <w:numFmt w:val="decimal"/>
      <w:start w:val="25"/>
    </w:lvl>
  </w:abstractNum>
  <w:abstractNum w:abstractNumId="53">
    <w:nsid w:val="7BD3EE7B"/>
    <w:multiLevelType w:val="hybridMultilevel"/>
    <w:lvl w:ilvl="0">
      <w:lvlJc w:val="left"/>
      <w:lvlText w:val="%1."/>
      <w:numFmt w:val="decimal"/>
      <w:start w:val="3"/>
    </w:lvl>
  </w:abstractNum>
  <w:abstractNum w:abstractNumId="54">
    <w:nsid w:val="51D9C564"/>
    <w:multiLevelType w:val="hybridMultilevel"/>
    <w:lvl w:ilvl="0">
      <w:lvlJc w:val="left"/>
      <w:lvlText w:val="%1."/>
      <w:numFmt w:val="decimal"/>
      <w:start w:val="4"/>
    </w:lvl>
  </w:abstractNum>
  <w:abstractNum w:abstractNumId="55">
    <w:nsid w:val="613EFDC5"/>
    <w:multiLevelType w:val="hybridMultilevel"/>
    <w:lvl w:ilvl="0">
      <w:lvlJc w:val="left"/>
      <w:lvlText w:val="(%1)"/>
      <w:numFmt w:val="lowerLetter"/>
      <w:start w:val="4"/>
    </w:lvl>
  </w:abstractNum>
  <w:abstractNum w:abstractNumId="56">
    <w:nsid w:val="BF72B14"/>
    <w:multiLevelType w:val="hybridMultilevel"/>
    <w:lvl w:ilvl="0">
      <w:lvlJc w:val="left"/>
      <w:lvlText w:val="(%1)"/>
      <w:numFmt w:val="lowerLetter"/>
      <w:start w:val="10"/>
    </w:lvl>
  </w:abstractNum>
  <w:abstractNum w:abstractNumId="57">
    <w:nsid w:val="11447B73"/>
    <w:multiLevelType w:val="hybridMultilevel"/>
    <w:lvl w:ilvl="0">
      <w:lvlJc w:val="left"/>
      <w:lvlText w:val="%1."/>
      <w:numFmt w:val="decimal"/>
      <w:start w:val="5"/>
    </w:lvl>
  </w:abstractNum>
  <w:abstractNum w:abstractNumId="58">
    <w:nsid w:val="42963E5A"/>
    <w:multiLevelType w:val="hybridMultilevel"/>
    <w:lvl w:ilvl="0">
      <w:lvlJc w:val="left"/>
      <w:lvlText w:val="%1."/>
      <w:numFmt w:val="decimal"/>
      <w:start w:val="6"/>
    </w:lvl>
  </w:abstractNum>
  <w:abstractNum w:abstractNumId="59">
    <w:nsid w:val="A0382C5"/>
    <w:multiLevelType w:val="hybridMultilevel"/>
    <w:lvl w:ilvl="0">
      <w:lvlJc w:val="left"/>
      <w:lvlText w:val="(%1)"/>
      <w:numFmt w:val="lowerRoman"/>
      <w:start w:val="2"/>
    </w:lvl>
  </w:abstractNum>
  <w:abstractNum w:abstractNumId="60">
    <w:nsid w:val="8F2B15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1">
    <w:nsid w:val="1A32234B"/>
    <w:multiLevelType w:val="hybridMultilevel"/>
    <w:lvl w:ilvl="0">
      <w:lvlJc w:val="left"/>
      <w:lvlText w:val="(%1)"/>
      <w:numFmt w:val="lowerRoman"/>
      <w:start w:val="5"/>
    </w:lvl>
  </w:abstractNum>
  <w:abstractNum w:abstractNumId="62">
    <w:nsid w:val="3B0FD379"/>
    <w:multiLevelType w:val="hybridMultilevel"/>
    <w:lvl w:ilvl="0">
      <w:lvlJc w:val="left"/>
      <w:lvlText w:val="(%1)"/>
      <w:numFmt w:val="upperLetter"/>
      <w:start w:val="1"/>
    </w:lvl>
  </w:abstractNum>
  <w:abstractNum w:abstractNumId="63">
    <w:nsid w:val="68EB2F63"/>
    <w:multiLevelType w:val="hybridMultilevel"/>
    <w:lvl w:ilvl="0">
      <w:lvlJc w:val="left"/>
      <w:lvlText w:val="%1"/>
      <w:numFmt w:val="upperLetter"/>
      <w:start w:val="1"/>
    </w:lvl>
    <w:lvl w:ilvl="1">
      <w:lvlJc w:val="left"/>
      <w:lvlText w:val="(%2)"/>
      <w:numFmt w:val="lowerRoman"/>
      <w:start w:val="7"/>
    </w:lvl>
  </w:abstractNum>
  <w:abstractNum w:abstractNumId="64">
    <w:nsid w:val="4962813B"/>
    <w:multiLevelType w:val="hybridMultilevel"/>
    <w:lvl w:ilvl="0">
      <w:lvlJc w:val="left"/>
      <w:lvlText w:val="(%1)"/>
      <w:numFmt w:val="upperLetter"/>
      <w:start w:val="1"/>
    </w:lvl>
    <w:lvl w:ilvl="1">
      <w:lvlJc w:val="left"/>
      <w:lvlText w:val="(%2)"/>
      <w:numFmt w:val="lowerRoman"/>
      <w:start w:val="9"/>
    </w:lvl>
  </w:abstractNum>
  <w:abstractNum w:abstractNumId="65">
    <w:nsid w:val="60B6DF70"/>
    <w:multiLevelType w:val="hybridMultilevel"/>
    <w:lvl w:ilvl="0">
      <w:lvlJc w:val="left"/>
      <w:lvlText w:val="%1"/>
      <w:numFmt w:val="lowerLetter"/>
      <w:start w:val="1"/>
    </w:lvl>
    <w:lvl w:ilvl="1">
      <w:lvlJc w:val="left"/>
      <w:lvlText w:val="(%2)"/>
      <w:numFmt w:val="lowerRoman"/>
      <w:start w:val="11"/>
    </w:lvl>
  </w:abstractNum>
  <w:abstractNum w:abstractNumId="66">
    <w:nsid w:val="6A5EE64"/>
    <w:multiLevelType w:val="hybridMultilevel"/>
    <w:lvl w:ilvl="0">
      <w:lvlJc w:val="left"/>
      <w:lvlText w:val="(%1)"/>
      <w:numFmt w:val="lowerLetter"/>
      <w:start w:val="2"/>
    </w:lvl>
    <w:lvl w:ilvl="1">
      <w:lvlJc w:val="left"/>
      <w:lvlText w:val="(%2)"/>
      <w:numFmt w:val="lowerRoman"/>
      <w:start w:val="1"/>
    </w:lvl>
  </w:abstractNum>
  <w:abstractNum w:abstractNumId="67">
    <w:nsid w:val="14330624"/>
    <w:multiLevelType w:val="hybridMultilevel"/>
    <w:lvl w:ilvl="0">
      <w:lvlJc w:val="left"/>
      <w:lvlText w:val="%1"/>
      <w:numFmt w:val="decimal"/>
      <w:start w:val="1"/>
    </w:lvl>
    <w:lvl w:ilvl="1">
      <w:lvlJc w:val="left"/>
      <w:lvlText w:val="(%2)"/>
      <w:numFmt w:val="lowerLetter"/>
      <w:start w:val="3"/>
    </w:lvl>
  </w:abstractNum>
  <w:abstractNum w:abstractNumId="68">
    <w:nsid w:val="7FFFCA11"/>
    <w:multiLevelType w:val="hybridMultilevel"/>
    <w:lvl w:ilvl="0">
      <w:lvlJc w:val="left"/>
      <w:lvlText w:val="%1."/>
      <w:numFmt w:val="decimal"/>
      <w:start w:val="8"/>
    </w:lvl>
    <w:lvl w:ilvl="1">
      <w:lvlJc w:val="left"/>
      <w:lvlText w:val="%2"/>
      <w:numFmt w:val="lowerLetter"/>
      <w:start w:val="1"/>
    </w:lvl>
  </w:abstractNum>
  <w:abstractNum w:abstractNumId="69">
    <w:nsid w:val="1A27709E"/>
    <w:multiLevelType w:val="hybridMultilevel"/>
    <w:lvl w:ilvl="0">
      <w:lvlJc w:val="left"/>
      <w:lvlText w:val="(%1)"/>
      <w:numFmt w:val="lowerLetter"/>
      <w:start w:val="1"/>
    </w:lvl>
    <w:lvl w:ilvl="1">
      <w:lvlJc w:val="left"/>
      <w:lvlText w:val="(%2)"/>
      <w:numFmt w:val="lowerRoman"/>
      <w:start w:val="6"/>
    </w:lvl>
  </w:abstractNum>
  <w:abstractNum w:abstractNumId="70">
    <w:nsid w:val="71EA1109"/>
    <w:multiLevelType w:val="hybridMultilevel"/>
    <w:lvl w:ilvl="0">
      <w:lvlJc w:val="left"/>
      <w:lvlText w:val="%1."/>
      <w:numFmt w:val="decimal"/>
      <w:start w:val="9"/>
    </w:lvl>
    <w:lvl w:ilvl="1">
      <w:lvlJc w:val="left"/>
      <w:lvlText w:val="(%2)"/>
      <w:numFmt w:val="lowerLetter"/>
      <w:start w:val="1"/>
    </w:lvl>
  </w:abstractNum>
  <w:abstractNum w:abstractNumId="71">
    <w:nsid w:val="100F59DC"/>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9"/>
    </w:lvl>
  </w:abstractNum>
  <w:abstractNum w:abstractNumId="72">
    <w:nsid w:val="7FB7E0AA"/>
    <w:multiLevelType w:val="hybridMultilevel"/>
    <w:lvl w:ilvl="0">
      <w:lvlJc w:val="left"/>
      <w:lvlText w:val="%1"/>
      <w:numFmt w:val="decimal"/>
      <w:start w:val="18"/>
    </w:lvl>
    <w:lvl w:ilvl="1">
      <w:lvlJc w:val="left"/>
      <w:lvlText w:val="%2"/>
      <w:numFmt w:val="lowerLetter"/>
      <w:start w:val="1"/>
    </w:lvl>
    <w:lvl w:ilvl="2">
      <w:lvlJc w:val="left"/>
      <w:lvlText w:val="%3"/>
      <w:numFmt w:val="lowerLetter"/>
      <w:start w:val="1"/>
    </w:lvl>
  </w:abstractNum>
  <w:abstractNum w:abstractNumId="73">
    <w:nsid w:val="6EB5B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74">
    <w:nsid w:val="6F6DD9A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5">
    <w:nsid w:val="94211F2"/>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76">
    <w:nsid w:val="885E1B"/>
    <w:multiLevelType w:val="hybridMultilevel"/>
    <w:lvl w:ilvl="0">
      <w:lvlJc w:val="left"/>
      <w:lvlText w:val="(%1)"/>
      <w:numFmt w:val="lowerRoman"/>
      <w:start w:val="2"/>
    </w:lvl>
  </w:abstractNum>
  <w:abstractNum w:abstractNumId="77">
    <w:nsid w:val="76272110"/>
    <w:multiLevelType w:val="hybridMultilevel"/>
    <w:lvl w:ilvl="0">
      <w:lvlJc w:val="left"/>
      <w:lvlText w:val="(%1)"/>
      <w:numFmt w:val="lowerRoman"/>
      <w:start w:val="3"/>
    </w:lvl>
  </w:abstractNum>
  <w:abstractNum w:abstractNumId="78">
    <w:nsid w:val="4C04A8A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9">
    <w:nsid w:val="1716703B"/>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80">
    <w:nsid w:val="14E17E3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1">
    <w:nsid w:val="3222E7CD"/>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82">
    <w:nsid w:val="74DE0EE3"/>
    <w:multiLevelType w:val="hybridMultilevel"/>
    <w:lvl w:ilvl="0">
      <w:lvlJc w:val="left"/>
      <w:lvlText w:val="(%1)"/>
      <w:numFmt w:val="lowerLetter"/>
      <w:start w:val="5"/>
    </w:lvl>
  </w:abstractNum>
  <w:abstractNum w:abstractNumId="83">
    <w:nsid w:val="68EBC550"/>
    <w:multiLevelType w:val="hybridMultilevel"/>
    <w:lvl w:ilvl="0">
      <w:lvlJc w:val="left"/>
      <w:lvlText w:val="%1."/>
      <w:numFmt w:val="decimal"/>
      <w:start w:val="16"/>
    </w:lvl>
  </w:abstractNum>
  <w:abstractNum w:abstractNumId="84">
    <w:nsid w:val="2DF6D648"/>
    <w:multiLevelType w:val="hybridMultilevel"/>
    <w:lvl w:ilvl="0">
      <w:lvlJc w:val="left"/>
      <w:lvlText w:val="%1."/>
      <w:numFmt w:val="decimal"/>
      <w:start w:val="17"/>
    </w:lvl>
  </w:abstractNum>
  <w:abstractNum w:abstractNumId="85">
    <w:nsid w:val="46B7D447"/>
    <w:multiLevelType w:val="hybridMultilevel"/>
    <w:lvl w:ilvl="0">
      <w:lvlJc w:val="left"/>
      <w:lvlText w:val="%1."/>
      <w:numFmt w:val="decimal"/>
      <w:start w:val="18"/>
    </w:lvl>
  </w:abstractNum>
  <w:abstractNum w:abstractNumId="86">
    <w:nsid w:val="4A2AC31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87">
    <w:nsid w:val="39EE015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61"/>
    </w:lvl>
    <w:lvl w:ilvl="4">
      <w:lvlJc w:val="left"/>
      <w:lvlText w:val="%5."/>
      <w:numFmt w:val="decimal"/>
      <w:start w:val="3"/>
    </w:lvl>
  </w:abstractNum>
  <w:abstractNum w:abstractNumId="88">
    <w:nsid w:val="57FC4FBB"/>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lvl w:ilvl="3">
      <w:lvlJc w:val="left"/>
      <w:lvlText w:val="%4"/>
      <w:numFmt w:val="lowerLetter"/>
      <w:start w:val="1"/>
    </w:lvl>
    <w:lvl w:ilvl="4">
      <w:lvlJc w:val="left"/>
      <w:lvlText w:val="%5"/>
      <w:numFmt w:val="decimal"/>
      <w:start w:val="1"/>
    </w:lvl>
  </w:abstractNum>
  <w:abstractNum w:abstractNumId="89">
    <w:nsid w:val="CC1016F"/>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decimal"/>
      <w:start w:val="1"/>
    </w:lvl>
  </w:abstractNum>
  <w:abstractNum w:abstractNumId="90">
    <w:nsid w:val="43F18422"/>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91">
    <w:nsid w:val="60EF0119"/>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92">
    <w:nsid w:val="26F324BA"/>
    <w:multiLevelType w:val="hybridMultilevel"/>
    <w:lvl w:ilvl="0">
      <w:lvlJc w:val="left"/>
      <w:lvlText w:val="%1."/>
      <w:numFmt w:val="decimal"/>
      <w:start w:val="9"/>
    </w:lvl>
  </w:abstractNum>
  <w:abstractNum w:abstractNumId="93">
    <w:nsid w:val="7F01579B"/>
    <w:multiLevelType w:val="hybridMultilevel"/>
    <w:lvl w:ilvl="0">
      <w:lvlJc w:val="left"/>
      <w:lvlText w:val="%1."/>
      <w:numFmt w:val="decimal"/>
      <w:start w:val="15"/>
    </w:lvl>
  </w:abstractNum>
  <w:abstractNum w:abstractNumId="94">
    <w:nsid w:val="49DA307D"/>
    <w:multiLevelType w:val="hybridMultilevel"/>
    <w:lvl w:ilvl="0">
      <w:lvlJc w:val="left"/>
      <w:lvlText w:val="%1."/>
      <w:numFmt w:val="decimal"/>
      <w:start w:val="1"/>
    </w:lvl>
    <w:lvl w:ilvl="1">
      <w:lvlJc w:val="left"/>
      <w:lvlText w:val="(%2)"/>
      <w:numFmt w:val="lowerLetter"/>
      <w:start w:val="1"/>
    </w:lvl>
  </w:abstractNum>
  <w:abstractNum w:abstractNumId="95">
    <w:nsid w:val="7055A5F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2019-12-29T17:28:03Z</dcterms:created>
  <dcterms:modified xsi:type="dcterms:W3CDTF">2019-12-29T17:28:03Z</dcterms:modified>
</cp:coreProperties>
</file>